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7DE0A"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r>
        <w:rPr>
          <w:sz w:val="24"/>
          <w:rFonts w:ascii="Garamond" w:hAnsi="Garamond"/>
        </w:rPr>
        <w:t xml:space="preserve">DL nr. XX/2020</w:t>
      </w:r>
      <w:r>
        <w:rPr>
          <w:sz w:val="24"/>
          <w:rFonts w:ascii="Garamond" w:hAnsi="Garamond"/>
        </w:rPr>
        <w:t xml:space="preserve"> </w:t>
      </w:r>
    </w:p>
    <w:p w14:paraId="5D0DF49B" w14:textId="77777777" w:rsidR="006D6021" w:rsidRPr="008E5B84" w:rsidRDefault="00311339">
      <w:pPr>
        <w:pStyle w:val="Ttulo4"/>
        <w:widowControl w:val="0"/>
        <w:spacing w:after="120" w:line="360" w:lineRule="auto"/>
        <w:ind w:firstLine="0"/>
        <w:jc w:val="both"/>
        <w:outlineLvl w:val="9"/>
        <w:rPr>
          <w:sz w:val="24"/>
          <w:szCs w:val="24"/>
          <w:rFonts w:ascii="Garamond" w:hAnsi="Garamond"/>
        </w:rPr>
      </w:pPr>
      <w:bookmarkStart w:id="0" w:name="_Hlk61623095"/>
      <w:r>
        <w:t xml:space="preserve">Wetsbesluit nr. 102-D/2020 van 10 december </w:t>
      </w:r>
      <w:bookmarkEnd w:id="0"/>
      <w:r>
        <w:t xml:space="preserve">bijgewerkt </w:t>
      </w:r>
      <w:hyperlink r:id="rId8" w:tooltip="Wetsbesluit nr. 152-D/2017" w:history="1">
        <w:r>
          <w:rPr>
            <w:sz w:val="24"/>
            <w:rFonts w:ascii="Garamond" w:hAnsi="Garamond"/>
          </w:rPr>
          <w:t xml:space="preserve">Wetsbesluit nr. 152-D/2017</w:t>
        </w:r>
      </w:hyperlink>
      <w:r>
        <w:t xml:space="preserve"> van 11 december tot omzetting in intern recht van </w:t>
      </w:r>
      <w:hyperlink r:id="rId9" w:tooltip="Link naar de richtlijn van de Europese Unie" w:history="1">
        <w:r>
          <w:rPr>
            <w:sz w:val="24"/>
            <w:rFonts w:ascii="Garamond" w:hAnsi="Garamond"/>
          </w:rPr>
          <w:t xml:space="preserve">Richtlijn 94/62/EG</w:t>
        </w:r>
      </w:hyperlink>
      <w:r>
        <w:t xml:space="preserve"> van het Europees Parlement en de Raad van 20 december 1994 betreffende verpakking en verpakkingsafval, zoals gewijzigd bij Richtlijn (EU) </w:t>
      </w:r>
      <w:hyperlink r:id="rId10" w:tooltip="Link naar de richtlijn van de Europese Unie" w:history="1">
        <w:r>
          <w:rPr>
            <w:sz w:val="24"/>
            <w:rFonts w:ascii="Garamond" w:hAnsi="Garamond"/>
          </w:rPr>
          <w:t xml:space="preserve">2018/852 </w:t>
        </w:r>
      </w:hyperlink>
      <w:r>
        <w:t xml:space="preserve">van het Europees Parlement en de Raad van 30 mei 2018, en Richtlijnen </w:t>
      </w:r>
      <w:hyperlink r:id="rId11" w:tooltip="Link naar de richtlijn van de Europese Unie" w:history="1">
        <w:r>
          <w:rPr>
            <w:sz w:val="24"/>
            <w:rFonts w:ascii="Garamond" w:hAnsi="Garamond"/>
          </w:rPr>
          <w:t xml:space="preserve">2000/53/EG </w:t>
        </w:r>
      </w:hyperlink>
      <w:r>
        <w:t xml:space="preserve">betreffende afgedankte voertuigen, </w:t>
      </w:r>
      <w:hyperlink r:id="rId12" w:tooltip="Link naar de richtlijn van de Europese Unie" w:history="1">
        <w:r>
          <w:rPr>
            <w:sz w:val="24"/>
            <w:rFonts w:ascii="Garamond" w:hAnsi="Garamond"/>
          </w:rPr>
          <w:t xml:space="preserve">2006/66/EG</w:t>
        </w:r>
      </w:hyperlink>
      <w:r>
        <w:t xml:space="preserve"> betreffende batterijen en accu’s en hun afvalstoffen, en </w:t>
      </w:r>
      <w:hyperlink r:id="rId13" w:tooltip="Link naar de richtlijn van de Europese Unie" w:history="1">
        <w:r>
          <w:rPr>
            <w:sz w:val="24"/>
            <w:rFonts w:ascii="Garamond" w:hAnsi="Garamond"/>
          </w:rPr>
          <w:t xml:space="preserve">2012/19/EU</w:t>
        </w:r>
      </w:hyperlink>
      <w:r>
        <w:t xml:space="preserve"> betreffende afvalstoffen van elektrische en elektronische apparatuur, gewijzigd bij Richtlijn (EU) </w:t>
      </w:r>
      <w:hyperlink r:id="rId14" w:tooltip="Link naar de richtlijn van de Europese Unie" w:history="1">
        <w:r>
          <w:rPr>
            <w:sz w:val="24"/>
            <w:rFonts w:ascii="Garamond" w:hAnsi="Garamond"/>
          </w:rPr>
          <w:t xml:space="preserve">2018/849 </w:t>
        </w:r>
      </w:hyperlink>
      <w:r>
        <w:t xml:space="preserve">van het Europees Parlement en de Raad van 30 mei 2018.</w:t>
      </w:r>
    </w:p>
    <w:p w14:paraId="7B6DC961" w14:textId="7C6704AB" w:rsidR="006D6021" w:rsidRPr="008E5B84" w:rsidRDefault="00311339">
      <w:pPr>
        <w:spacing w:after="120" w:line="360" w:lineRule="auto"/>
        <w:jc w:val="both"/>
        <w:rPr>
          <w:sz w:val="24"/>
          <w:szCs w:val="24"/>
          <w:rFonts w:ascii="Garamond" w:hAnsi="Garamond"/>
        </w:rPr>
      </w:pPr>
      <w:r>
        <w:t xml:space="preserve">Om deze richtlijnen snel om te zetten en te voldoen aan de informatieprocedure op het gebied van technische voorschriften en regels inzake diensten van de informatiemaatschappij waarin </w:t>
      </w:r>
      <w:hyperlink r:id="rId15" w:tooltip="Link naar de richtlijn van de Europese Unie" w:history="1">
        <w:r>
          <w:rPr>
            <w:sz w:val="24"/>
            <w:rFonts w:ascii="Garamond" w:hAnsi="Garamond"/>
          </w:rPr>
          <w:t xml:space="preserve">Richtlijn 2015/1535/EG </w:t>
        </w:r>
      </w:hyperlink>
      <w:r>
        <w:t xml:space="preserve">van het Europees Parlement en de Raad van 9 september 2015 voorziet, zijn op een later tijdstip verdere noodzakelijke wijzigingen van </w:t>
      </w:r>
      <w:hyperlink r:id="rId16" w:tooltip="Wetsbesluit nr. 152-D/2017" w:history="1">
        <w:r>
          <w:rPr>
            <w:sz w:val="24"/>
            <w:rFonts w:ascii="Garamond" w:hAnsi="Garamond"/>
          </w:rPr>
          <w:t xml:space="preserve">Wetsbesluit nr. 152-D/2017</w:t>
        </w:r>
      </w:hyperlink>
      <w:r>
        <w:t xml:space="preserve"> van 11 december ter goedkeuring ingediend.</w:t>
      </w:r>
      <w:r>
        <w:rPr>
          <w:sz w:val="24"/>
          <w:rFonts w:ascii="Garamond" w:hAnsi="Garamond"/>
        </w:rPr>
        <w:t xml:space="preserve"> </w:t>
      </w:r>
    </w:p>
    <w:p w14:paraId="3DD37DBB" w14:textId="6C301508" w:rsidR="006D6021" w:rsidRPr="008E5B84" w:rsidRDefault="00311339">
      <w:pPr>
        <w:spacing w:after="120" w:line="360" w:lineRule="auto"/>
        <w:jc w:val="both"/>
        <w:rPr>
          <w:sz w:val="24"/>
          <w:szCs w:val="24"/>
          <w:rFonts w:ascii="Garamond" w:hAnsi="Garamond"/>
        </w:rPr>
      </w:pPr>
      <w:r>
        <w:rPr>
          <w:sz w:val="24"/>
          <w:rFonts w:ascii="Garamond" w:hAnsi="Garamond"/>
        </w:rPr>
        <w:t xml:space="preserve">Dit wetsbesluit keurt de bovengenoemde aanpassingen goed, met name de invoering van de markering van herbruikbare verpakkingen en verpakkingen die onder de statiegeldregeling worden beheerd en de markering van recyclebare verpakkingen met passende sorteringsinstructies.</w:t>
      </w:r>
      <w:r>
        <w:rPr>
          <w:sz w:val="24"/>
          <w:rFonts w:ascii="Garamond" w:hAnsi="Garamond"/>
        </w:rPr>
        <w:t xml:space="preserve"> </w:t>
      </w:r>
      <w:r>
        <w:rPr>
          <w:sz w:val="24"/>
          <w:rFonts w:ascii="Garamond" w:hAnsi="Garamond"/>
        </w:rPr>
        <w:t xml:space="preserve">Het voorziet ook in een verplichting voor afvalverwerkingsbedrijven om jaarlijks aan de licentiegever aan te tonen dat aan de kwalificatievereisten en toepasselijke normen wordt voldaan aan de hand van een document dat door gekwalificeerde verificateurs is afgegeven.</w:t>
      </w:r>
      <w:r>
        <w:rPr>
          <w:sz w:val="24"/>
          <w:rFonts w:ascii="Garamond" w:hAnsi="Garamond"/>
        </w:rPr>
        <w:t xml:space="preserve"> </w:t>
      </w:r>
    </w:p>
    <w:p w14:paraId="758B538F" w14:textId="77777777" w:rsidR="006D6021" w:rsidRPr="008E5B84" w:rsidRDefault="00311339">
      <w:pPr>
        <w:pStyle w:val="Ttulo4"/>
        <w:widowControl w:val="0"/>
        <w:spacing w:after="120" w:line="360" w:lineRule="auto"/>
        <w:ind w:firstLine="0"/>
        <w:jc w:val="left"/>
        <w:outlineLvl w:val="9"/>
        <w:rPr>
          <w:sz w:val="24"/>
          <w:szCs w:val="24"/>
          <w:rFonts w:ascii="Garamond" w:hAnsi="Garamond"/>
        </w:rPr>
      </w:pPr>
      <w:r>
        <w:rPr>
          <w:sz w:val="24"/>
          <w:rFonts w:ascii="Garamond" w:hAnsi="Garamond"/>
        </w:rPr>
        <w:t xml:space="preserve">De zelfbesturende organen van de autonome regio’s werden gehoord.</w:t>
      </w:r>
    </w:p>
    <w:p w14:paraId="7D1192FA"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Derhalve:</w:t>
      </w:r>
    </w:p>
    <w:p w14:paraId="26406EBE"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 xml:space="preserve">Overeenkomstig artikel 198, lid 1, onder a), van de Grondwet besluit de regering het volgende:</w:t>
      </w:r>
    </w:p>
    <w:p w14:paraId="10E5347C"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4D7E55DE" w14:textId="02B10543" w:rsidR="006D6021" w:rsidRPr="008E5B84" w:rsidRDefault="00BC4ADA" w:rsidP="00BC4ADA">
      <w:pPr>
        <w:suppressAutoHyphens w:val="0"/>
        <w:rPr>
          <w:color w:val="333333"/>
          <w:sz w:val="24"/>
          <w:szCs w:val="24"/>
          <w:rFonts w:ascii="Garamond" w:eastAsia="Times New Roman" w:hAnsi="Garamond"/>
        </w:rPr>
      </w:pPr>
      <w:r>
        <w:br w:type="page"/>
      </w:r>
    </w:p>
    <w:p w14:paraId="34A618C4"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Artikel 1</w:t>
      </w:r>
    </w:p>
    <w:p w14:paraId="6310E1C1"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Onderwerp</w:t>
      </w:r>
    </w:p>
    <w:p w14:paraId="19B19F0E" w14:textId="3AE3B598" w:rsidR="006D6021" w:rsidRPr="008E5B84" w:rsidRDefault="00311339">
      <w:pPr>
        <w:pStyle w:val="Ttulo4"/>
        <w:widowControl w:val="0"/>
        <w:spacing w:after="120" w:line="360" w:lineRule="auto"/>
        <w:ind w:firstLine="0"/>
        <w:jc w:val="both"/>
        <w:outlineLvl w:val="9"/>
        <w:rPr>
          <w:sz w:val="24"/>
          <w:szCs w:val="24"/>
          <w:rFonts w:ascii="Garamond" w:hAnsi="Garamond"/>
        </w:rPr>
      </w:pPr>
      <w:r>
        <w:t xml:space="preserve">Dit wetsbesluit is de vijfde wijziging van </w:t>
      </w:r>
      <w:hyperlink r:id="rId17" w:tooltip="Wetsbesluit nr. 152-D/2017" w:history="1">
        <w:r>
          <w:rPr>
            <w:sz w:val="24"/>
            <w:rFonts w:ascii="Garamond" w:hAnsi="Garamond"/>
          </w:rPr>
          <w:t xml:space="preserve">wetsbesluit nr. 152-D/2017 </w:t>
        </w:r>
      </w:hyperlink>
      <w:r>
        <w:t xml:space="preserve">van 11 december, zoals gewijzigd bij wetten nr. </w:t>
      </w:r>
      <w:hyperlink r:id="rId18" w:tooltip="Wet nr. 69/2018" w:history="1">
        <w:r>
          <w:rPr>
            <w:sz w:val="24"/>
            <w:rFonts w:ascii="Garamond" w:hAnsi="Garamond"/>
          </w:rPr>
          <w:t xml:space="preserve">69/2018</w:t>
        </w:r>
      </w:hyperlink>
      <w:r>
        <w:t xml:space="preserve"> van 26 december en </w:t>
      </w:r>
      <w:hyperlink r:id="rId19" w:tooltip="Wet nr. 41/2019" w:history="1">
        <w:r>
          <w:rPr>
            <w:sz w:val="24"/>
            <w:rFonts w:ascii="Garamond" w:hAnsi="Garamond"/>
          </w:rPr>
          <w:t xml:space="preserve">41/2019 </w:t>
        </w:r>
      </w:hyperlink>
      <w:r>
        <w:t xml:space="preserve">van 21 juni, bij </w:t>
      </w:r>
      <w:hyperlink r:id="rId20" w:tooltip="Wetsbesluit nr. 86/2020" w:history="1">
        <w:r>
          <w:rPr>
            <w:sz w:val="24"/>
            <w:rFonts w:ascii="Garamond" w:hAnsi="Garamond"/>
          </w:rPr>
          <w:t xml:space="preserve">wetsbesluit nr. 86/2020 </w:t>
        </w:r>
      </w:hyperlink>
      <w:r>
        <w:t xml:space="preserve">van 14 oktober, en gewijzigd en opnieuw gepubliceerd bij wetsbesluit nr. 102-D/2020 van 10 december.</w:t>
      </w:r>
      <w:r>
        <w:rPr>
          <w:sz w:val="24"/>
          <w:rFonts w:ascii="Garamond" w:hAnsi="Garamond"/>
        </w:rPr>
        <w:t xml:space="preserve"> </w:t>
      </w:r>
    </w:p>
    <w:p w14:paraId="11139F74" w14:textId="77777777" w:rsidR="006D6021" w:rsidRPr="008E5B84" w:rsidRDefault="00311339">
      <w:pPr>
        <w:jc w:val="center"/>
        <w:rPr>
          <w:sz w:val="24"/>
          <w:szCs w:val="24"/>
          <w:rFonts w:ascii="Garamond" w:hAnsi="Garamond"/>
        </w:rPr>
      </w:pPr>
      <w:r>
        <w:rPr>
          <w:sz w:val="24"/>
          <w:rFonts w:ascii="Garamond" w:hAnsi="Garamond"/>
        </w:rPr>
        <w:t xml:space="preserve">Artikel 2</w:t>
      </w:r>
    </w:p>
    <w:p w14:paraId="38D8E667" w14:textId="77777777" w:rsidR="006D6021" w:rsidRPr="008E5B84" w:rsidRDefault="00311339">
      <w:pPr>
        <w:jc w:val="center"/>
        <w:rPr>
          <w:sz w:val="24"/>
          <w:szCs w:val="24"/>
          <w:rFonts w:ascii="Garamond" w:hAnsi="Garamond"/>
        </w:rPr>
      </w:pPr>
      <w:r>
        <w:rPr>
          <w:sz w:val="24"/>
          <w:rFonts w:ascii="Garamond" w:hAnsi="Garamond"/>
        </w:rPr>
        <w:t xml:space="preserve">Wijziging van wetsbesluit nr. 152-D/2017 van 11 december</w:t>
      </w:r>
    </w:p>
    <w:p w14:paraId="740BDF45" w14:textId="1C138E32" w:rsidR="006D6021" w:rsidRPr="008E5B84" w:rsidRDefault="00311339">
      <w:pPr>
        <w:pStyle w:val="NormalWeb"/>
        <w:shd w:val="clear" w:color="auto" w:fill="FFFFFF"/>
        <w:spacing w:before="0" w:after="225" w:line="390" w:lineRule="atLeast"/>
        <w:jc w:val="both"/>
        <w:rPr>
          <w:rFonts w:ascii="Garamond" w:hAnsi="Garamond"/>
        </w:rPr>
      </w:pPr>
      <w:r>
        <w:t xml:space="preserve">De artikelen 8, 23, 28 en 90 van </w:t>
      </w:r>
      <w:hyperlink r:id="rId21" w:tooltip="Wetsbesluit nr. 152-D/2017" w:history="1">
        <w:r>
          <w:rPr>
            <w:rFonts w:ascii="Garamond" w:hAnsi="Garamond"/>
          </w:rPr>
          <w:t xml:space="preserve">wetsbesluit nr. 152-D/2017 </w:t>
        </w:r>
      </w:hyperlink>
      <w:r>
        <w:t xml:space="preserve">van 11 december worden in de huidige bewoordingen vervangen door:</w:t>
      </w:r>
    </w:p>
    <w:p w14:paraId="2CB88C12"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„Artikel 8</w:t>
      </w:r>
    </w:p>
    <w:p w14:paraId="3EE26575" w14:textId="77777777" w:rsidR="006D6021" w:rsidRPr="008E5B84" w:rsidRDefault="00311339">
      <w:pPr>
        <w:pStyle w:val="Ttulo4"/>
        <w:widowControl w:val="0"/>
        <w:spacing w:after="120" w:line="360" w:lineRule="auto"/>
        <w:outlineLvl w:val="9"/>
        <w:rPr>
          <w:sz w:val="24"/>
          <w:szCs w:val="24"/>
          <w:rFonts w:ascii="Garamond" w:hAnsi="Garamond"/>
        </w:rPr>
      </w:pPr>
      <w:r>
        <w:rPr>
          <w:sz w:val="24"/>
          <w:rFonts w:ascii="Garamond" w:hAnsi="Garamond"/>
        </w:rPr>
        <w:t xml:space="preserve">Kwalificatie van afvalverwerkingsbedrijven, met inbegrip van opslag</w:t>
      </w:r>
    </w:p>
    <w:p w14:paraId="0E5B07F5" w14:textId="4679E0F2"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Onverminderd de leden 5 en 6 zijn afvalverwerkingsbedrijven, met inbegrip van opslag, die in de specifieke afvalstromen werkzaam zijn, onderworpen aan kwalificatievereisten voor de effectieve controle en traceerbaarheid van behandeld afval overeenkomstig de doelstellingen en doelen van dit wetsbesluit.</w:t>
      </w:r>
      <w:r>
        <w:rPr>
          <w:sz w:val="24"/>
          <w:rFonts w:ascii="Garamond" w:hAnsi="Garamond"/>
        </w:rPr>
        <w:t xml:space="preserve"> </w:t>
      </w:r>
    </w:p>
    <w:p w14:paraId="554CFC4C" w14:textId="400163F5"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De in het vorige lid bedoelde eisen en het toepassingsgebied ervan worden vastgesteld door het </w:t>
      </w:r>
      <w:r>
        <w:rPr>
          <w:sz w:val="24"/>
          <w:shd w:val="clear" w:color="auto" w:fill="FFFFFF"/>
          <w:rFonts w:ascii="Garamond" w:hAnsi="Garamond"/>
        </w:rPr>
        <w:t xml:space="preserve">Portugese Milieuagentschap, I.P.</w:t>
      </w:r>
      <w:r>
        <w:rPr>
          <w:sz w:val="24"/>
          <w:shd w:val="clear" w:color="auto" w:fill="FFFFFF"/>
          <w:rFonts w:ascii="Garamond" w:hAnsi="Garamond"/>
        </w:rPr>
        <w:t xml:space="preserve"> </w:t>
      </w:r>
      <w:r>
        <w:rPr>
          <w:sz w:val="24"/>
          <w:shd w:val="clear" w:color="auto" w:fill="FFFFFF"/>
          <w:rFonts w:ascii="Garamond" w:hAnsi="Garamond"/>
        </w:rPr>
        <w:t xml:space="preserve">(</w:t>
      </w:r>
      <w:r>
        <w:rPr>
          <w:sz w:val="24"/>
          <w:rFonts w:ascii="Garamond" w:hAnsi="Garamond"/>
        </w:rPr>
        <w:t xml:space="preserve">APA, I.P.), na het horen van de representatieve verenigingen van afvalbeheerders, vergunningverlenende autoriteiten, met het beheer van geïntegreerde afvalsystemen belaste entiteiten en andere entiteiten die het relevant acht om te raadplegen, rekening houdend met technische kwaliteits- en efficiëntiecriteria die op hun website zijn bekendgemaakt.</w:t>
      </w:r>
      <w:r>
        <w:rPr>
          <w:sz w:val="24"/>
          <w:rFonts w:ascii="Garamond" w:hAnsi="Garamond"/>
        </w:rPr>
        <w:t xml:space="preserve"> </w:t>
      </w:r>
    </w:p>
    <w:p w14:paraId="0577D597"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6149BD7F"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De in de voorgaande leden bedoelde eisen worden uiteengezet in de vergunningen van afvalverwerkingsbedrijven en de naleving ervan wordt aangetoond overeenkomstig de leden 8 en 10.</w:t>
      </w:r>
      <w:r>
        <w:rPr>
          <w:sz w:val="24"/>
          <w:rFonts w:ascii="Garamond" w:hAnsi="Garamond"/>
        </w:rPr>
        <w:t xml:space="preserve"> </w:t>
      </w:r>
    </w:p>
    <w:p w14:paraId="64F7A174" w14:textId="77777777" w:rsidR="006D6021" w:rsidRPr="008E5B84" w:rsidRDefault="00311339">
      <w:pPr>
        <w:pStyle w:val="ListParagraph"/>
        <w:widowControl w:val="0"/>
        <w:numPr>
          <w:ilvl w:val="0"/>
          <w:numId w:val="1"/>
        </w:numPr>
        <w:spacing w:after="120" w:line="360" w:lineRule="auto"/>
        <w:ind w:left="993" w:right="567" w:hanging="426"/>
        <w:jc w:val="both"/>
        <w:rPr>
          <w:sz w:val="24"/>
          <w:szCs w:val="24"/>
          <w:rFonts w:ascii="Garamond" w:hAnsi="Garamond"/>
        </w:rPr>
      </w:pPr>
      <w:r>
        <w:rPr>
          <w:sz w:val="24"/>
          <w:rFonts w:ascii="Garamond" w:hAnsi="Garamond"/>
        </w:rPr>
        <w:t xml:space="preserve">Afvalverwerkingsbedrijven, met inbegrip van opslag, die werken onder de specifieke AEEA-stroom, worden gecertificeerd door NP EN 50625-1:2014 "Voorschriften voor de inzameling, het vervoer en de behandeling van AEEA – Deel 1:</w:t>
      </w:r>
      <w:r>
        <w:rPr>
          <w:sz w:val="24"/>
          <w:rFonts w:ascii="Garamond" w:hAnsi="Garamond"/>
        </w:rPr>
        <w:t xml:space="preserve"> </w:t>
      </w:r>
      <w:r>
        <w:rPr>
          <w:sz w:val="24"/>
          <w:rFonts w:ascii="Garamond" w:hAnsi="Garamond"/>
        </w:rPr>
        <w:t xml:space="preserve">Algemene vereisten en behandelingen" met de bijgewerkte formulering en door de norm ter vervanging ervan.</w:t>
      </w:r>
    </w:p>
    <w:p w14:paraId="0AF9C3B3" w14:textId="77777777" w:rsidR="006D6021" w:rsidRPr="008E5B84" w:rsidRDefault="00311339">
      <w:pPr>
        <w:pStyle w:val="ListParagraph"/>
        <w:widowControl w:val="0"/>
        <w:numPr>
          <w:ilvl w:val="0"/>
          <w:numId w:val="2"/>
        </w:numPr>
        <w:spacing w:after="120" w:line="360" w:lineRule="auto"/>
        <w:ind w:right="567"/>
        <w:jc w:val="both"/>
        <w:rPr>
          <w:sz w:val="24"/>
          <w:szCs w:val="24"/>
          <w:rFonts w:ascii="Garamond" w:hAnsi="Garamond"/>
        </w:rPr>
      </w:pPr>
      <w:r>
        <w:rPr>
          <w:sz w:val="24"/>
          <w:rFonts w:ascii="Garamond" w:hAnsi="Garamond"/>
        </w:rPr>
        <w:t xml:space="preserve">Verwerkingsbedrijven van AEEA die als gevaarlijk zijn ingedeeld, moeten, naast de in het vorige lid bedoelde certificering, worden gecertificeerd door de desbetreffende norm van de EN 50625-normenreeks, namelijk voor lampen (NP EN 50625-2-1:2014), displays en monitoren (NP EN 50625-2-2:2015) en apparatuur voor temperatuurregeling (EN 50625-2-3:2017), met hun bijgewerkte formulering en door de normen ter vervanging daarvan.</w:t>
      </w:r>
      <w:r>
        <w:rPr>
          <w:sz w:val="24"/>
          <w:rFonts w:ascii="Garamond" w:hAnsi="Garamond"/>
        </w:rPr>
        <w:t xml:space="preserve"> </w:t>
      </w:r>
    </w:p>
    <w:p w14:paraId="2AD5545D" w14:textId="1D2B1236"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Lid 1 is niet van toepassing op exploitanten die afvalverwerking verrichten in een industriële inrichting in het kader van het systeem voor verantwoordelijke industrie (SIR), behalve in het geval van een afvalverwerkingsinstallatie die extrinsiek is voor industriële activiteiten.</w:t>
      </w:r>
    </w:p>
    <w:p w14:paraId="55123F50" w14:textId="5AFC3F8E"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De in de leden 1, 5 en 6 bedoelde afvalverwerkingsbedrijven bewijzen uiterlijk op 31 maart van elk jaar dat de kwalificatievereisten en -normen die voor het voorgaande jaar van toepassing waren op de coördinerende instantie voor het verlenen van vergunningen, zijn nageleefd, mits de vergunning geheel of gedeeltelijk is geschorst overeenkomstig artikel 81 van de algemene regeling voor het beheer van afvalstoffen.</w:t>
      </w:r>
      <w:r>
        <w:rPr>
          <w:sz w:val="24"/>
          <w:rFonts w:ascii="Garamond" w:hAnsi="Garamond"/>
        </w:rPr>
        <w:t xml:space="preserve"> </w:t>
      </w:r>
    </w:p>
    <w:p w14:paraId="3813BD80"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Het bepaalde in het vorige lid is slechts van toepassing indien de exploitant op 31 maart een vergunning voor behandeling heeft gekregen voor ten minste zes maanden.</w:t>
      </w:r>
    </w:p>
    <w:p w14:paraId="68599E61" w14:textId="44D5CD63"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Het bewijs dat aan de in lid 1 bedoelde kwalificatievereisten is voldaan, wordt geleverd door middel van een document dat door gekwalificeerde verificateurs is afgegeven.</w:t>
      </w:r>
      <w:bookmarkStart w:id="1" w:name="_Hlk52723080"/>
    </w:p>
    <w:bookmarkEnd w:id="1"/>
    <w:p w14:paraId="511DE8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De criteria en methodologie voor de erkenning van instanties die bevoegd zijn voor certificering en gekwalificeerde verificateurs worden vastgesteld bij de verordening van het lid van de regering dat verantwoordelijk is voor milieuaangelegenheden.</w:t>
      </w:r>
    </w:p>
    <w:p w14:paraId="03805ED9" w14:textId="59353803" w:rsidR="006D6021" w:rsidRPr="008E5B84" w:rsidRDefault="00BC4ADA">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De in de leden 5 en 6 bedoelde certificering wordt verricht door een geaccrediteerde derde partij.</w:t>
      </w:r>
      <w:r>
        <w:rPr>
          <w:sz w:val="24"/>
          <w:rFonts w:ascii="Garamond" w:hAnsi="Garamond"/>
        </w:rPr>
        <w:t xml:space="preserve"> </w:t>
      </w:r>
    </w:p>
    <w:p w14:paraId="6EC366FF" w14:textId="77777777" w:rsidR="006D6021" w:rsidRPr="008E5B84" w:rsidRDefault="00311339">
      <w:pPr>
        <w:pStyle w:val="ListParagraph"/>
        <w:widowControl w:val="0"/>
        <w:numPr>
          <w:ilvl w:val="0"/>
          <w:numId w:val="2"/>
        </w:numPr>
        <w:spacing w:after="120" w:line="360" w:lineRule="auto"/>
        <w:ind w:left="993" w:right="567" w:hanging="426"/>
        <w:jc w:val="both"/>
        <w:rPr>
          <w:sz w:val="24"/>
          <w:szCs w:val="24"/>
          <w:rFonts w:ascii="Garamond" w:hAnsi="Garamond"/>
        </w:rPr>
      </w:pPr>
      <w:r>
        <w:rPr>
          <w:sz w:val="24"/>
          <w:rFonts w:ascii="Garamond" w:hAnsi="Garamond"/>
        </w:rPr>
        <w:t xml:space="preserve">Niet-naleving van de in dit artikel vastgestelde kwalificatievereisten of -normen vormt een grond voor de volledige of gedeeltelijke intrekking van hun vergunning overeenkomstig artikel 81 van de algemene regeling voor het beheer van afvalstoffen.</w:t>
      </w:r>
      <w:r>
        <w:rPr>
          <w:sz w:val="24"/>
          <w:rFonts w:ascii="Garamond" w:hAnsi="Garamond"/>
        </w:rPr>
        <w:t xml:space="preserve"> </w:t>
      </w:r>
    </w:p>
    <w:p w14:paraId="69B2E75E" w14:textId="77777777" w:rsidR="006D6021" w:rsidRPr="008E5B84" w:rsidRDefault="00311339">
      <w:pPr>
        <w:widowControl w:val="0"/>
        <w:spacing w:after="120" w:line="360" w:lineRule="auto"/>
        <w:ind w:firstLine="284"/>
        <w:jc w:val="center"/>
        <w:rPr>
          <w:sz w:val="24"/>
          <w:szCs w:val="24"/>
          <w:rFonts w:ascii="Garamond" w:hAnsi="Garamond"/>
        </w:rPr>
      </w:pPr>
      <w:bookmarkStart w:id="2" w:name="_Hlk58518925"/>
      <w:r>
        <w:rPr>
          <w:sz w:val="24"/>
          <w:rFonts w:ascii="Garamond" w:hAnsi="Garamond"/>
        </w:rPr>
        <w:t xml:space="preserve">Artikel 23</w:t>
      </w:r>
    </w:p>
    <w:p w14:paraId="0F62E269" w14:textId="34428259" w:rsidR="006D6021" w:rsidRPr="008E5B84" w:rsidRDefault="008B3D7C">
      <w:pPr>
        <w:widowControl w:val="0"/>
        <w:spacing w:after="120" w:line="360" w:lineRule="auto"/>
        <w:ind w:firstLine="284"/>
        <w:jc w:val="center"/>
        <w:rPr>
          <w:sz w:val="24"/>
          <w:szCs w:val="24"/>
          <w:rFonts w:ascii="Garamond" w:hAnsi="Garamond"/>
        </w:rPr>
      </w:pPr>
      <w:r>
        <w:rPr>
          <w:sz w:val="24"/>
          <w:rFonts w:ascii="Garamond" w:hAnsi="Garamond"/>
        </w:rPr>
        <w:t xml:space="preserve">[…]</w:t>
      </w:r>
    </w:p>
    <w:p w14:paraId="5F9480C7" w14:textId="454DC41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F1D39B1"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7F3B2E9D" w14:textId="53686E70"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1C782BC8" w14:textId="68618E7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9345D1D"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i/>
          <w:iCs/>
          <w:rFonts w:ascii="Garamond" w:hAnsi="Garamond"/>
        </w:rPr>
        <w:t xml:space="preserve">Ingetrokken</w:t>
      </w:r>
      <w:r>
        <w:rPr>
          <w:sz w:val="24"/>
          <w:rFonts w:ascii="Garamond" w:hAnsi="Garamond"/>
        </w:rPr>
        <w:t xml:space="preserve">];</w:t>
      </w:r>
    </w:p>
    <w:p w14:paraId="78E509FB" w14:textId="77777777"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r>
        <w:rPr>
          <w:sz w:val="24"/>
          <w:rFonts w:ascii="Garamond" w:hAnsi="Garamond"/>
        </w:rPr>
        <w:t xml:space="preserve"> </w:t>
      </w:r>
    </w:p>
    <w:p w14:paraId="05BCEA55" w14:textId="01A4160C"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3B767401" w14:textId="7091B311" w:rsidR="006D6021" w:rsidRPr="008E5B84" w:rsidRDefault="008600E0">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4A4D1BE3" w14:textId="4898503B"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0B339EEC" w14:textId="208F75F9"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566473D6" w14:textId="164AC433"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3" w:name="_Hlk61626903"/>
      <w:r>
        <w:rPr>
          <w:sz w:val="24"/>
          <w:rFonts w:ascii="Garamond" w:hAnsi="Garamond"/>
        </w:rPr>
        <w:t xml:space="preserve">[...].</w:t>
      </w:r>
    </w:p>
    <w:p w14:paraId="66BCCA1B" w14:textId="4D55870F"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3A26731" w14:textId="652B1C92"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4" w:name="_Hlk61626654"/>
      <w:bookmarkEnd w:id="3"/>
      <w:r>
        <w:rPr>
          <w:sz w:val="24"/>
          <w:rFonts w:ascii="Garamond" w:hAnsi="Garamond"/>
        </w:rPr>
        <w:t xml:space="preserve">[...].</w:t>
      </w:r>
    </w:p>
    <w:bookmarkEnd w:id="4"/>
    <w:p w14:paraId="385DA688" w14:textId="0D95D9A5"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w:t>
      </w:r>
    </w:p>
    <w:p w14:paraId="7BCA8040" w14:textId="4560123D"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5" w:name="_Hlk52724639"/>
      <w:r>
        <w:rPr>
          <w:sz w:val="24"/>
          <w:rFonts w:ascii="Garamond" w:hAnsi="Garamond"/>
        </w:rPr>
        <w:t xml:space="preserve">[...].</w:t>
      </w:r>
    </w:p>
    <w:p w14:paraId="22A71714" w14:textId="11A87C2A" w:rsidR="006D6021" w:rsidRPr="008E5B84" w:rsidRDefault="00311339">
      <w:pPr>
        <w:widowControl w:val="0"/>
        <w:numPr>
          <w:ilvl w:val="0"/>
          <w:numId w:val="3"/>
        </w:numPr>
        <w:spacing w:after="120" w:line="360" w:lineRule="auto"/>
        <w:ind w:left="993" w:right="567" w:hanging="426"/>
        <w:jc w:val="both"/>
        <w:rPr>
          <w:sz w:val="24"/>
          <w:szCs w:val="24"/>
          <w:rFonts w:ascii="Garamond" w:hAnsi="Garamond"/>
        </w:rPr>
      </w:pPr>
      <w:bookmarkStart w:id="6" w:name="_Hlk52724601"/>
      <w:bookmarkEnd w:id="5"/>
      <w:r>
        <w:rPr>
          <w:sz w:val="24"/>
          <w:rFonts w:ascii="Garamond" w:hAnsi="Garamond"/>
        </w:rPr>
        <w:t xml:space="preserve">[...].</w:t>
      </w:r>
    </w:p>
    <w:p w14:paraId="7F2D2F9B" w14:textId="47B01B05"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Herbruikbare verpakkingen zijn onderworpen aan een merkteken waarvan het symbool en de etiketteringsvoorschriften worden vastgesteld bij verordening van de leden van de regering die verantwoordelijk is voor economische aangelegenheden en milieuaangelegenheden, na raadpleging van de verenigingen die de betrokken sectoren vertegenwoordigen.</w:t>
      </w:r>
    </w:p>
    <w:p w14:paraId="0388493E" w14:textId="282251FD" w:rsidR="006D6021" w:rsidRPr="008E5B84" w:rsidRDefault="00311339" w:rsidP="007E1034">
      <w:pPr>
        <w:widowControl w:val="0"/>
        <w:numPr>
          <w:ilvl w:val="0"/>
          <w:numId w:val="3"/>
        </w:numPr>
        <w:spacing w:after="120" w:line="360" w:lineRule="auto"/>
        <w:ind w:left="993" w:right="567" w:hanging="426"/>
        <w:jc w:val="both"/>
        <w:rPr>
          <w:sz w:val="24"/>
          <w:szCs w:val="24"/>
          <w:rFonts w:ascii="Garamond" w:hAnsi="Garamond"/>
        </w:rPr>
      </w:pPr>
      <w:r>
        <w:rPr>
          <w:sz w:val="24"/>
          <w:rFonts w:ascii="Garamond" w:hAnsi="Garamond"/>
        </w:rPr>
        <w:t xml:space="preserve">De in het vorige lid bedoelde verordening wordt bekendgemaakt tot en met 31 december 2022, waarbij een overgangsperiode wordt vastgesteld voor de naleving van de markeringsverplichting van ten minste één jaar.</w:t>
      </w:r>
      <w:r>
        <w:rPr>
          <w:sz w:val="24"/>
          <w:rFonts w:ascii="Garamond" w:hAnsi="Garamond"/>
        </w:rPr>
        <w:t xml:space="preserve"> </w:t>
      </w:r>
    </w:p>
    <w:bookmarkEnd w:id="2"/>
    <w:bookmarkEnd w:id="6"/>
    <w:p w14:paraId="2073F806" w14:textId="77777777"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Artikel 28</w:t>
      </w:r>
    </w:p>
    <w:p w14:paraId="1BFEB45B" w14:textId="255D8B70" w:rsidR="006D6021" w:rsidRPr="008E5B84" w:rsidRDefault="00311339">
      <w:pPr>
        <w:widowControl w:val="0"/>
        <w:spacing w:after="120" w:line="360" w:lineRule="auto"/>
        <w:ind w:left="851" w:right="567" w:hanging="284"/>
        <w:jc w:val="center"/>
        <w:rPr>
          <w:sz w:val="24"/>
          <w:szCs w:val="24"/>
          <w:rFonts w:ascii="Garamond" w:hAnsi="Garamond"/>
        </w:rPr>
      </w:pPr>
      <w:r>
        <w:rPr>
          <w:sz w:val="24"/>
          <w:rFonts w:ascii="Garamond" w:hAnsi="Garamond"/>
        </w:rPr>
        <w:t xml:space="preserve">Markering van de verpakking</w:t>
      </w:r>
    </w:p>
    <w:p w14:paraId="1559C70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w:t>
      </w:r>
      <w:r>
        <w:rPr>
          <w:sz w:val="24"/>
          <w:i/>
          <w:iCs/>
          <w:rFonts w:ascii="Garamond" w:hAnsi="Garamond"/>
        </w:rPr>
        <w:t xml:space="preserve">Ingetrokken</w:t>
      </w:r>
      <w:r>
        <w:rPr>
          <w:sz w:val="24"/>
          <w:rFonts w:ascii="Garamond" w:hAnsi="Garamond"/>
        </w:rPr>
        <w:t xml:space="preserve">].</w:t>
      </w:r>
      <w:r>
        <w:rPr>
          <w:sz w:val="24"/>
          <w:rFonts w:ascii="Garamond" w:hAnsi="Garamond"/>
        </w:rPr>
        <w:t xml:space="preserve"> </w:t>
      </w:r>
    </w:p>
    <w:p w14:paraId="3035F5D8"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Onverminderd lid 9 mogen niet-herbruikbare primaire verpakkingen uit andere lidstaten van de Europese Unie of derde landen die zijn gemarkeerd met een specifiek symbool van oorsprong, met dat symbool in de handel worden gebracht.</w:t>
      </w:r>
      <w:r>
        <w:rPr>
          <w:sz w:val="24"/>
          <w:rFonts w:ascii="Garamond" w:hAnsi="Garamond"/>
        </w:rPr>
        <w:t xml:space="preserve"> </w:t>
      </w:r>
    </w:p>
    <w:p w14:paraId="21253B2F"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Verpakkingen die worden beheerd in het kader van de in artikel 23-C bedoelde statiegeldregeling, worden gemarkeerd met het symbool dat is gedefinieerd in een verordening die moet worden goedgekeurd door de leden van de regering die verantwoordelijk is voor economische aangelegenheden en milieuaangelegenheden.</w:t>
      </w:r>
    </w:p>
    <w:p w14:paraId="2C5C3A24"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Om inzameling, hergebruik en nuttige toepassing, met inbegrip van recycling, te vergemakkelijken, vermeldt de verpakking de aard van het voor identificatie en indeling door de industrie gebruikte verpakkingsmateriaal overeenkomstig het identificatiesysteem dat is ingesteld bij Beschikking nr. 97/129/EG van de Commissie van 28 januari 1997, waarvan het systeem is vastgesteld in bijlage IX bij dit wetsbesluit en waarvan het een integrerend deel uitmaakt.</w:t>
      </w:r>
    </w:p>
    <w:p w14:paraId="692F362A"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t xml:space="preserve">Ter bevordering van de correcte scheiding van afvalstoffen en ter verhoging van het niveau en de kwaliteit van de recycling, </w:t>
      </w:r>
      <w:bookmarkStart w:id="7" w:name="_Hlk61624722"/>
      <w:r>
        <w:t xml:space="preserve">worden op de in de handel gebrachte recyclebare verpakkingen passende sorteringsinstructies aangebracht, </w:t>
      </w:r>
      <w:bookmarkEnd w:id="7"/>
      <w:r>
        <w:t xml:space="preserve">met name de kleur van de recyclingbak waarin zij moeten worden geplaatst, overeenkomstig de in de verordening van de leden van de regering die verantwoordelijk is voor economische aangelegenheden en milieuaangelegenheden vast te stellen voorwaarden.</w:t>
      </w:r>
    </w:p>
    <w:p w14:paraId="533DE736"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De in het vorige lid bedoelde markering moet aan de volgende vereisten voldoen:</w:t>
      </w:r>
    </w:p>
    <w:p w14:paraId="08DBE96C"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Het kan worden gepresenteerd door middel van iconografie of geschreven tekst, of beide;</w:t>
      </w:r>
    </w:p>
    <w:p w14:paraId="77968FCD" w14:textId="77777777" w:rsidR="006D6021" w:rsidRPr="008E5B84" w:rsidRDefault="00311339">
      <w:pPr>
        <w:widowControl w:val="0"/>
        <w:numPr>
          <w:ilvl w:val="0"/>
          <w:numId w:val="5"/>
        </w:numPr>
        <w:spacing w:after="120" w:line="360" w:lineRule="auto"/>
        <w:ind w:left="1418" w:right="567" w:hanging="284"/>
        <w:jc w:val="both"/>
        <w:rPr>
          <w:sz w:val="24"/>
          <w:szCs w:val="24"/>
          <w:rFonts w:ascii="Garamond" w:hAnsi="Garamond"/>
        </w:rPr>
      </w:pPr>
      <w:r>
        <w:rPr>
          <w:sz w:val="24"/>
          <w:rFonts w:ascii="Garamond" w:hAnsi="Garamond"/>
        </w:rPr>
        <w:t xml:space="preserve">Het moet zichtbaar, leesbaar en onuitwisbaar zijn.</w:t>
      </w:r>
    </w:p>
    <w:p w14:paraId="661794D2"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Primaire verpakkingen en secundaire verpakkingen die voor de consument bestemd zijn, vallen onder de in lid 5 bedoelde markeerplicht.</w:t>
      </w:r>
    </w:p>
    <w:p w14:paraId="31B5251D" w14:textId="77777777" w:rsidR="006D6021" w:rsidRPr="008E5B84"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Verpakkingen waarvan de afmetingen geen markering overeenkomstig lid 6 mogelijk maken, zijn vrijgesteld van de in lid 5 bedoelde verplichting.</w:t>
      </w:r>
    </w:p>
    <w:p w14:paraId="0D5DA7CC" w14:textId="07B00E1C" w:rsidR="006D6021" w:rsidRPr="008B3D7C" w:rsidRDefault="00311339">
      <w:pPr>
        <w:widowControl w:val="0"/>
        <w:numPr>
          <w:ilvl w:val="0"/>
          <w:numId w:val="4"/>
        </w:numPr>
        <w:tabs>
          <w:tab w:val="left" w:pos="567"/>
        </w:tabs>
        <w:spacing w:after="120" w:line="360" w:lineRule="auto"/>
        <w:ind w:left="993" w:right="567" w:hanging="426"/>
        <w:jc w:val="both"/>
        <w:rPr>
          <w:sz w:val="24"/>
          <w:szCs w:val="24"/>
          <w:rFonts w:ascii="Garamond" w:hAnsi="Garamond"/>
        </w:rPr>
      </w:pPr>
      <w:r>
        <w:rPr>
          <w:sz w:val="24"/>
          <w:rFonts w:ascii="Garamond" w:hAnsi="Garamond"/>
        </w:rPr>
        <w:t xml:space="preserve">Om de informatie aan de consument te verduidelijken en de correcte verzending van verpakkingsafval te bevorderen, is het in de handel brengen van recyclebare en herbruikbare verpakkingen die zijn gemarkeerd met het ‘tidy man’-symbool vanaf de datum van inwerkingtreding van de in lid 5 bedoelde verplichting verboden.</w:t>
      </w:r>
    </w:p>
    <w:p w14:paraId="5CFB03EA" w14:textId="77777777" w:rsidR="006D6021" w:rsidRPr="008E5B84" w:rsidRDefault="00311339">
      <w:pPr>
        <w:widowControl w:val="0"/>
        <w:numPr>
          <w:ilvl w:val="0"/>
          <w:numId w:val="4"/>
        </w:numPr>
        <w:spacing w:after="120" w:line="360" w:lineRule="auto"/>
        <w:ind w:right="567"/>
        <w:jc w:val="both"/>
        <w:rPr>
          <w:sz w:val="24"/>
          <w:szCs w:val="24"/>
          <w:rFonts w:ascii="Garamond" w:hAnsi="Garamond"/>
        </w:rPr>
      </w:pPr>
      <w:r>
        <w:rPr>
          <w:sz w:val="24"/>
          <w:rFonts w:ascii="Garamond" w:hAnsi="Garamond"/>
        </w:rPr>
        <w:t xml:space="preserve">De in lid 5 bedoelde verordening wordt uiterlijk op 31 december 2022 bekendgemaakt, tot vaststelling van een overgangsperiode voor de naleving van de markeerplicht van ten minste één jaar.</w:t>
      </w:r>
      <w:r>
        <w:rPr>
          <w:sz w:val="24"/>
          <w:rFonts w:ascii="Garamond" w:hAnsi="Garamond"/>
        </w:rPr>
        <w:t xml:space="preserve"> </w:t>
      </w:r>
    </w:p>
    <w:p w14:paraId="2B5AE871" w14:textId="77777777" w:rsidR="006D6021" w:rsidRPr="008E5B84" w:rsidRDefault="0031133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Artikel 90</w:t>
      </w:r>
    </w:p>
    <w:p w14:paraId="5993F2D8" w14:textId="679E6390" w:rsidR="006D6021" w:rsidRPr="008E5B84" w:rsidRDefault="00BB1999">
      <w:pPr>
        <w:pStyle w:val="ListParagraph"/>
        <w:widowControl w:val="0"/>
        <w:tabs>
          <w:tab w:val="left" w:pos="567"/>
        </w:tabs>
        <w:spacing w:after="120" w:line="360" w:lineRule="auto"/>
        <w:ind w:left="426"/>
        <w:jc w:val="center"/>
        <w:rPr>
          <w:sz w:val="24"/>
          <w:szCs w:val="24"/>
          <w:rFonts w:ascii="Garamond" w:hAnsi="Garamond"/>
        </w:rPr>
      </w:pPr>
      <w:r>
        <w:rPr>
          <w:sz w:val="24"/>
          <w:rFonts w:ascii="Garamond" w:hAnsi="Garamond"/>
        </w:rPr>
        <w:t xml:space="preserve">[…]</w:t>
      </w:r>
    </w:p>
    <w:p w14:paraId="1BD8205D" w14:textId="1A72943D"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1 – [...].</w:t>
      </w:r>
    </w:p>
    <w:p w14:paraId="4D5E45BC" w14:textId="264AD440" w:rsidR="006D6021" w:rsidRPr="008E5B84" w:rsidRDefault="00311339">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2 – De uitvoering van de volgende handelingen vormt een ernstige administratieve overtreding, die strafbaar is overeenkomstig de wetgeving inzake administratieve ambten:</w:t>
      </w:r>
    </w:p>
    <w:p w14:paraId="34A60EBF" w14:textId="26983D8A" w:rsidR="006D6021"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1F789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6331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05824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3D56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2FDC02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BC28BB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177A22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593CF5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28600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BC6BC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7EA91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290F3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C38F4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064F8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D256B3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8E3AE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766C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025FBF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4061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DF3C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B239DF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6F8F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2E3F6D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E8224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BFF0E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8A0F7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A7FDC2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62DF6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C64AB0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D01A8C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3B4721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C8ADFF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6BEAB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BD54DA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10FE05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700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61AB7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9F70C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5AAF43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67C96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581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A67ED0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FD8B5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D7B2B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9EF169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4203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87A0E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535D9B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DEE736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CF52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F97F9A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45242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2D3F49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5AD1E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F3308E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E916B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18C53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53AAC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1CC34B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0E494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1F41D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F2D2B9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2EE4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B3E788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A382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9E0BA6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D5C7C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00FEF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E5517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162670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717439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19079DF" w14:textId="3E22BD35"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De uitoefening van activiteiten omtrent afvalstoffenverwerking door exploitanten die niet voldoen aan de overeenkomstig artikel 8, leden 1, 5 en 6, geldende kwalificatievereisten of -normen;</w:t>
      </w:r>
      <w:r>
        <w:rPr>
          <w:sz w:val="24"/>
          <w:rFonts w:ascii="Garamond" w:hAnsi="Garamond"/>
        </w:rPr>
        <w:t xml:space="preserve"> </w:t>
      </w:r>
    </w:p>
    <w:p w14:paraId="7EA03A99" w14:textId="76D22DF1"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Niet-nakoming van de verplichting tot het markeren van verpakkingen overeenkomstig artikel 23, lid 11, en artikel 28, lid 3.</w:t>
      </w:r>
    </w:p>
    <w:p w14:paraId="63F4F092" w14:textId="77777777" w:rsidR="006D6021" w:rsidRPr="008E5B84" w:rsidRDefault="00311339" w:rsidP="008E5B84">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3 – De uitvoering van de volgende handelingen vormt een lichte administratieve milieuovertreding, die strafbaar is overeenkomstig de kaderwet inzake administratieve overtredingen op milieugebied:</w:t>
      </w:r>
    </w:p>
    <w:p w14:paraId="717D1B1F" w14:textId="6632C3C4" w:rsidR="00AE3FD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786638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6DAF0A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84EE665"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5E9A59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F82066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A3C0C2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CAC49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88AD3E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0F16E2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91B075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CF63BA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D5C26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3372D1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6CAD88E"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2EE26E5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FAFE6A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5A2FA55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0E63E2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4BEAAE8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535C3B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7AA1FB1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3329FF90"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D3E144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19D916A"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14E02EE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693628B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w:t>
      </w:r>
    </w:p>
    <w:p w14:paraId="0429CEE4" w14:textId="7C04ACFC"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Niet-naleving van de verplichting om het (de) gebruikte verpakkingsmateriaal(en) op de verpakking te vermelden overeenkomstig artikel 28, lid 4;</w:t>
      </w:r>
    </w:p>
    <w:p w14:paraId="52F2A95D" w14:textId="5A6D3D93"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Niet-naleving van de verplichting om de bestemming van de verpakking te bepalen wanneer deze recyclebaar is overeenkomstig artikel 28, leden 5 en 6;</w:t>
      </w:r>
    </w:p>
    <w:p w14:paraId="6D3571B6" w14:textId="2BE01E53" w:rsidR="007C12A7" w:rsidRDefault="00311339" w:rsidP="00AE3FD7">
      <w:pPr>
        <w:pStyle w:val="ListParagraph"/>
        <w:widowControl w:val="0"/>
        <w:numPr>
          <w:ilvl w:val="0"/>
          <w:numId w:val="9"/>
        </w:numPr>
        <w:tabs>
          <w:tab w:val="left" w:pos="993"/>
        </w:tabs>
        <w:spacing w:after="120" w:line="360" w:lineRule="auto"/>
        <w:ind w:left="993" w:hanging="567"/>
        <w:jc w:val="both"/>
        <w:rPr>
          <w:sz w:val="24"/>
          <w:szCs w:val="24"/>
          <w:rFonts w:ascii="Garamond" w:hAnsi="Garamond"/>
        </w:rPr>
      </w:pPr>
      <w:r>
        <w:rPr>
          <w:sz w:val="24"/>
          <w:rFonts w:ascii="Garamond" w:hAnsi="Garamond"/>
        </w:rPr>
        <w:t xml:space="preserve">Het gebruik van het ‘tidy man’-symbool op recyclebare en herbruikbare verpakkingen in strijd met artikel 28, lid 9.</w:t>
      </w:r>
      <w:r>
        <w:rPr>
          <w:sz w:val="24"/>
          <w:rFonts w:ascii="Garamond" w:hAnsi="Garamond"/>
        </w:rPr>
        <w:t xml:space="preserve"> </w:t>
      </w:r>
    </w:p>
    <w:p w14:paraId="7C8C6BB9" w14:textId="1CA7F2E5"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4 – [...].</w:t>
      </w:r>
    </w:p>
    <w:p w14:paraId="320DA334" w14:textId="78F12E10"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5 – [...].</w:t>
      </w:r>
    </w:p>
    <w:p w14:paraId="503ACA32" w14:textId="77777777" w:rsidR="007C12A7" w:rsidRPr="007C12A7"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6 – [...].</w:t>
      </w:r>
      <w:r>
        <w:rPr>
          <w:sz w:val="24"/>
          <w:rFonts w:ascii="Garamond" w:hAnsi="Garamond"/>
        </w:rPr>
        <w:t xml:space="preserve"> </w:t>
      </w:r>
    </w:p>
    <w:p w14:paraId="425838E4" w14:textId="5781235B" w:rsidR="006D6021" w:rsidRPr="008E5B84" w:rsidRDefault="007C12A7" w:rsidP="007C12A7">
      <w:pPr>
        <w:pStyle w:val="ListParagraph"/>
        <w:widowControl w:val="0"/>
        <w:tabs>
          <w:tab w:val="left" w:pos="567"/>
        </w:tabs>
        <w:spacing w:after="120" w:line="360" w:lineRule="auto"/>
        <w:ind w:left="426"/>
        <w:jc w:val="both"/>
        <w:rPr>
          <w:sz w:val="24"/>
          <w:szCs w:val="24"/>
          <w:rFonts w:ascii="Garamond" w:hAnsi="Garamond"/>
        </w:rPr>
      </w:pPr>
      <w:r>
        <w:rPr>
          <w:sz w:val="24"/>
          <w:rFonts w:ascii="Garamond" w:hAnsi="Garamond"/>
        </w:rPr>
        <w:t xml:space="preserve">7 – [...].”</w:t>
      </w:r>
    </w:p>
    <w:p w14:paraId="4D8B501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rPr>
          <w:sz w:val="24"/>
          <w:rFonts w:ascii="Garamond" w:hAnsi="Garamond"/>
        </w:rPr>
        <w:t xml:space="preserve">Artikel 3</w:t>
      </w:r>
    </w:p>
    <w:p w14:paraId="748BF384" w14:textId="77777777" w:rsidR="006D6021" w:rsidRPr="008E5B84" w:rsidRDefault="00311339">
      <w:pPr>
        <w:shd w:val="clear" w:color="auto" w:fill="FFFFFF"/>
        <w:suppressAutoHyphens w:val="0"/>
        <w:spacing w:after="225" w:line="390" w:lineRule="atLeast"/>
        <w:jc w:val="center"/>
        <w:textAlignment w:val="auto"/>
        <w:rPr>
          <w:sz w:val="24"/>
          <w:szCs w:val="24"/>
          <w:rFonts w:ascii="Garamond" w:hAnsi="Garamond"/>
        </w:rPr>
      </w:pPr>
      <w:r>
        <w:t xml:space="preserve">Aanvulling op </w:t>
      </w:r>
      <w:hyperlink r:id="rId22" w:tooltip="Wetsbesluit nr. 152-D/2017" w:history="1">
        <w:r>
          <w:rPr>
            <w:sz w:val="24"/>
            <w:rFonts w:ascii="Garamond" w:hAnsi="Garamond"/>
          </w:rPr>
          <w:t xml:space="preserve">wetsbesluit nr. 152-D/2017</w:t>
        </w:r>
      </w:hyperlink>
      <w:r>
        <w:t xml:space="preserve"> van 11 december</w:t>
      </w:r>
    </w:p>
    <w:p w14:paraId="380A1081" w14:textId="6C021E2E" w:rsidR="006D6021" w:rsidRPr="008E5B84" w:rsidRDefault="00311339">
      <w:pPr>
        <w:shd w:val="clear" w:color="auto" w:fill="FFFFFF"/>
        <w:suppressAutoHyphens w:val="0"/>
        <w:spacing w:after="225" w:line="390" w:lineRule="atLeast"/>
        <w:jc w:val="both"/>
        <w:textAlignment w:val="auto"/>
        <w:rPr>
          <w:sz w:val="24"/>
          <w:szCs w:val="24"/>
          <w:rFonts w:ascii="Garamond" w:hAnsi="Garamond"/>
        </w:rPr>
      </w:pPr>
      <w:r>
        <w:t xml:space="preserve">Artikel 20-A wordt in de huidige formulering toegevoegd aan </w:t>
      </w:r>
      <w:hyperlink r:id="rId23" w:tooltip="Wetsbesluit nr. 152-D/2017" w:history="1">
        <w:r>
          <w:rPr>
            <w:sz w:val="24"/>
            <w:rFonts w:ascii="Garamond" w:hAnsi="Garamond"/>
          </w:rPr>
          <w:t xml:space="preserve">wetsbesluit nr. 152-D/2017</w:t>
        </w:r>
      </w:hyperlink>
      <w:r>
        <w:t xml:space="preserve"> van 11 december, met de volgende tekst:</w:t>
      </w:r>
    </w:p>
    <w:p w14:paraId="752800F2"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“Artikel 20-A</w:t>
      </w:r>
    </w:p>
    <w:p w14:paraId="1AB94D2F" w14:textId="77777777" w:rsidR="006D6021" w:rsidRPr="008E5B84" w:rsidRDefault="00311339">
      <w:pPr>
        <w:widowControl w:val="0"/>
        <w:spacing w:after="120" w:line="360" w:lineRule="auto"/>
        <w:jc w:val="center"/>
        <w:rPr>
          <w:sz w:val="24"/>
          <w:szCs w:val="24"/>
          <w:rFonts w:ascii="Garamond" w:hAnsi="Garamond"/>
        </w:rPr>
      </w:pPr>
      <w:r>
        <w:rPr>
          <w:sz w:val="24"/>
          <w:rFonts w:ascii="Garamond" w:hAnsi="Garamond"/>
        </w:rPr>
        <w:t xml:space="preserve">Verantwoordelijkheid van de intermediaire netwerkdienstverlener</w:t>
      </w:r>
      <w:r>
        <w:rPr>
          <w:sz w:val="24"/>
          <w:rFonts w:ascii="Garamond" w:hAnsi="Garamond"/>
        </w:rPr>
        <w:t xml:space="preserve"> </w:t>
      </w:r>
    </w:p>
    <w:p w14:paraId="51D2D4EC"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Tussenleveranciers van computergemedieerde communicatiediensten die niet als producent worden beschouwd in de zin van dit wetsbesluit, maar die door het gebruik van een elektronische interface zoals een markt, platform, portaal of soortgelijk apparaat de verkoop of levering op afstand van producten die onder het uitgebreide aansprakelijkheidsbeginsel van de producent vallen vergemakkelijken voor rekening van een derde, verzoeken deze informatie om aan te tonen dat voldaan wordt aan de verplichtingen met betrekking tot:</w:t>
      </w:r>
    </w:p>
    <w:p w14:paraId="203F3B33"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Invoer en jaarlijkse indiening van gegevens bij de SIRER overeenkomstig artikel 19, lid 1;</w:t>
      </w:r>
    </w:p>
    <w:p w14:paraId="34CEE8B9" w14:textId="77777777" w:rsidR="006D6021" w:rsidRPr="008E5B84" w:rsidRDefault="00311339">
      <w:pPr>
        <w:numPr>
          <w:ilvl w:val="1"/>
          <w:numId w:val="6"/>
        </w:numPr>
        <w:spacing w:after="120" w:line="360" w:lineRule="auto"/>
        <w:ind w:left="1560" w:hanging="284"/>
        <w:jc w:val="both"/>
        <w:rPr>
          <w:sz w:val="24"/>
          <w:szCs w:val="24"/>
          <w:rFonts w:ascii="Garamond" w:hAnsi="Garamond"/>
        </w:rPr>
      </w:pPr>
      <w:r>
        <w:rPr>
          <w:sz w:val="24"/>
          <w:rFonts w:ascii="Garamond" w:hAnsi="Garamond"/>
        </w:rPr>
        <w:t xml:space="preserve">Vaststelling van één van de in artikel 7, lid 1, bedoelde systemen voor het producttype dat of de productcategorie die op het platform beschikbaar is.</w:t>
      </w:r>
    </w:p>
    <w:p w14:paraId="00C2C8D8" w14:textId="77777777" w:rsidR="006D6021" w:rsidRPr="008E5B84"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Voor de toepassing van het vorige lid verlangt de bemiddelaar van computergemedieerde communicatiediensten dat de betrokken informatie een voorwaarde is voor de registratie op het platform en voor de toepassing van de contractuele procedure en vervolgens een jaarlijkse actualisering van die informatie.</w:t>
      </w:r>
    </w:p>
    <w:p w14:paraId="4B9FAC75" w14:textId="77777777" w:rsidR="006D6021" w:rsidRDefault="00311339">
      <w:pPr>
        <w:numPr>
          <w:ilvl w:val="0"/>
          <w:numId w:val="6"/>
        </w:numPr>
        <w:spacing w:after="0" w:line="360" w:lineRule="auto"/>
        <w:ind w:left="993"/>
        <w:jc w:val="both"/>
        <w:rPr>
          <w:sz w:val="24"/>
          <w:szCs w:val="24"/>
          <w:rFonts w:ascii="Garamond" w:hAnsi="Garamond"/>
        </w:rPr>
      </w:pPr>
      <w:r>
        <w:rPr>
          <w:sz w:val="24"/>
          <w:rFonts w:ascii="Garamond" w:hAnsi="Garamond"/>
        </w:rPr>
        <w:t xml:space="preserve">De intermediaire aanbieder van computergemedieerde communicatiediensten die door het gebruik van een elektronische interface zoals een markt, een platform, een portaal of een soortgelijk apparaat, de verkoop op afstand of de levering van gebruikte onderdelen van AEEA en VFV voor hergebruik faciliteert, verzoekt de verkoper om informatie waaruit blijkt dat aan de verplichting is voldaan om ervoor te zorgen dat de gebruikte onderdelen afkomstig zijn van exploitanten met een vergunning voor ontmanteling, en verlangt onder meer informatie over het nummer van de licentienemer van de exploitant die op het platform beschikbaar is gesteld.”</w:t>
      </w:r>
    </w:p>
    <w:p w14:paraId="41D1684A" w14:textId="77777777" w:rsidR="00E262CE" w:rsidRPr="008E5B84" w:rsidRDefault="00E262CE" w:rsidP="002E3B2F">
      <w:pPr>
        <w:spacing w:after="0" w:line="360" w:lineRule="auto"/>
        <w:ind w:left="993"/>
        <w:jc w:val="both"/>
        <w:rPr>
          <w:rFonts w:ascii="Garamond" w:hAnsi="Garamond"/>
          <w:sz w:val="24"/>
          <w:szCs w:val="24"/>
        </w:rPr>
      </w:pPr>
    </w:p>
    <w:p w14:paraId="6416550A"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Artikel 4</w:t>
      </w:r>
    </w:p>
    <w:p w14:paraId="47C9561F" w14:textId="77777777" w:rsidR="006D6021" w:rsidRPr="008E5B84" w:rsidRDefault="00311339">
      <w:pPr>
        <w:widowControl w:val="0"/>
        <w:tabs>
          <w:tab w:val="left" w:pos="142"/>
        </w:tabs>
        <w:spacing w:after="120" w:line="360" w:lineRule="auto"/>
        <w:jc w:val="center"/>
        <w:rPr>
          <w:sz w:val="24"/>
          <w:szCs w:val="24"/>
          <w:rFonts w:ascii="Garamond" w:eastAsia="Times New Roman" w:hAnsi="Garamond" w:cs="Calibri Light"/>
        </w:rPr>
      </w:pPr>
      <w:r>
        <w:rPr>
          <w:sz w:val="24"/>
          <w:rFonts w:ascii="Garamond" w:hAnsi="Garamond"/>
        </w:rPr>
        <w:t xml:space="preserve">Overgangsregelingen</w:t>
      </w:r>
      <w:r>
        <w:rPr>
          <w:sz w:val="24"/>
          <w:rFonts w:ascii="Garamond" w:hAnsi="Garamond"/>
        </w:rPr>
        <w:t xml:space="preserve"> </w:t>
      </w:r>
    </w:p>
    <w:p w14:paraId="11F9B5E9" w14:textId="77777777" w:rsidR="006D6021" w:rsidRPr="008E5B84" w:rsidRDefault="00311339" w:rsidP="008E5B84">
      <w:pPr>
        <w:pStyle w:val="ListParagraph"/>
        <w:widowControl w:val="0"/>
        <w:numPr>
          <w:ilvl w:val="0"/>
          <w:numId w:val="7"/>
        </w:numPr>
        <w:spacing w:after="120" w:line="360" w:lineRule="auto"/>
        <w:ind w:left="993" w:hanging="709"/>
        <w:jc w:val="both"/>
        <w:rPr>
          <w:sz w:val="24"/>
          <w:szCs w:val="24"/>
          <w:rFonts w:ascii="Garamond" w:hAnsi="Garamond"/>
        </w:rPr>
      </w:pPr>
      <w:r>
        <w:rPr>
          <w:sz w:val="24"/>
          <w:rFonts w:ascii="Garamond" w:hAnsi="Garamond"/>
        </w:rPr>
        <w:t xml:space="preserve">De bepalingen van artikel 8, lid 5, van wetsbesluit nr. 152-D/2017 van 11 december, zoals gewijzigd bij dit wetsbesluit, zijn één jaar na de inwerkingtreding van dit wetsbesluit van toepassing.</w:t>
      </w:r>
      <w:r>
        <w:rPr>
          <w:sz w:val="24"/>
          <w:rFonts w:ascii="Garamond" w:hAnsi="Garamond"/>
        </w:rPr>
        <w:t xml:space="preserve"> </w:t>
      </w:r>
    </w:p>
    <w:p w14:paraId="33C46C89"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De bepalingen van artikel 8, lid 6, van wetsbesluit nr. 152-D/2017 van 11 december, zoals gewijzigd bij dit wetsbesluit, zijn van toepassing twee jaar na de inwerkingtreding van dit wetsbesluit.</w:t>
      </w:r>
    </w:p>
    <w:p w14:paraId="118482CA"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Het eerste jaar van nakoming van de verplichting van artikel 8, lid 8, van wetsbesluit nr. 152-D/2017 van 11 december, zoals gewijzigd bij dit wetsbesluit, moet 2022 zijn, met betrekking tot 2021, onverminderd het bepaalde in lid 9 van dat artikel, mits er op die datum gekwalificeerde verificateurs zijn.</w:t>
      </w:r>
    </w:p>
    <w:p w14:paraId="239A29A5" w14:textId="77777777" w:rsidR="006D6021" w:rsidRPr="008E5B84" w:rsidRDefault="00311339" w:rsidP="008E5B84">
      <w:pPr>
        <w:pStyle w:val="ListParagraph"/>
        <w:widowControl w:val="0"/>
        <w:numPr>
          <w:ilvl w:val="0"/>
          <w:numId w:val="7"/>
        </w:numPr>
        <w:spacing w:after="120" w:line="360" w:lineRule="auto"/>
        <w:ind w:left="993" w:hanging="710"/>
        <w:jc w:val="both"/>
        <w:rPr>
          <w:sz w:val="24"/>
          <w:szCs w:val="24"/>
          <w:rFonts w:ascii="Garamond" w:hAnsi="Garamond"/>
        </w:rPr>
      </w:pPr>
      <w:r>
        <w:rPr>
          <w:sz w:val="24"/>
          <w:rFonts w:ascii="Garamond" w:hAnsi="Garamond"/>
        </w:rPr>
        <w:t xml:space="preserve">De bepalingen van artikel 28, lid 4, van wetsbesluit nr. 152-D/2017 van 11 december, zoals gewijzigd bij dit wetsbesluit, zijn van toepassing twee jaar na de inwerkingtreding van dit wetsbesluit.</w:t>
      </w:r>
    </w:p>
    <w:p w14:paraId="561C5A3C" w14:textId="77777777" w:rsidR="00FA19BE" w:rsidRDefault="00FA19BE">
      <w:pPr>
        <w:jc w:val="center"/>
        <w:rPr>
          <w:rFonts w:ascii="Garamond" w:hAnsi="Garamond"/>
          <w:sz w:val="24"/>
          <w:szCs w:val="24"/>
        </w:rPr>
      </w:pPr>
    </w:p>
    <w:p w14:paraId="3AA09853" w14:textId="77777777" w:rsidR="00FA19BE" w:rsidRPr="008E5B84" w:rsidRDefault="00FA19BE" w:rsidP="00FA19BE">
      <w:pPr>
        <w:jc w:val="center"/>
        <w:rPr>
          <w:sz w:val="24"/>
          <w:szCs w:val="24"/>
          <w:rFonts w:ascii="Garamond" w:hAnsi="Garamond"/>
        </w:rPr>
      </w:pPr>
      <w:r>
        <w:rPr>
          <w:sz w:val="24"/>
          <w:rFonts w:ascii="Garamond" w:hAnsi="Garamond"/>
        </w:rPr>
        <w:t xml:space="preserve">Artikel 5</w:t>
      </w:r>
    </w:p>
    <w:p w14:paraId="3E008870" w14:textId="2B7749B8" w:rsidR="00FA19BE" w:rsidRPr="008E5B84" w:rsidRDefault="00FA19BE" w:rsidP="00FA19BE">
      <w:pPr>
        <w:jc w:val="center"/>
        <w:rPr>
          <w:sz w:val="24"/>
          <w:szCs w:val="24"/>
          <w:rFonts w:ascii="Garamond" w:hAnsi="Garamond"/>
        </w:rPr>
      </w:pPr>
      <w:r>
        <w:rPr>
          <w:sz w:val="24"/>
          <w:rFonts w:ascii="Garamond" w:hAnsi="Garamond"/>
        </w:rPr>
        <w:t xml:space="preserve">Intrekking</w:t>
      </w:r>
    </w:p>
    <w:p w14:paraId="357EF3D3" w14:textId="36BD9C91" w:rsidR="00FA19BE" w:rsidRPr="008E5B84" w:rsidRDefault="00FA19BE" w:rsidP="00FA19BE">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Artikel 28, lid 1, van wetsbesluit nr. 152-D/2017 van 11 december, zoals gewijzigd bij wetten nr. 69/2018 van 26 december en 41/2019 van 21 juni, bij wetsbesluit nr. 86/2020 van 14 oktober, en gewijzigd en opnieuw gepubliceerd bij wetsbesluit nr. 102-D/2020 van 10 december, wordt ingetrokken.</w:t>
      </w:r>
      <w:r>
        <w:rPr>
          <w:sz w:val="24"/>
          <w:rFonts w:ascii="Garamond" w:hAnsi="Garamond"/>
        </w:rPr>
        <w:t xml:space="preserve"> </w:t>
      </w:r>
    </w:p>
    <w:p w14:paraId="18BEA12B" w14:textId="77777777" w:rsidR="00FA19BE" w:rsidRDefault="00FA19BE">
      <w:pPr>
        <w:jc w:val="center"/>
        <w:rPr>
          <w:rFonts w:ascii="Garamond" w:hAnsi="Garamond"/>
          <w:sz w:val="24"/>
          <w:szCs w:val="24"/>
        </w:rPr>
      </w:pPr>
    </w:p>
    <w:p w14:paraId="2595911C" w14:textId="07A0F7C4" w:rsidR="006D6021" w:rsidRPr="008E5B84" w:rsidRDefault="00311339">
      <w:pPr>
        <w:jc w:val="center"/>
        <w:rPr>
          <w:sz w:val="24"/>
          <w:szCs w:val="24"/>
          <w:rFonts w:ascii="Garamond" w:hAnsi="Garamond"/>
        </w:rPr>
      </w:pPr>
      <w:r>
        <w:rPr>
          <w:sz w:val="24"/>
          <w:rFonts w:ascii="Garamond" w:hAnsi="Garamond"/>
        </w:rPr>
        <w:t xml:space="preserve">Artikel 6</w:t>
      </w:r>
    </w:p>
    <w:p w14:paraId="75EC9DA9" w14:textId="77777777" w:rsidR="006D6021" w:rsidRPr="008E5B84" w:rsidRDefault="00311339">
      <w:pPr>
        <w:jc w:val="center"/>
        <w:rPr>
          <w:sz w:val="24"/>
          <w:szCs w:val="24"/>
          <w:rFonts w:ascii="Garamond" w:hAnsi="Garamond"/>
        </w:rPr>
      </w:pPr>
      <w:r>
        <w:rPr>
          <w:sz w:val="24"/>
          <w:rFonts w:ascii="Garamond" w:hAnsi="Garamond"/>
        </w:rPr>
        <w:t xml:space="preserve">Inwerkingtreding</w:t>
      </w:r>
    </w:p>
    <w:p w14:paraId="116948F8" w14:textId="77777777" w:rsidR="006D6021" w:rsidRPr="008E5B84" w:rsidRDefault="00311339" w:rsidP="008E5B84">
      <w:pPr>
        <w:shd w:val="clear" w:color="auto" w:fill="FFFFFF"/>
        <w:suppressAutoHyphens w:val="0"/>
        <w:spacing w:after="225" w:line="390" w:lineRule="atLeast"/>
        <w:jc w:val="both"/>
        <w:textAlignment w:val="auto"/>
        <w:rPr>
          <w:sz w:val="24"/>
          <w:szCs w:val="24"/>
          <w:rFonts w:ascii="Garamond" w:hAnsi="Garamond"/>
        </w:rPr>
      </w:pPr>
      <w:r>
        <w:rPr>
          <w:sz w:val="24"/>
          <w:rFonts w:ascii="Garamond" w:hAnsi="Garamond"/>
        </w:rPr>
        <w:t xml:space="preserve">Dit wetsbesluit treedt in werking op de eerstvolgende dag na de bekendmaking ervan.</w:t>
      </w:r>
      <w:r>
        <w:rPr>
          <w:sz w:val="24"/>
          <w:rFonts w:ascii="Garamond" w:hAnsi="Garamond"/>
        </w:rPr>
        <w:t xml:space="preserve">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5514C" w14:textId="77777777" w:rsidR="00071555" w:rsidRDefault="00071555">
      <w:pPr>
        <w:spacing w:after="0"/>
      </w:pPr>
      <w:r>
        <w:separator/>
      </w:r>
    </w:p>
  </w:endnote>
  <w:endnote w:type="continuationSeparator" w:id="0">
    <w:p w14:paraId="3A09787D"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DC03" w14:textId="77777777" w:rsidR="00071555" w:rsidRDefault="00071555">
      <w:pPr>
        <w:spacing w:after="0"/>
      </w:pPr>
      <w:r>
        <w:rPr>
          <w:color w:val="000000"/>
        </w:rPr>
        <w:separator/>
      </w:r>
    </w:p>
  </w:footnote>
  <w:footnote w:type="continuationSeparator" w:id="0">
    <w:p w14:paraId="66F4E6EC"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95413"/>
    <w:rsid w:val="005E437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FEA0"/>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l-N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dre.pt/application/external/eurolex?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dre.pt/application/external/eurolex?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pt/application/external/eurolex?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e.pt/application/external/eurolex?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dre.pt/application/external/eurolex?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dre.pt/application/external/eurolex?94L0062" TargetMode="External"/><Relationship Id="rId14" Type="http://schemas.openxmlformats.org/officeDocument/2006/relationships/hyperlink" Target="https://dre.pt/application/external/eurolex?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2233</Words>
  <Characters>12730</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cp:lastModifiedBy>
  <cp:revision>10</cp:revision>
  <dcterms:created xsi:type="dcterms:W3CDTF">2021-02-18T16:42:00Z</dcterms:created>
  <dcterms:modified xsi:type="dcterms:W3CDTF">2021-03-01T14:11:00Z</dcterms:modified>
</cp:coreProperties>
</file>