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A457C" w14:textId="6765B1FA" w:rsidR="00503C92" w:rsidRPr="00F122A6" w:rsidRDefault="00F122A6" w:rsidP="00EE0D48">
      <w:pPr>
        <w:pStyle w:val="Bodytext40"/>
        <w:numPr>
          <w:ilvl w:val="0"/>
          <w:numId w:val="1"/>
        </w:numPr>
        <w:tabs>
          <w:tab w:val="left" w:pos="265"/>
        </w:tabs>
        <w:ind w:left="1560" w:right="1830"/>
      </w:pPr>
      <w:r>
        <w:rPr>
          <w:rStyle w:val="Bodytext4"/>
          <w:b/>
        </w:rPr>
        <w:t xml:space="preserve"> GENERELLE BESTEMMELSER</w:t>
      </w:r>
    </w:p>
    <w:p w14:paraId="58D891A5" w14:textId="77777777" w:rsidR="00503C92" w:rsidRPr="00F122A6" w:rsidRDefault="0037644B" w:rsidP="00EE0D48">
      <w:pPr>
        <w:pStyle w:val="Heading10"/>
        <w:keepNext/>
        <w:keepLines/>
        <w:ind w:left="1560" w:right="1830"/>
        <w:rPr>
          <w:sz w:val="28"/>
          <w:szCs w:val="28"/>
        </w:rPr>
      </w:pPr>
      <w:bookmarkStart w:id="0" w:name="bookmark0"/>
      <w:r>
        <w:rPr>
          <w:rStyle w:val="Heading1"/>
          <w:sz w:val="28"/>
        </w:rPr>
        <w:t>MINISTERIET FOR LANDBRUG, FISKERI OG FØDEVARER</w:t>
      </w:r>
      <w:bookmarkEnd w:id="0"/>
    </w:p>
    <w:p w14:paraId="07583A7E" w14:textId="13D4FE06" w:rsidR="00503C92" w:rsidRPr="00F122A6" w:rsidRDefault="0037644B" w:rsidP="00F122A6">
      <w:pPr>
        <w:pStyle w:val="BodyText"/>
        <w:spacing w:after="260" w:line="240" w:lineRule="auto"/>
        <w:ind w:left="2694" w:right="1830" w:hanging="1134"/>
        <w:jc w:val="both"/>
        <w:rPr>
          <w:sz w:val="20"/>
          <w:szCs w:val="20"/>
        </w:rPr>
      </w:pPr>
      <w:r>
        <w:rPr>
          <w:rStyle w:val="BodyTextChar"/>
          <w:b/>
          <w:sz w:val="24"/>
        </w:rPr>
        <w:t xml:space="preserve">17371 </w:t>
      </w:r>
      <w:r>
        <w:rPr>
          <w:rStyle w:val="BodyTextChar"/>
          <w:b/>
          <w:sz w:val="24"/>
        </w:rPr>
        <w:tab/>
      </w:r>
      <w:r>
        <w:rPr>
          <w:rStyle w:val="BodyTextChar"/>
          <w:i/>
          <w:sz w:val="20"/>
        </w:rPr>
        <w:t>Kongeligt dekret 840/2024 af 27. august 2024 om ændring af kongeligt dekret 1051/2022 af 27. december 2022 om fastlæggelse af standarder for bæredygtig ernæring i landbrugsjord.</w:t>
      </w:r>
    </w:p>
    <w:p w14:paraId="5EC89531" w14:textId="77777777" w:rsidR="00503C92" w:rsidRPr="00F122A6" w:rsidRDefault="0037644B" w:rsidP="00EE0D48">
      <w:pPr>
        <w:pStyle w:val="BodyText"/>
        <w:spacing w:after="0"/>
        <w:ind w:left="1560" w:right="1830" w:firstLine="360"/>
        <w:jc w:val="both"/>
        <w:rPr>
          <w:sz w:val="20"/>
        </w:rPr>
      </w:pPr>
      <w:r>
        <w:rPr>
          <w:rStyle w:val="BodyTextChar"/>
          <w:sz w:val="20"/>
        </w:rPr>
        <w:t>Kongeligt dekret 1051/2022 af 27. december 2022 om fastlæggelse af standarder for bæredygtig ernæring i landbrugsjord fastsætter visse grundlæggende regler for rationel gødskning af afgrøder, gennem et grundniveau for god landbrugspraksis, der skal tages i betragtning ved anvendelse af næringsstoffer i landbrugsjord. Desuden oprettes det generelle register over fabrikanter og andre erhvervsdrivende inden for gødningsprodukter med det dobbelte formål at forbedre markedsovervågningen, i overensstemmelse med bestemmelserne i Europa-Parlamentets og Rådets forordning (EU) 2019/1009 af 5. juni 2019 om fastsættelse af regler om tilgængeliggørelse på markedet af EU-gødningsprodukter og kongeligt dekret nr. 506/2013 af 26. juni 2013 om gødningsprodukter og Europa-Parlamentets og Rådets forordning (EU) 2019/1020 af 20. juni 2019 om markedsovervågning og produktoverensstemmelse, og samtidig lettes gennemførelsen af dataindsamling for at forbedre beregningen af luftemissioner fra anvendelsen af gødningsprodukter. Dette kongelige dekret regulerer bl.a. erhvervet som gødskningsrådgiver, som ikke er et lovreguleret erhverv i henhold til artikel 36 i den spanske forfatning.</w:t>
      </w:r>
    </w:p>
    <w:p w14:paraId="50105317" w14:textId="77777777" w:rsidR="00503C92" w:rsidRPr="00F122A6" w:rsidRDefault="0037644B" w:rsidP="00EE0D48">
      <w:pPr>
        <w:pStyle w:val="BodyText"/>
        <w:spacing w:after="0"/>
        <w:ind w:left="1560" w:right="1830" w:firstLine="360"/>
        <w:jc w:val="both"/>
        <w:rPr>
          <w:sz w:val="20"/>
        </w:rPr>
      </w:pPr>
      <w:r>
        <w:rPr>
          <w:rStyle w:val="BodyTextChar"/>
          <w:sz w:val="20"/>
        </w:rPr>
        <w:t>Efter mere end et års anvendelse af denne forskrift er der nu behov for at lette gennemførelsen af visse tekniske aspekter, styrke sammenhængen med andre sektorspecifikke forskrifter, såsom lov 7/2022 af 8. april 2022 om affald og forurenet jord i en cirkulær økonomi, eller sektorspecifikke regionale bestemmelser, og præcisere uklare formuleringer. Med henblik herpå ændres bestemmelserne vedrørende bedriftsregistret, gødskningsplanen og bestemmelserne om fremme af brugen af husdyrgødning og organiske gødningsprodukter.</w:t>
      </w:r>
    </w:p>
    <w:p w14:paraId="1D506E7A" w14:textId="77777777" w:rsidR="00503C92" w:rsidRPr="00F122A6" w:rsidRDefault="0037644B" w:rsidP="00EE0D48">
      <w:pPr>
        <w:pStyle w:val="BodyText"/>
        <w:spacing w:after="0"/>
        <w:ind w:left="1560" w:right="1830" w:firstLine="360"/>
        <w:jc w:val="both"/>
        <w:rPr>
          <w:sz w:val="20"/>
        </w:rPr>
      </w:pPr>
      <w:r>
        <w:rPr>
          <w:rStyle w:val="BodyTextChar"/>
          <w:sz w:val="20"/>
        </w:rPr>
        <w:t>Der er således medtaget visse incitamenter til anvendelse af det digitale bedriftsregister, da det ikke er obligatorisk, og de oplysninger i gødskningsplanen, der skal medtages i bedriftsregistret, er detaljerede, idet det også præciseres, at et af de centrale punkter er bestemmelsen af dosis.</w:t>
      </w:r>
    </w:p>
    <w:p w14:paraId="31AAFEFC" w14:textId="77777777" w:rsidR="00503C92" w:rsidRPr="00F122A6" w:rsidRDefault="0037644B" w:rsidP="00EE0D48">
      <w:pPr>
        <w:pStyle w:val="BodyText"/>
        <w:spacing w:after="0"/>
        <w:ind w:left="1560" w:right="1830" w:firstLine="360"/>
        <w:jc w:val="both"/>
        <w:rPr>
          <w:sz w:val="20"/>
        </w:rPr>
      </w:pPr>
      <w:r>
        <w:rPr>
          <w:rStyle w:val="BodyTextChar"/>
          <w:sz w:val="20"/>
        </w:rPr>
        <w:t>Der indføres nye og bedre udarbejdede foranstaltninger til reduktion af ammoniakemissioner, og der tages hensyn til andre teknologier til reduktion af risikoen for udvaskning.</w:t>
      </w:r>
    </w:p>
    <w:p w14:paraId="0804DA06" w14:textId="77777777" w:rsidR="00503C92" w:rsidRPr="00F122A6" w:rsidRDefault="0037644B" w:rsidP="00EE0D48">
      <w:pPr>
        <w:pStyle w:val="BodyText"/>
        <w:spacing w:after="0"/>
        <w:ind w:left="1560" w:right="1830" w:firstLine="360"/>
        <w:jc w:val="both"/>
        <w:rPr>
          <w:sz w:val="20"/>
        </w:rPr>
      </w:pPr>
      <w:r>
        <w:rPr>
          <w:rStyle w:val="BodyTextChar"/>
          <w:sz w:val="20"/>
        </w:rPr>
        <w:t>For at lette anvendelsen af husdyrgødning, gødning og andre organiske materialer lempes bestemmelserne om stabling eller udbringning vedrørende nedgravningstider, undtagelser og udbringningsperioder. Samtidig føjes nyt affald til listen over accepteret affald, idet kravene hertil ændres i overensstemmelse med markedet, og kriterierne for sikkerhed og agronomisk effektivitet opretholdes.</w:t>
      </w:r>
    </w:p>
    <w:p w14:paraId="3D2CCECE" w14:textId="24F053FE" w:rsidR="00503C92" w:rsidRPr="00F122A6" w:rsidRDefault="0037644B" w:rsidP="00EE0D48">
      <w:pPr>
        <w:pStyle w:val="BodyText"/>
        <w:spacing w:after="0"/>
        <w:ind w:left="1560" w:right="1830" w:firstLine="360"/>
        <w:jc w:val="both"/>
        <w:rPr>
          <w:sz w:val="20"/>
        </w:rPr>
      </w:pPr>
      <w:r>
        <w:rPr>
          <w:rStyle w:val="BodyTextChar"/>
          <w:sz w:val="20"/>
        </w:rPr>
        <w:t xml:space="preserve">Dette kongelige dekret er udarbejdet i overensstemmelse med principperne om god regulering i artikel 129 i lov nr. 39/2015 af 1. oktober 2015 om den fælles forvaltningsprocedure for offentlige myndigheder. I overensstemmelse med principperne om nødvendighed og effektivitet er udkastet begrundet i behovet for en bedre anvendelse af EU-forordningerne i Spanien, idet denne forskrift er det mest hensigtsmæssige instrument til at sikre, at de gennemføres, da det er obligatorisk, at forordningen er omhandlet i en grundforskrift. Det er også i overensstemmelse med proportionalitetsprincippet og med målet om at begrænse reguleringen til det nødvendige minimum for at reducere reguleringsintensiteten. Retssikkerhedsprincippet er til gengæld </w:t>
      </w:r>
      <w:r>
        <w:rPr>
          <w:rStyle w:val="BodyTextChar"/>
          <w:sz w:val="20"/>
        </w:rPr>
        <w:lastRenderedPageBreak/>
        <w:t>sikret ved, at der i en generel bestemmelse indføres nye bestemmelser, der er i overensstemmelse med resten af retssystemet. Endvidere er de enheder, der repræsenterer de berørte sektorer, i henhold til princippet om gennemsigtighed blevet hørt under behandlingen af forskriften, og proceduren for offentlig høring og offentlig information er blevet gennemført. Endelig anses princippet om effektivitet for at være opfyldt, da der ikke pålægges nye administrative byrder i forhold til den nuværende forskrift.</w:t>
      </w:r>
    </w:p>
    <w:p w14:paraId="7B067845" w14:textId="77777777" w:rsidR="00503C92" w:rsidRPr="00F122A6" w:rsidRDefault="0037644B" w:rsidP="00EE0D48">
      <w:pPr>
        <w:pStyle w:val="BodyText"/>
        <w:spacing w:after="0"/>
        <w:ind w:left="1560" w:right="1830" w:firstLine="360"/>
        <w:jc w:val="both"/>
        <w:rPr>
          <w:sz w:val="20"/>
        </w:rPr>
      </w:pPr>
      <w:r>
        <w:rPr>
          <w:rStyle w:val="BodyTextChar"/>
          <w:sz w:val="20"/>
        </w:rPr>
        <w:t>Bestemmelserne i dette kongelige dekret er grundbestemmelser og er udstedt i henhold til artikel 149, stk. 1, regel 13, 16 og 23, i den spanske forfatning, som tillægger staten enekompetence med hensyn til grundlaget for og koordineringen af den generelle planlægning af den økonomiske aktivitet, grundlaget og den generelle koordinering af sundhed samt grundlæggende lovgivning om miljøbeskyttelse, uden at dette berører de selvstyrende regioners beføjelser til at fastsætte supplerende beskyttelsesregler.</w:t>
      </w:r>
    </w:p>
    <w:p w14:paraId="4240DB30" w14:textId="77777777" w:rsidR="00503C92" w:rsidRPr="00F122A6" w:rsidRDefault="0037644B" w:rsidP="00EE0D48">
      <w:pPr>
        <w:pStyle w:val="BodyText"/>
        <w:spacing w:after="0"/>
        <w:ind w:left="1560" w:right="1830" w:firstLine="360"/>
        <w:jc w:val="both"/>
        <w:rPr>
          <w:sz w:val="20"/>
        </w:rPr>
      </w:pPr>
      <w:r>
        <w:rPr>
          <w:rStyle w:val="BodyTextChar"/>
          <w:sz w:val="20"/>
        </w:rPr>
        <w:t>Denne forskrift er udstedt i overensstemmelse med bestemmelserne i den sekstende afsluttende bestemmelse i lov nr. 30/2022 af 23. december 2022, der regulerer forvaltningssystemet for den fælles landbrugspolitik og relaterede spørgsmål.</w:t>
      </w:r>
    </w:p>
    <w:p w14:paraId="4D259E79" w14:textId="77777777" w:rsidR="00503C92" w:rsidRPr="00F122A6" w:rsidRDefault="0037644B" w:rsidP="00EE0D48">
      <w:pPr>
        <w:pStyle w:val="BodyText"/>
        <w:spacing w:after="0"/>
        <w:ind w:left="1560" w:right="1830" w:firstLine="360"/>
        <w:jc w:val="both"/>
        <w:rPr>
          <w:sz w:val="20"/>
        </w:rPr>
      </w:pPr>
      <w:r>
        <w:rPr>
          <w:rStyle w:val="BodyTextChar"/>
          <w:sz w:val="20"/>
        </w:rPr>
        <w:t xml:space="preserve">Forskriften er blevet underkastet høringsprocessen i de selvstyrende regioner og byerne </w:t>
      </w:r>
      <w:proofErr w:type="spellStart"/>
      <w:r>
        <w:rPr>
          <w:rStyle w:val="BodyTextChar"/>
          <w:sz w:val="20"/>
        </w:rPr>
        <w:t>Ceuta</w:t>
      </w:r>
      <w:proofErr w:type="spellEnd"/>
      <w:r>
        <w:rPr>
          <w:rStyle w:val="BodyTextChar"/>
          <w:sz w:val="20"/>
        </w:rPr>
        <w:t xml:space="preserve"> og </w:t>
      </w:r>
      <w:proofErr w:type="spellStart"/>
      <w:r>
        <w:rPr>
          <w:rStyle w:val="BodyTextChar"/>
          <w:sz w:val="20"/>
        </w:rPr>
        <w:t>Melilla</w:t>
      </w:r>
      <w:proofErr w:type="spellEnd"/>
      <w:r>
        <w:rPr>
          <w:rStyle w:val="BodyTextChar"/>
          <w:sz w:val="20"/>
        </w:rPr>
        <w:t xml:space="preserve"> på grundlag af den generelle pligt til samarbejde mellem offentlige myndigheder, der er fastsat i artikel 3, stk. 1, litra k), i lov nr. 40/2015 af 1. oktober 2015 om reglerne for den offentlige sektor.</w:t>
      </w:r>
    </w:p>
    <w:p w14:paraId="373D6039" w14:textId="77777777" w:rsidR="00503C92" w:rsidRPr="00F122A6" w:rsidRDefault="0037644B" w:rsidP="00EE0D48">
      <w:pPr>
        <w:pStyle w:val="BodyText"/>
        <w:spacing w:after="0"/>
        <w:ind w:left="1560" w:right="1830" w:firstLine="360"/>
        <w:jc w:val="both"/>
        <w:rPr>
          <w:sz w:val="20"/>
        </w:rPr>
      </w:pPr>
      <w:r>
        <w:rPr>
          <w:rStyle w:val="BodyTextChar"/>
          <w:sz w:val="20"/>
        </w:rPr>
        <w:t>Den har også været omfattet af informationsproceduren for tekniske standarder og forskrifter i Europa-Parlamentets og Rådets direktiv (EU) 2015/1535 af 9. september 2015 om en informationsprocedure med hensyn til tekniske forskrifter samt forskrifter for informationssamfundets tjenester, reguleret ved kongeligt dekret 1337/1999 af 31. juli 1999 om regulering af videregivelse af oplysninger med hensyn til tekniske standarder og forskrifter samt forskrifter for informationssamfundets tjenester.</w:t>
      </w:r>
    </w:p>
    <w:p w14:paraId="48A1437F" w14:textId="77777777" w:rsidR="00503C92" w:rsidRPr="00F122A6" w:rsidRDefault="0037644B" w:rsidP="00EE0D48">
      <w:pPr>
        <w:pStyle w:val="BodyText"/>
        <w:spacing w:after="240"/>
        <w:ind w:left="1560" w:right="1830" w:firstLine="360"/>
        <w:jc w:val="both"/>
        <w:rPr>
          <w:sz w:val="20"/>
        </w:rPr>
      </w:pPr>
      <w:r>
        <w:rPr>
          <w:rStyle w:val="BodyTextChar"/>
          <w:sz w:val="20"/>
        </w:rPr>
        <w:t>I medfør heraf, på forslag af ministeren for landbrug, fiskeri og fødevarer, med tilslutning fra statsrådet og forudgående drøftelse i regeringen på dens møde den 27. august 2024,</w:t>
      </w:r>
    </w:p>
    <w:p w14:paraId="6DA74257" w14:textId="77777777" w:rsidR="00503C92" w:rsidRPr="00F122A6" w:rsidRDefault="0037644B" w:rsidP="00EE0D48">
      <w:pPr>
        <w:pStyle w:val="BodyText"/>
        <w:spacing w:after="180"/>
        <w:ind w:left="1560" w:right="1830" w:firstLine="0"/>
        <w:jc w:val="center"/>
        <w:rPr>
          <w:sz w:val="20"/>
        </w:rPr>
      </w:pPr>
      <w:r>
        <w:rPr>
          <w:rStyle w:val="BodyTextChar"/>
          <w:sz w:val="20"/>
        </w:rPr>
        <w:t>BESTEMMES FØLGENDE:</w:t>
      </w:r>
    </w:p>
    <w:p w14:paraId="44A8F054" w14:textId="77777777" w:rsidR="00503C92" w:rsidRPr="00F122A6" w:rsidRDefault="0037644B" w:rsidP="00BB487E">
      <w:pPr>
        <w:pStyle w:val="BodyText"/>
        <w:spacing w:after="140" w:line="257" w:lineRule="auto"/>
        <w:ind w:left="1985" w:right="1830" w:hanging="360"/>
        <w:jc w:val="both"/>
        <w:rPr>
          <w:sz w:val="20"/>
          <w:szCs w:val="20"/>
        </w:rPr>
      </w:pPr>
      <w:r>
        <w:rPr>
          <w:rStyle w:val="BodyTextChar"/>
          <w:b/>
          <w:sz w:val="20"/>
        </w:rPr>
        <w:t xml:space="preserve">Eneste artikel. </w:t>
      </w:r>
      <w:r>
        <w:rPr>
          <w:rStyle w:val="BodyTextChar"/>
          <w:i/>
          <w:sz w:val="20"/>
        </w:rPr>
        <w:t>Ændring af kongeligt dekret 1051/2022 af 27. december 2022 om fastlæggelse af standarder for bæredygtig ernæring i landbrugsjord.</w:t>
      </w:r>
    </w:p>
    <w:p w14:paraId="20188F93" w14:textId="77777777" w:rsidR="00503C92" w:rsidRPr="00F122A6" w:rsidRDefault="0037644B" w:rsidP="00EE0D48">
      <w:pPr>
        <w:pStyle w:val="BodyText"/>
        <w:spacing w:after="140"/>
        <w:ind w:left="1560" w:right="1830" w:firstLine="360"/>
        <w:jc w:val="both"/>
        <w:rPr>
          <w:sz w:val="20"/>
        </w:rPr>
      </w:pPr>
      <w:r>
        <w:rPr>
          <w:rStyle w:val="BodyTextChar"/>
          <w:sz w:val="20"/>
        </w:rPr>
        <w:t>I kongeligt dekret 1051/2022 af 27. december 2022 om fastlæggelse af standarder for bæredygtig ernæring i landbrugsjord foretages følgende ændringer:</w:t>
      </w:r>
    </w:p>
    <w:p w14:paraId="6948B1B2" w14:textId="77777777" w:rsidR="00503C92" w:rsidRPr="00F122A6" w:rsidRDefault="0037644B" w:rsidP="00EE0D48">
      <w:pPr>
        <w:pStyle w:val="BodyText"/>
        <w:spacing w:after="140"/>
        <w:ind w:left="1560" w:right="1830" w:firstLine="360"/>
        <w:jc w:val="both"/>
        <w:rPr>
          <w:sz w:val="20"/>
        </w:rPr>
      </w:pPr>
      <w:r>
        <w:rPr>
          <w:rStyle w:val="BodyTextChar"/>
          <w:sz w:val="20"/>
        </w:rPr>
        <w:t>En. Artikel 3, litra d), har følgende ordlyd:</w:t>
      </w:r>
    </w:p>
    <w:p w14:paraId="24D5FBD1" w14:textId="198E1DDF" w:rsidR="00503C92" w:rsidRPr="00F122A6" w:rsidRDefault="0037644B" w:rsidP="00EE0D48">
      <w:pPr>
        <w:pStyle w:val="BodyText"/>
        <w:spacing w:after="140"/>
        <w:ind w:left="1560" w:right="1830"/>
        <w:jc w:val="both"/>
        <w:rPr>
          <w:sz w:val="20"/>
        </w:rPr>
      </w:pPr>
      <w:r>
        <w:rPr>
          <w:rStyle w:val="BodyTextChar"/>
          <w:sz w:val="20"/>
        </w:rPr>
        <w:t>"d) kompost: materiale fra aerob og termofil biologisk behandling af separat indsamlet bionedbrydeligt affald, som, når det frembringes ved aerob kompostering i overensstemmelse med kravene i komponentmaterialekategori 3 (CMC3) i bilag II til Europa-Parlamentets og Rådets forordning (EU) 2019/1009 af 5. juni 2019, når affaldsfasens ophør, hvis det også overholder kravene i produktbestemmelserne."</w:t>
      </w:r>
    </w:p>
    <w:p w14:paraId="402A47F5" w14:textId="77777777" w:rsidR="00503C92" w:rsidRPr="00F122A6" w:rsidRDefault="0037644B" w:rsidP="00F122A6">
      <w:pPr>
        <w:pStyle w:val="BodyText"/>
        <w:keepNext/>
        <w:spacing w:after="140"/>
        <w:ind w:left="1559" w:right="1831" w:firstLine="357"/>
        <w:jc w:val="both"/>
        <w:rPr>
          <w:sz w:val="20"/>
        </w:rPr>
      </w:pPr>
      <w:r>
        <w:rPr>
          <w:rStyle w:val="BodyTextChar"/>
          <w:sz w:val="20"/>
        </w:rPr>
        <w:t>To. Artikel 5, litra a), har følgende ordlyd:</w:t>
      </w:r>
    </w:p>
    <w:p w14:paraId="4150FC23" w14:textId="77777777" w:rsidR="00EE0D48" w:rsidRPr="00F122A6" w:rsidRDefault="0037644B" w:rsidP="00EE0D48">
      <w:pPr>
        <w:pStyle w:val="BodyText"/>
        <w:spacing w:after="140" w:line="276" w:lineRule="auto"/>
        <w:ind w:left="1560" w:right="1830"/>
        <w:jc w:val="both"/>
        <w:rPr>
          <w:rStyle w:val="BodyTextChar"/>
          <w:sz w:val="20"/>
        </w:rPr>
      </w:pPr>
      <w:r>
        <w:rPr>
          <w:rStyle w:val="BodyTextChar"/>
          <w:sz w:val="20"/>
        </w:rPr>
        <w:t>"a) Følgende oplysninger om den i artikel 6 omhandlede gødskningsplan, hvis det er obligatorisk at udarbejde en sådan ved begyndelsen af landbrugsåret: forventet udbytte, tidligere afgrøde, N-, P</w:t>
      </w:r>
      <w:r>
        <w:rPr>
          <w:rStyle w:val="BodyTextChar"/>
          <w:sz w:val="20"/>
          <w:vertAlign w:val="subscript"/>
        </w:rPr>
        <w:t>2</w:t>
      </w:r>
      <w:r>
        <w:rPr>
          <w:rStyle w:val="BodyTextChar"/>
          <w:sz w:val="20"/>
        </w:rPr>
        <w:t>O</w:t>
      </w:r>
      <w:r>
        <w:rPr>
          <w:rStyle w:val="BodyTextChar"/>
          <w:sz w:val="20"/>
          <w:vertAlign w:val="subscript"/>
        </w:rPr>
        <w:t>5</w:t>
      </w:r>
      <w:r>
        <w:rPr>
          <w:rStyle w:val="BodyTextChar"/>
          <w:sz w:val="20"/>
        </w:rPr>
        <w:t>- og K</w:t>
      </w:r>
      <w:r>
        <w:rPr>
          <w:rStyle w:val="BodyTextChar"/>
          <w:sz w:val="20"/>
          <w:vertAlign w:val="subscript"/>
        </w:rPr>
        <w:t>2</w:t>
      </w:r>
      <w:r>
        <w:rPr>
          <w:rStyle w:val="BodyTextChar"/>
          <w:sz w:val="20"/>
        </w:rPr>
        <w:t>O-behov og datoen for udarbejdelse af planen."</w:t>
      </w:r>
    </w:p>
    <w:p w14:paraId="694AB235" w14:textId="47707BFA" w:rsidR="00503C92" w:rsidRPr="00F122A6" w:rsidRDefault="0037644B" w:rsidP="00EE0D48">
      <w:pPr>
        <w:pStyle w:val="BodyText"/>
        <w:spacing w:after="140"/>
        <w:ind w:left="1560" w:right="1830" w:firstLine="360"/>
        <w:jc w:val="both"/>
        <w:rPr>
          <w:sz w:val="20"/>
        </w:rPr>
      </w:pPr>
      <w:r>
        <w:rPr>
          <w:rStyle w:val="BodyTextChar"/>
          <w:sz w:val="20"/>
        </w:rPr>
        <w:t>Tre. Artikel 6, stk. 4, får følgende ordlyd:</w:t>
      </w:r>
    </w:p>
    <w:p w14:paraId="71A37E88" w14:textId="77777777" w:rsidR="00503C92" w:rsidRPr="00F122A6" w:rsidRDefault="0037644B" w:rsidP="00EE0D48">
      <w:pPr>
        <w:pStyle w:val="BodyText"/>
        <w:ind w:left="1560" w:right="1830"/>
        <w:jc w:val="both"/>
        <w:rPr>
          <w:sz w:val="20"/>
        </w:rPr>
      </w:pPr>
      <w:r>
        <w:rPr>
          <w:rStyle w:val="BodyTextChar"/>
          <w:sz w:val="20"/>
        </w:rPr>
        <w:t xml:space="preserve">"4. Planen skal indeholde den anbefalede dosis af de forskellige næringsstoffer, det </w:t>
      </w:r>
      <w:r>
        <w:rPr>
          <w:rStyle w:val="BodyTextChar"/>
          <w:sz w:val="20"/>
        </w:rPr>
        <w:lastRenderedPageBreak/>
        <w:t>tidspunkt, hvor de påtænkes anvendt, samt gødnings- eller materialetype, udbringningsmetode og distributionsmaskiner."</w:t>
      </w:r>
    </w:p>
    <w:p w14:paraId="283A1B19" w14:textId="77777777" w:rsidR="00503C92" w:rsidRPr="00F122A6" w:rsidRDefault="0037644B" w:rsidP="00EE0D48">
      <w:pPr>
        <w:pStyle w:val="BodyText"/>
        <w:ind w:left="1560" w:right="1830"/>
        <w:jc w:val="both"/>
        <w:rPr>
          <w:sz w:val="20"/>
        </w:rPr>
      </w:pPr>
      <w:r>
        <w:rPr>
          <w:rStyle w:val="BodyTextChar"/>
          <w:sz w:val="20"/>
        </w:rPr>
        <w:t>Fire. Artikel 9, stk. 2, litra g), har følgende ordlyd:</w:t>
      </w:r>
    </w:p>
    <w:p w14:paraId="582E52F1" w14:textId="77777777" w:rsidR="00503C92" w:rsidRPr="00F122A6" w:rsidRDefault="0037644B" w:rsidP="00EE0D48">
      <w:pPr>
        <w:pStyle w:val="BodyText"/>
        <w:ind w:left="1560" w:right="1830"/>
        <w:jc w:val="both"/>
        <w:rPr>
          <w:sz w:val="20"/>
        </w:rPr>
      </w:pPr>
      <w:r>
        <w:rPr>
          <w:rStyle w:val="BodyTextChar"/>
          <w:sz w:val="20"/>
        </w:rPr>
        <w:t>"g) Stakkene må generelt ikke forblive i beholderne i mere end 10 dage. Hvis det stablede materiale komposteres eller nedbrydes, kan denne periode forlænges i op til 20 dage. Beholdere, som maskinerne ikke kan få adgang til på grund af regn, fritages for denne forpligtelse, indtil denne omstændighed ophører."</w:t>
      </w:r>
    </w:p>
    <w:p w14:paraId="0430BE9F" w14:textId="77777777" w:rsidR="00503C92" w:rsidRPr="00F122A6" w:rsidRDefault="0037644B" w:rsidP="00EE0D48">
      <w:pPr>
        <w:pStyle w:val="BodyText"/>
        <w:ind w:left="1560" w:right="1830"/>
        <w:jc w:val="both"/>
        <w:rPr>
          <w:sz w:val="20"/>
        </w:rPr>
      </w:pPr>
      <w:r>
        <w:rPr>
          <w:rStyle w:val="BodyTextChar"/>
          <w:sz w:val="20"/>
        </w:rPr>
        <w:t>Fem. Artikel 10, stk. 2, og artikel 10, stk. 3, første og sidste led, affattes således:</w:t>
      </w:r>
    </w:p>
    <w:p w14:paraId="5D0D8FC9" w14:textId="77777777" w:rsidR="00503C92" w:rsidRPr="00F122A6" w:rsidRDefault="0037644B" w:rsidP="00EE0D48">
      <w:pPr>
        <w:pStyle w:val="BodyText"/>
        <w:spacing w:after="0"/>
        <w:ind w:left="1560" w:right="1830"/>
        <w:jc w:val="both"/>
        <w:rPr>
          <w:sz w:val="20"/>
        </w:rPr>
      </w:pPr>
      <w:r>
        <w:rPr>
          <w:rStyle w:val="BodyTextChar"/>
          <w:sz w:val="20"/>
        </w:rPr>
        <w:t>"2. Anvendelse af andre organiske eller organisk-mineralske materialer, herunder affald, ved hjælp af plade-, ventilator- og kanonsystemer, er forbudt, hvis indholdet af vand i disse materialer er på 90 % eller derover, og deres indhold af ammoniakkvælstof overstiger 0,1 % på frisk materiale."</w:t>
      </w:r>
    </w:p>
    <w:p w14:paraId="6C51EA6F" w14:textId="77777777" w:rsidR="00503C92" w:rsidRPr="00F122A6" w:rsidRDefault="0037644B" w:rsidP="00EE0D48">
      <w:pPr>
        <w:pStyle w:val="BodyText"/>
        <w:spacing w:after="0"/>
        <w:ind w:left="1560" w:right="1830"/>
        <w:jc w:val="both"/>
        <w:rPr>
          <w:sz w:val="20"/>
        </w:rPr>
      </w:pPr>
      <w:r>
        <w:rPr>
          <w:rStyle w:val="BodyTextChar"/>
          <w:sz w:val="20"/>
        </w:rPr>
        <w:t>"3. "Husdyrgødning og organiske eller organisk-mineralske produkter eller materialer, herunder affald, skal nedgraves hurtigst muligt efter udbringning, og altid inden for de første 24 timer, ved hjælp af plov med skær og muldfjæl, mejselplov, roterende plov eller udstyr, der sikrer tilsvarende arbejde, medmindre en af følgende omstændigheder gør sig gældende:"</w:t>
      </w:r>
    </w:p>
    <w:p w14:paraId="1D9B8B0E" w14:textId="77777777" w:rsidR="00503C92" w:rsidRPr="00F122A6" w:rsidRDefault="0037644B" w:rsidP="00EE0D48">
      <w:pPr>
        <w:pStyle w:val="BodyText"/>
        <w:ind w:left="1560" w:right="1830"/>
        <w:jc w:val="both"/>
        <w:rPr>
          <w:sz w:val="20"/>
        </w:rPr>
      </w:pPr>
      <w:r>
        <w:rPr>
          <w:rStyle w:val="BodyTextChar"/>
          <w:sz w:val="20"/>
        </w:rPr>
        <w:t xml:space="preserve">"De selvstyrende regioners kompetente myndigheder kan under hensyntagen til deres områders </w:t>
      </w:r>
      <w:proofErr w:type="spellStart"/>
      <w:r>
        <w:rPr>
          <w:rStyle w:val="BodyTextChar"/>
          <w:sz w:val="20"/>
        </w:rPr>
        <w:t>agroklimatiske</w:t>
      </w:r>
      <w:proofErr w:type="spellEnd"/>
      <w:r>
        <w:rPr>
          <w:rStyle w:val="BodyTextChar"/>
          <w:sz w:val="20"/>
        </w:rPr>
        <w:t xml:space="preserve"> karakteristika og den anvendte materialetype fastsætte en frist på mindre end 24 timer til gennemførelse af denne nedgravning, når det er obligatorisk."</w:t>
      </w:r>
    </w:p>
    <w:p w14:paraId="73324CC2" w14:textId="77777777" w:rsidR="00503C92" w:rsidRPr="00F122A6" w:rsidRDefault="0037644B" w:rsidP="00EE0D48">
      <w:pPr>
        <w:pStyle w:val="BodyText"/>
        <w:ind w:left="1560" w:right="1830"/>
        <w:jc w:val="both"/>
        <w:rPr>
          <w:sz w:val="20"/>
        </w:rPr>
      </w:pPr>
      <w:r>
        <w:rPr>
          <w:rStyle w:val="BodyTextChar"/>
          <w:sz w:val="20"/>
        </w:rPr>
        <w:t>Seks. Artikel 12, stk. 2, 3 og 4, har følgende ordlyd:</w:t>
      </w:r>
    </w:p>
    <w:p w14:paraId="6BB7A2EA" w14:textId="77777777" w:rsidR="00503C92" w:rsidRPr="00F122A6" w:rsidRDefault="0037644B" w:rsidP="00EE0D48">
      <w:pPr>
        <w:pStyle w:val="BodyText"/>
        <w:spacing w:after="0"/>
        <w:ind w:left="1560" w:right="1830"/>
        <w:jc w:val="both"/>
        <w:rPr>
          <w:sz w:val="20"/>
        </w:rPr>
      </w:pPr>
      <w:r>
        <w:rPr>
          <w:rStyle w:val="BodyTextChar"/>
          <w:sz w:val="20"/>
        </w:rPr>
        <w:t>"2. Anvendelse af gødningsprodukter, der giver færre ammoniakemissioner, færre drivhusgasemissioner eller mindsker risikoen for nitratudvaskning, skal så vidt muligt fremmes under hensyntagen til jordbunds-, klima- og afgrødekarakteristika.</w:t>
      </w:r>
    </w:p>
    <w:p w14:paraId="7EF1CF55" w14:textId="77777777" w:rsidR="00503C92" w:rsidRPr="00F122A6" w:rsidRDefault="0037644B" w:rsidP="00EE0D48">
      <w:pPr>
        <w:pStyle w:val="BodyText"/>
        <w:numPr>
          <w:ilvl w:val="0"/>
          <w:numId w:val="2"/>
        </w:numPr>
        <w:tabs>
          <w:tab w:val="left" w:pos="1290"/>
        </w:tabs>
        <w:spacing w:after="0"/>
        <w:ind w:left="1560" w:right="1830"/>
        <w:jc w:val="both"/>
        <w:rPr>
          <w:sz w:val="20"/>
        </w:rPr>
      </w:pPr>
      <w:r>
        <w:rPr>
          <w:rStyle w:val="BodyTextChar"/>
          <w:sz w:val="20"/>
        </w:rPr>
        <w:t xml:space="preserve">Når der anvendes </w:t>
      </w:r>
      <w:proofErr w:type="spellStart"/>
      <w:r>
        <w:rPr>
          <w:rStyle w:val="BodyTextChar"/>
          <w:sz w:val="20"/>
        </w:rPr>
        <w:t>urea</w:t>
      </w:r>
      <w:proofErr w:type="spellEnd"/>
      <w:r>
        <w:rPr>
          <w:rStyle w:val="BodyTextChar"/>
          <w:sz w:val="20"/>
        </w:rPr>
        <w:t xml:space="preserve"> eller </w:t>
      </w:r>
      <w:proofErr w:type="spellStart"/>
      <w:r>
        <w:rPr>
          <w:rStyle w:val="BodyTextChar"/>
          <w:sz w:val="20"/>
        </w:rPr>
        <w:t>ureakvælstofopløsninger</w:t>
      </w:r>
      <w:proofErr w:type="spellEnd"/>
      <w:r>
        <w:rPr>
          <w:rStyle w:val="BodyTextChar"/>
          <w:sz w:val="20"/>
        </w:rPr>
        <w:t>, skal mindst én af de metoder, der er anført i bilag V, del B, enhver anden metode, for hvilken der er påvist en tilsvarende virkningsgrad på tidspunktet for reduktionen af ammoniakemissioner, eller føring af et digitalt bedriftsregister indføres, uden at man er forpligtet hertil i henhold til de øvrige bestemmelser i dette kongelige dekret.</w:t>
      </w:r>
    </w:p>
    <w:p w14:paraId="1DABF87A" w14:textId="3D896EA7" w:rsidR="00503C92" w:rsidRPr="00F122A6" w:rsidRDefault="0037644B" w:rsidP="00EE0D48">
      <w:pPr>
        <w:pStyle w:val="BodyText"/>
        <w:numPr>
          <w:ilvl w:val="0"/>
          <w:numId w:val="2"/>
        </w:numPr>
        <w:tabs>
          <w:tab w:val="left" w:pos="1290"/>
        </w:tabs>
        <w:ind w:left="1560" w:right="1830"/>
        <w:jc w:val="both"/>
        <w:rPr>
          <w:sz w:val="20"/>
        </w:rPr>
      </w:pPr>
      <w:r>
        <w:rPr>
          <w:rStyle w:val="BodyTextChar"/>
          <w:sz w:val="20"/>
        </w:rPr>
        <w:t xml:space="preserve">Hvis det i løbet af et år konstateres, at det kvælstof, der tilføres af </w:t>
      </w:r>
      <w:proofErr w:type="spellStart"/>
      <w:r>
        <w:rPr>
          <w:rStyle w:val="BodyTextChar"/>
          <w:sz w:val="20"/>
        </w:rPr>
        <w:t>urea</w:t>
      </w:r>
      <w:proofErr w:type="spellEnd"/>
      <w:r>
        <w:rPr>
          <w:rStyle w:val="BodyTextChar"/>
          <w:sz w:val="20"/>
        </w:rPr>
        <w:t xml:space="preserve"> og </w:t>
      </w:r>
      <w:proofErr w:type="spellStart"/>
      <w:r>
        <w:rPr>
          <w:rStyle w:val="BodyTextChar"/>
          <w:sz w:val="20"/>
        </w:rPr>
        <w:t>ureakvælstofopløsninger</w:t>
      </w:r>
      <w:proofErr w:type="spellEnd"/>
      <w:r>
        <w:rPr>
          <w:rStyle w:val="BodyTextChar"/>
          <w:sz w:val="20"/>
        </w:rPr>
        <w:t xml:space="preserve">, overstiger 30 % af den samlede kvælstof, der markedsføres på nationalt plan, skal bedrifter, der udbringer mere end 20 % af deres kvælstofbehov ved hjælp af </w:t>
      </w:r>
      <w:proofErr w:type="spellStart"/>
      <w:r>
        <w:rPr>
          <w:rStyle w:val="BodyTextChar"/>
          <w:sz w:val="20"/>
        </w:rPr>
        <w:t>urea</w:t>
      </w:r>
      <w:proofErr w:type="spellEnd"/>
      <w:r>
        <w:rPr>
          <w:rStyle w:val="BodyTextChar"/>
          <w:sz w:val="20"/>
        </w:rPr>
        <w:t xml:space="preserve"> eller </w:t>
      </w:r>
      <w:proofErr w:type="spellStart"/>
      <w:r>
        <w:rPr>
          <w:rStyle w:val="BodyTextChar"/>
          <w:sz w:val="20"/>
        </w:rPr>
        <w:t>ureakvælstofopløsninger</w:t>
      </w:r>
      <w:proofErr w:type="spellEnd"/>
      <w:r>
        <w:rPr>
          <w:rStyle w:val="BodyTextChar"/>
          <w:sz w:val="20"/>
        </w:rPr>
        <w:t>, i den følgende sæson vælge en af de metoder i bilag V, del B, der sikrer en reduktion af emissionerne på mindst 30 % i forhold til referenceteknikken, i overensstemmelse med skønnene i den vejledning, der er udarbejdet af De Forenede Nationers Økonomiske Kommission for Europas (</w:t>
      </w:r>
      <w:proofErr w:type="spellStart"/>
      <w:r>
        <w:rPr>
          <w:rStyle w:val="BodyTextChar"/>
          <w:sz w:val="20"/>
        </w:rPr>
        <w:t>UNECE's</w:t>
      </w:r>
      <w:proofErr w:type="spellEnd"/>
      <w:r>
        <w:rPr>
          <w:rStyle w:val="BodyTextChar"/>
          <w:sz w:val="20"/>
        </w:rPr>
        <w:t xml:space="preserve">) taskforce for reaktiv kvælstof "Options for </w:t>
      </w:r>
      <w:proofErr w:type="spellStart"/>
      <w:r>
        <w:rPr>
          <w:rStyle w:val="BodyTextChar"/>
          <w:sz w:val="20"/>
        </w:rPr>
        <w:t>ammonia</w:t>
      </w:r>
      <w:proofErr w:type="spellEnd"/>
      <w:r>
        <w:rPr>
          <w:rStyle w:val="BodyTextChar"/>
          <w:sz w:val="20"/>
        </w:rPr>
        <w:t xml:space="preserve"> </w:t>
      </w:r>
      <w:proofErr w:type="spellStart"/>
      <w:r>
        <w:rPr>
          <w:rStyle w:val="BodyTextChar"/>
          <w:sz w:val="20"/>
        </w:rPr>
        <w:t>mitigation</w:t>
      </w:r>
      <w:proofErr w:type="spellEnd"/>
      <w:r>
        <w:rPr>
          <w:rStyle w:val="BodyTextChar"/>
          <w:sz w:val="20"/>
        </w:rPr>
        <w:t xml:space="preserve">". Med henblik herpå offentliggøres den mængde kvælstof, der afsættes i form af </w:t>
      </w:r>
      <w:proofErr w:type="spellStart"/>
      <w:r>
        <w:rPr>
          <w:rStyle w:val="BodyTextChar"/>
          <w:sz w:val="20"/>
        </w:rPr>
        <w:t>urea</w:t>
      </w:r>
      <w:proofErr w:type="spellEnd"/>
      <w:r>
        <w:rPr>
          <w:rStyle w:val="BodyTextChar"/>
          <w:sz w:val="20"/>
        </w:rPr>
        <w:t xml:space="preserve"> og </w:t>
      </w:r>
      <w:proofErr w:type="spellStart"/>
      <w:r>
        <w:rPr>
          <w:rStyle w:val="BodyTextChar"/>
          <w:sz w:val="20"/>
        </w:rPr>
        <w:t>ureakvælstofopløsninger</w:t>
      </w:r>
      <w:proofErr w:type="spellEnd"/>
      <w:r>
        <w:rPr>
          <w:rStyle w:val="BodyTextChar"/>
          <w:sz w:val="20"/>
        </w:rPr>
        <w:t xml:space="preserve"> i forhold til den samlede mængde, ved afgørelse truffet af Generaldirektoratet for Landbrugsproduktion og Markeder, hvert år. Hvis ministeriet for økologisk omstilling og den demografiske udfordring fastsætter nationale reduktionskoefficienter for disse teknikker, erstatter de dem, der er fastsat i ovennævnte UNECE-vejledning."</w:t>
      </w:r>
    </w:p>
    <w:p w14:paraId="696818E4" w14:textId="77777777" w:rsidR="00503C92" w:rsidRPr="00F122A6" w:rsidRDefault="0037644B" w:rsidP="00EE0D48">
      <w:pPr>
        <w:pStyle w:val="BodyText"/>
        <w:ind w:left="1560" w:right="1830"/>
        <w:jc w:val="both"/>
        <w:rPr>
          <w:sz w:val="20"/>
        </w:rPr>
      </w:pPr>
      <w:r>
        <w:rPr>
          <w:rStyle w:val="BodyTextChar"/>
          <w:sz w:val="20"/>
        </w:rPr>
        <w:t>Syv. Artikel 15, stk. 1, omformuleres, og der indsættes et nyt stk. 6 som følger:</w:t>
      </w:r>
    </w:p>
    <w:p w14:paraId="598FC1FC" w14:textId="77777777" w:rsidR="00503C92" w:rsidRPr="00F122A6" w:rsidRDefault="0037644B" w:rsidP="00EE0D48">
      <w:pPr>
        <w:pStyle w:val="BodyText"/>
        <w:spacing w:after="0"/>
        <w:ind w:left="1560" w:right="1830"/>
        <w:jc w:val="both"/>
        <w:rPr>
          <w:sz w:val="20"/>
        </w:rPr>
      </w:pPr>
      <w:r>
        <w:rPr>
          <w:rStyle w:val="BodyTextChar"/>
          <w:sz w:val="20"/>
        </w:rPr>
        <w:t xml:space="preserve">"1. Når de anvendes som jordforbedringsmidler, må de materialer, der er nævnt i den foregående artikel, kun udbringes på uopdyrket jord, og, når de anvendes på træplantager eller på permanente markafgrøder som f.eks. banan og </w:t>
      </w:r>
      <w:proofErr w:type="spellStart"/>
      <w:r>
        <w:rPr>
          <w:rStyle w:val="BodyTextChar"/>
          <w:sz w:val="20"/>
        </w:rPr>
        <w:t>papaya</w:t>
      </w:r>
      <w:proofErr w:type="spellEnd"/>
      <w:r>
        <w:rPr>
          <w:rStyle w:val="BodyTextChar"/>
          <w:sz w:val="20"/>
        </w:rPr>
        <w:t xml:space="preserve">, skal dette </w:t>
      </w:r>
      <w:r>
        <w:rPr>
          <w:rStyle w:val="BodyTextChar"/>
          <w:sz w:val="20"/>
        </w:rPr>
        <w:lastRenderedPageBreak/>
        <w:t>ske direkte på jorden og inden afslutning af vinterdvalen. Hvis der er tale om permanente græsarealer, kan de udbringes med tilladelse fra den selvstyrende region. Når de anvendes med henblik på brug af næringsstofferne i dem som gødning, må de, hvis de udbringes på arealer med en plantet afgrøde, ikke komme i kontakt med den del af afgrøden, der er bestemt til forbrug."</w:t>
      </w:r>
    </w:p>
    <w:p w14:paraId="7B11D49C" w14:textId="77777777" w:rsidR="00503C92" w:rsidRPr="00F122A6" w:rsidRDefault="0037644B" w:rsidP="00EE0D48">
      <w:pPr>
        <w:pStyle w:val="BodyText"/>
        <w:ind w:left="1560" w:right="1830"/>
        <w:jc w:val="both"/>
        <w:rPr>
          <w:sz w:val="20"/>
        </w:rPr>
      </w:pPr>
      <w:r>
        <w:rPr>
          <w:rStyle w:val="BodyTextChar"/>
          <w:sz w:val="20"/>
        </w:rPr>
        <w:t>"6. I selvstyrende regioner, der ikke har nogen gældende lovgivning forud for den forskrift, der er fastsat i denne standard, anvendes flydende genanvendeligt affald, bortset fra slam, der anvendes til at tilføre næringsstoffer til afgrøder, på et tidspunkt, der giver mulighed for, at der kan gå mindst to måneder mellem udbringning og høst. Denne frist kan dog nedsættes til 21 dage i følgende tilfælde:</w:t>
      </w:r>
    </w:p>
    <w:p w14:paraId="76164C5F" w14:textId="77777777" w:rsidR="00503C92" w:rsidRPr="00F122A6" w:rsidRDefault="0037644B" w:rsidP="00EE0D48">
      <w:pPr>
        <w:pStyle w:val="BodyText"/>
        <w:numPr>
          <w:ilvl w:val="0"/>
          <w:numId w:val="3"/>
        </w:numPr>
        <w:tabs>
          <w:tab w:val="left" w:pos="1304"/>
        </w:tabs>
        <w:spacing w:after="0"/>
        <w:ind w:left="1560" w:right="1830" w:firstLine="920"/>
        <w:jc w:val="both"/>
        <w:rPr>
          <w:sz w:val="20"/>
        </w:rPr>
      </w:pPr>
      <w:r>
        <w:rPr>
          <w:rStyle w:val="BodyTextChar"/>
          <w:sz w:val="20"/>
        </w:rPr>
        <w:t>høsten er ikke bestemt til anvendelse i levnedsmidler eller foder, eller</w:t>
      </w:r>
    </w:p>
    <w:p w14:paraId="507CC156" w14:textId="77777777" w:rsidR="00503C92" w:rsidRPr="00F122A6" w:rsidRDefault="0037644B" w:rsidP="00BB487E">
      <w:pPr>
        <w:pStyle w:val="BodyText"/>
        <w:numPr>
          <w:ilvl w:val="0"/>
          <w:numId w:val="3"/>
        </w:numPr>
        <w:tabs>
          <w:tab w:val="left" w:pos="1300"/>
        </w:tabs>
        <w:ind w:left="2127" w:right="1830"/>
        <w:jc w:val="both"/>
        <w:rPr>
          <w:sz w:val="20"/>
        </w:rPr>
      </w:pPr>
      <w:r>
        <w:rPr>
          <w:rStyle w:val="BodyTextChar"/>
          <w:sz w:val="20"/>
        </w:rPr>
        <w:t>dyrkningsformen eller udbringningssystemet for materialet sikrer, at affaldet ikke kommer i berøring med de spiselige dele af afgrøden."</w:t>
      </w:r>
    </w:p>
    <w:p w14:paraId="5D11DE93" w14:textId="77777777" w:rsidR="00503C92" w:rsidRPr="00F122A6" w:rsidRDefault="0037644B" w:rsidP="00EE0D48">
      <w:pPr>
        <w:pStyle w:val="BodyText"/>
        <w:ind w:left="1560" w:right="1830"/>
        <w:jc w:val="both"/>
        <w:rPr>
          <w:sz w:val="20"/>
        </w:rPr>
      </w:pPr>
      <w:r>
        <w:rPr>
          <w:rStyle w:val="BodyTextChar"/>
          <w:sz w:val="20"/>
        </w:rPr>
        <w:t>Otte. Artikel 20, første led, har følgende ordlyd:</w:t>
      </w:r>
    </w:p>
    <w:p w14:paraId="1194A18B" w14:textId="77777777" w:rsidR="00503C92" w:rsidRPr="00F122A6" w:rsidRDefault="0037644B" w:rsidP="00EE0D48">
      <w:pPr>
        <w:pStyle w:val="BodyText"/>
        <w:ind w:left="1560" w:right="1830"/>
        <w:jc w:val="both"/>
        <w:rPr>
          <w:sz w:val="20"/>
        </w:rPr>
      </w:pPr>
      <w:r>
        <w:rPr>
          <w:rStyle w:val="BodyTextChar"/>
          <w:sz w:val="20"/>
        </w:rPr>
        <w:t>"Den rådgivning om de forskellige aspekter af gødskning, der er omhandlet i dette kongelige dekret, ydes af en tekniker, der kan dokumentere sin status som gødskningsrådgiver i overensstemmelse med kravene i artikel 21. Hvis den kompetente myndighed i den selvstyrende region bestemmer det, kan de rådgivende forpligtelser opfyldes, ved at bedriftens ejer anvender gødningsanbefalingssoftware, der er godkendt af den kompetente myndighed, i overensstemmelse med mindstekravene i bilag III, del III, forudsat at ejeren fører et digitalt landbrugsregister."</w:t>
      </w:r>
    </w:p>
    <w:p w14:paraId="0E0619CE" w14:textId="77777777" w:rsidR="00503C92" w:rsidRPr="00F122A6" w:rsidRDefault="0037644B" w:rsidP="00EE0D48">
      <w:pPr>
        <w:pStyle w:val="BodyText"/>
        <w:spacing w:after="180"/>
        <w:ind w:left="1560" w:right="1830"/>
        <w:jc w:val="both"/>
        <w:rPr>
          <w:sz w:val="20"/>
        </w:rPr>
      </w:pPr>
      <w:r>
        <w:rPr>
          <w:rStyle w:val="BodyTextChar"/>
          <w:sz w:val="20"/>
        </w:rPr>
        <w:t>Ni. Den eneste overgangsbestemmelse har følgende ordlyd:</w:t>
      </w:r>
    </w:p>
    <w:p w14:paraId="1B18B22E" w14:textId="77777777" w:rsidR="00503C92" w:rsidRPr="00F122A6" w:rsidRDefault="0037644B" w:rsidP="00BB487E">
      <w:pPr>
        <w:pStyle w:val="BodyText"/>
        <w:spacing w:line="257" w:lineRule="auto"/>
        <w:ind w:left="1985" w:right="1830" w:hanging="340"/>
        <w:jc w:val="both"/>
        <w:rPr>
          <w:sz w:val="20"/>
          <w:szCs w:val="20"/>
        </w:rPr>
      </w:pPr>
      <w:r>
        <w:rPr>
          <w:rStyle w:val="BodyTextChar"/>
          <w:sz w:val="20"/>
        </w:rPr>
        <w:t xml:space="preserve">"Den eneste overgangsbestemmelse. </w:t>
      </w:r>
      <w:r>
        <w:rPr>
          <w:rStyle w:val="BodyTextChar"/>
          <w:i/>
          <w:sz w:val="20"/>
        </w:rPr>
        <w:t>Anvendelse af affald ved operation R1001 Genanvendelse af affald i landbrugsjord og haver.</w:t>
      </w:r>
    </w:p>
    <w:p w14:paraId="1D7846FC" w14:textId="720A5B50" w:rsidR="00503C92" w:rsidRPr="00F122A6" w:rsidRDefault="0037644B" w:rsidP="00EE0D48">
      <w:pPr>
        <w:pStyle w:val="BodyText"/>
        <w:ind w:left="1560" w:right="1830"/>
        <w:jc w:val="both"/>
        <w:rPr>
          <w:sz w:val="20"/>
        </w:rPr>
      </w:pPr>
      <w:r>
        <w:rPr>
          <w:rStyle w:val="BodyTextChar"/>
          <w:sz w:val="20"/>
        </w:rPr>
        <w:t>Hvis der er tale om affald, der af den kompetente miljømyndighed er godkendt til at blive håndteret som R1001 Genanvendelse af affald i landbrugsjord og haver, og hvis dette dokumenteres med en beskrivelse af processen og de analytiske karakteriseringer, forud for dette kongelige dekrets ikrafttræden, har affaldsproducenten en periode på tre år fra dette kongelige dekrets ikrafttræden til at fortsætte sin håndtering og til i givet fald at forelægge en rapport med henblik på ændring, hvor det er relevant, af bilag VIII."</w:t>
      </w:r>
    </w:p>
    <w:p w14:paraId="2A47F4D6" w14:textId="77777777" w:rsidR="00503C92" w:rsidRPr="00F122A6" w:rsidRDefault="0037644B" w:rsidP="00EE0D48">
      <w:pPr>
        <w:pStyle w:val="BodyText"/>
        <w:ind w:left="1560" w:right="1830"/>
        <w:jc w:val="both"/>
        <w:rPr>
          <w:sz w:val="20"/>
        </w:rPr>
      </w:pPr>
      <w:r>
        <w:rPr>
          <w:rStyle w:val="BodyTextChar"/>
          <w:sz w:val="20"/>
        </w:rPr>
        <w:t>Ti. Led iii) i bilag II affattes således:</w:t>
      </w:r>
    </w:p>
    <w:p w14:paraId="059223B0" w14:textId="77777777" w:rsidR="00EE0D48" w:rsidRPr="00F122A6" w:rsidRDefault="0037644B" w:rsidP="00EE0D48">
      <w:pPr>
        <w:pStyle w:val="BodyText"/>
        <w:ind w:left="1560" w:right="1830"/>
        <w:jc w:val="both"/>
        <w:rPr>
          <w:rStyle w:val="BodyTextChar"/>
          <w:sz w:val="20"/>
        </w:rPr>
      </w:pPr>
      <w:r>
        <w:rPr>
          <w:rStyle w:val="BodyTextChar"/>
          <w:sz w:val="20"/>
        </w:rPr>
        <w:t xml:space="preserve">"iii) hvis der anvendes metoder til afbødning af udvaskning, f.eks. polymerer, </w:t>
      </w:r>
      <w:proofErr w:type="spellStart"/>
      <w:r>
        <w:rPr>
          <w:rStyle w:val="BodyTextChar"/>
          <w:sz w:val="20"/>
        </w:rPr>
        <w:t>hæmmere</w:t>
      </w:r>
      <w:proofErr w:type="spellEnd"/>
      <w:r>
        <w:rPr>
          <w:rStyle w:val="BodyTextChar"/>
          <w:sz w:val="20"/>
        </w:rPr>
        <w:t xml:space="preserve"> osv., kan visse produkter med forsinket frigivelse fritages fra forbuddet mod udbringning i bestemte perioder".</w:t>
      </w:r>
    </w:p>
    <w:p w14:paraId="7DE01383" w14:textId="0A5F5024" w:rsidR="00503C92" w:rsidRPr="00F122A6" w:rsidRDefault="0037644B" w:rsidP="00EE0D48">
      <w:pPr>
        <w:pStyle w:val="BodyText"/>
        <w:ind w:left="1560" w:right="1830"/>
        <w:jc w:val="both"/>
        <w:rPr>
          <w:sz w:val="20"/>
        </w:rPr>
      </w:pPr>
      <w:r>
        <w:rPr>
          <w:rStyle w:val="BodyTextChar"/>
          <w:sz w:val="20"/>
        </w:rPr>
        <w:t>Elleve. Bilag III, del III, første led, affattes således:</w:t>
      </w:r>
    </w:p>
    <w:p w14:paraId="18597F81" w14:textId="77777777" w:rsidR="00503C92" w:rsidRPr="00F122A6" w:rsidRDefault="0037644B" w:rsidP="00EE0D48">
      <w:pPr>
        <w:pStyle w:val="BodyText"/>
        <w:spacing w:after="140"/>
        <w:ind w:left="1560" w:right="1830"/>
        <w:jc w:val="both"/>
        <w:rPr>
          <w:sz w:val="20"/>
        </w:rPr>
      </w:pPr>
      <w:r>
        <w:rPr>
          <w:rStyle w:val="BodyTextChar"/>
          <w:sz w:val="20"/>
        </w:rPr>
        <w:t>"Rådgivningsforpligtelser som fastsat ved dette kongelige dekret anses for at være opfyldt, hvis landbrugeren fører et digitalt bedriftsregister, og hvis der anvendes værktøjer eller it-applikationer til beregning af afgrøders næringsstofbehov og fremsætte et forslag til et gødningsprodukt, forudsat at de er godkendt af den kompetente myndighed i den selvstyrende region, hvor de skal anvendes."</w:t>
      </w:r>
    </w:p>
    <w:p w14:paraId="3C7D3588" w14:textId="77777777" w:rsidR="00503C92" w:rsidRPr="00F122A6" w:rsidRDefault="0037644B" w:rsidP="00EE0D48">
      <w:pPr>
        <w:pStyle w:val="BodyText"/>
        <w:spacing w:after="140"/>
        <w:ind w:left="1560" w:right="1830" w:firstLine="360"/>
        <w:jc w:val="both"/>
        <w:rPr>
          <w:sz w:val="20"/>
        </w:rPr>
      </w:pPr>
      <w:r>
        <w:rPr>
          <w:rStyle w:val="BodyTextChar"/>
          <w:sz w:val="20"/>
        </w:rPr>
        <w:t>Tolv. Den sidste række i tabellen i bilag IV, del A, stk. 1, erstattes af disse to rækker, og stk. 2 affattes således:</w:t>
      </w:r>
    </w:p>
    <w:tbl>
      <w:tblPr>
        <w:tblOverlap w:val="never"/>
        <w:tblW w:w="0" w:type="auto"/>
        <w:jc w:val="center"/>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CellMar>
          <w:left w:w="10" w:type="dxa"/>
          <w:right w:w="10" w:type="dxa"/>
        </w:tblCellMar>
        <w:tblLook w:val="04A0" w:firstRow="1" w:lastRow="0" w:firstColumn="1" w:lastColumn="0" w:noHBand="0" w:noVBand="1"/>
      </w:tblPr>
      <w:tblGrid>
        <w:gridCol w:w="1747"/>
        <w:gridCol w:w="2076"/>
        <w:gridCol w:w="3581"/>
      </w:tblGrid>
      <w:tr w:rsidR="00503C92" w:rsidRPr="00F122A6" w14:paraId="22C71BE9" w14:textId="77777777" w:rsidTr="00F122A6">
        <w:trPr>
          <w:trHeight w:hRule="exact" w:val="374"/>
          <w:jc w:val="center"/>
        </w:trPr>
        <w:tc>
          <w:tcPr>
            <w:tcW w:w="1747" w:type="dxa"/>
            <w:shd w:val="clear" w:color="auto" w:fill="D9D9D9" w:themeFill="background1" w:themeFillShade="D9"/>
            <w:vAlign w:val="center"/>
          </w:tcPr>
          <w:p w14:paraId="2A7B68B1"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Kolonne 1</w:t>
            </w:r>
          </w:p>
        </w:tc>
        <w:tc>
          <w:tcPr>
            <w:tcW w:w="2076" w:type="dxa"/>
            <w:shd w:val="clear" w:color="auto" w:fill="D9D9D9" w:themeFill="background1" w:themeFillShade="D9"/>
            <w:vAlign w:val="center"/>
          </w:tcPr>
          <w:p w14:paraId="5B6C1050"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Kolonne 2</w:t>
            </w:r>
          </w:p>
        </w:tc>
        <w:tc>
          <w:tcPr>
            <w:tcW w:w="3581" w:type="dxa"/>
            <w:shd w:val="clear" w:color="auto" w:fill="D9D9D9" w:themeFill="background1" w:themeFillShade="D9"/>
            <w:vAlign w:val="center"/>
          </w:tcPr>
          <w:p w14:paraId="5BBAA7E0"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Kolonne 3</w:t>
            </w:r>
          </w:p>
        </w:tc>
      </w:tr>
      <w:tr w:rsidR="00503C92" w:rsidRPr="00F122A6" w14:paraId="20ED82A6" w14:textId="77777777" w:rsidTr="00F122A6">
        <w:trPr>
          <w:trHeight w:hRule="exact" w:val="566"/>
          <w:jc w:val="center"/>
        </w:trPr>
        <w:tc>
          <w:tcPr>
            <w:tcW w:w="1747" w:type="dxa"/>
            <w:shd w:val="clear" w:color="auto" w:fill="D9D9D9" w:themeFill="background1" w:themeFillShade="D9"/>
            <w:vAlign w:val="center"/>
          </w:tcPr>
          <w:p w14:paraId="4B8683D3"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Tungmetaller</w:t>
            </w:r>
          </w:p>
        </w:tc>
        <w:tc>
          <w:tcPr>
            <w:tcW w:w="2076" w:type="dxa"/>
            <w:shd w:val="clear" w:color="auto" w:fill="D9D9D9" w:themeFill="background1" w:themeFillShade="D9"/>
            <w:vAlign w:val="center"/>
          </w:tcPr>
          <w:p w14:paraId="027C08C0"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Grænseværdier (mg/kg ms)</w:t>
            </w:r>
          </w:p>
        </w:tc>
        <w:tc>
          <w:tcPr>
            <w:tcW w:w="3581" w:type="dxa"/>
            <w:shd w:val="clear" w:color="auto" w:fill="D9D9D9" w:themeFill="background1" w:themeFillShade="D9"/>
            <w:vAlign w:val="center"/>
          </w:tcPr>
          <w:p w14:paraId="6B687215"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Grænseværdier (mg/kg ms), jf. artikel 8, stk. 2</w:t>
            </w:r>
          </w:p>
        </w:tc>
      </w:tr>
      <w:tr w:rsidR="00503C92" w:rsidRPr="00F122A6" w14:paraId="5A358BE6" w14:textId="77777777" w:rsidTr="00F122A6">
        <w:trPr>
          <w:trHeight w:hRule="exact" w:val="336"/>
          <w:jc w:val="center"/>
        </w:trPr>
        <w:tc>
          <w:tcPr>
            <w:tcW w:w="1747" w:type="dxa"/>
            <w:shd w:val="clear" w:color="auto" w:fill="auto"/>
            <w:vAlign w:val="center"/>
          </w:tcPr>
          <w:p w14:paraId="52B9DDD0"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lastRenderedPageBreak/>
              <w:t>"Arsen i alt (As)</w:t>
            </w:r>
          </w:p>
        </w:tc>
        <w:tc>
          <w:tcPr>
            <w:tcW w:w="2076" w:type="dxa"/>
            <w:shd w:val="clear" w:color="auto" w:fill="auto"/>
            <w:vAlign w:val="center"/>
          </w:tcPr>
          <w:p w14:paraId="3F7F67A7"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40</w:t>
            </w:r>
          </w:p>
        </w:tc>
        <w:tc>
          <w:tcPr>
            <w:tcW w:w="3581" w:type="dxa"/>
            <w:shd w:val="clear" w:color="auto" w:fill="auto"/>
            <w:vAlign w:val="center"/>
          </w:tcPr>
          <w:p w14:paraId="15B84B83"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0,8</w:t>
            </w:r>
          </w:p>
        </w:tc>
      </w:tr>
      <w:tr w:rsidR="00503C92" w:rsidRPr="00F122A6" w14:paraId="24C9545C" w14:textId="77777777" w:rsidTr="00F122A6">
        <w:trPr>
          <w:trHeight w:hRule="exact" w:val="346"/>
          <w:jc w:val="center"/>
        </w:trPr>
        <w:tc>
          <w:tcPr>
            <w:tcW w:w="1747" w:type="dxa"/>
            <w:shd w:val="clear" w:color="auto" w:fill="auto"/>
            <w:vAlign w:val="center"/>
          </w:tcPr>
          <w:p w14:paraId="5344CFF1" w14:textId="77777777" w:rsidR="00503C92" w:rsidRPr="00F122A6" w:rsidRDefault="0037644B" w:rsidP="00F122A6">
            <w:pPr>
              <w:pStyle w:val="Other0"/>
              <w:spacing w:after="0" w:line="240" w:lineRule="auto"/>
              <w:ind w:left="57" w:right="57" w:firstLine="0"/>
              <w:jc w:val="center"/>
              <w:rPr>
                <w:sz w:val="17"/>
                <w:szCs w:val="17"/>
              </w:rPr>
            </w:pPr>
            <w:proofErr w:type="spellStart"/>
            <w:r>
              <w:rPr>
                <w:rStyle w:val="Other"/>
                <w:sz w:val="17"/>
              </w:rPr>
              <w:t>Chrom</w:t>
            </w:r>
            <w:proofErr w:type="spellEnd"/>
            <w:r>
              <w:rPr>
                <w:rStyle w:val="Other"/>
                <w:sz w:val="17"/>
              </w:rPr>
              <w:t xml:space="preserve"> (</w:t>
            </w:r>
            <w:proofErr w:type="spellStart"/>
            <w:r>
              <w:rPr>
                <w:rStyle w:val="Other"/>
                <w:sz w:val="17"/>
              </w:rPr>
              <w:t>Cr</w:t>
            </w:r>
            <w:proofErr w:type="spellEnd"/>
            <w:r>
              <w:rPr>
                <w:rStyle w:val="Other"/>
                <w:sz w:val="17"/>
              </w:rPr>
              <w:t>)</w:t>
            </w:r>
          </w:p>
        </w:tc>
        <w:tc>
          <w:tcPr>
            <w:tcW w:w="2076" w:type="dxa"/>
            <w:shd w:val="clear" w:color="auto" w:fill="auto"/>
            <w:vAlign w:val="center"/>
          </w:tcPr>
          <w:p w14:paraId="11EA4524"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1000</w:t>
            </w:r>
          </w:p>
        </w:tc>
        <w:tc>
          <w:tcPr>
            <w:tcW w:w="3581" w:type="dxa"/>
            <w:shd w:val="clear" w:color="auto" w:fill="auto"/>
            <w:vAlign w:val="center"/>
          </w:tcPr>
          <w:p w14:paraId="636B41D4"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20"</w:t>
            </w:r>
          </w:p>
        </w:tc>
      </w:tr>
    </w:tbl>
    <w:p w14:paraId="5AB607F1" w14:textId="77777777" w:rsidR="00503C92" w:rsidRPr="00F122A6" w:rsidRDefault="00503C92" w:rsidP="00EE0D48">
      <w:pPr>
        <w:spacing w:after="239" w:line="1" w:lineRule="exact"/>
        <w:ind w:left="1560" w:right="1830"/>
      </w:pPr>
    </w:p>
    <w:p w14:paraId="145B7D13" w14:textId="5681DD89" w:rsidR="00503C92" w:rsidRPr="00F122A6" w:rsidRDefault="008A217F" w:rsidP="008A217F">
      <w:pPr>
        <w:pStyle w:val="BodyText"/>
        <w:tabs>
          <w:tab w:val="left" w:pos="1278"/>
        </w:tabs>
        <w:spacing w:after="140"/>
        <w:ind w:left="1900" w:right="1830" w:firstLine="510"/>
        <w:jc w:val="both"/>
        <w:rPr>
          <w:sz w:val="20"/>
        </w:rPr>
      </w:pPr>
      <w:r>
        <w:rPr>
          <w:rStyle w:val="BodyTextChar"/>
          <w:sz w:val="20"/>
        </w:rPr>
        <w:t>"2. Værdierne for tungmetaller i affald, der udbringes til jord, registreres i det bedriftsregister, der er omhandlet i artikel 5 i dette kongelige dekret."</w:t>
      </w:r>
    </w:p>
    <w:p w14:paraId="14D9F12F" w14:textId="77777777" w:rsidR="00503C92" w:rsidRPr="00F122A6" w:rsidRDefault="0037644B" w:rsidP="00EE0D48">
      <w:pPr>
        <w:pStyle w:val="BodyText"/>
        <w:spacing w:after="140"/>
        <w:ind w:left="1560" w:right="1830" w:firstLine="360"/>
        <w:jc w:val="both"/>
        <w:rPr>
          <w:sz w:val="20"/>
        </w:rPr>
      </w:pPr>
      <w:r>
        <w:rPr>
          <w:rStyle w:val="BodyTextChar"/>
          <w:sz w:val="20"/>
        </w:rPr>
        <w:t>Tretten. Følgende række tilføjes i slutningen af tabellen i del B i bilag IV med følgende indhold:</w:t>
      </w:r>
    </w:p>
    <w:tbl>
      <w:tblPr>
        <w:tblOverlap w:val="never"/>
        <w:tblW w:w="0" w:type="auto"/>
        <w:jc w:val="center"/>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CellMar>
          <w:left w:w="10" w:type="dxa"/>
          <w:right w:w="10" w:type="dxa"/>
        </w:tblCellMar>
        <w:tblLook w:val="04A0" w:firstRow="1" w:lastRow="0" w:firstColumn="1" w:lastColumn="0" w:noHBand="0" w:noVBand="1"/>
      </w:tblPr>
      <w:tblGrid>
        <w:gridCol w:w="1483"/>
        <w:gridCol w:w="734"/>
        <w:gridCol w:w="744"/>
      </w:tblGrid>
      <w:tr w:rsidR="00503C92" w:rsidRPr="00F122A6" w14:paraId="59708D39" w14:textId="77777777" w:rsidTr="008A217F">
        <w:trPr>
          <w:trHeight w:hRule="exact" w:val="350"/>
          <w:jc w:val="center"/>
        </w:trPr>
        <w:tc>
          <w:tcPr>
            <w:tcW w:w="1483" w:type="dxa"/>
            <w:shd w:val="clear" w:color="auto" w:fill="auto"/>
            <w:vAlign w:val="center"/>
          </w:tcPr>
          <w:p w14:paraId="08066328" w14:textId="77777777" w:rsidR="00503C92" w:rsidRPr="00F122A6" w:rsidRDefault="0037644B" w:rsidP="00F122A6">
            <w:pPr>
              <w:pStyle w:val="Other0"/>
              <w:spacing w:after="0" w:line="240" w:lineRule="auto"/>
              <w:ind w:left="57" w:right="57" w:firstLine="0"/>
              <w:rPr>
                <w:sz w:val="17"/>
                <w:szCs w:val="17"/>
              </w:rPr>
            </w:pPr>
            <w:r>
              <w:rPr>
                <w:rStyle w:val="Other"/>
                <w:sz w:val="17"/>
              </w:rPr>
              <w:t>"</w:t>
            </w:r>
            <w:proofErr w:type="spellStart"/>
            <w:r>
              <w:rPr>
                <w:rStyle w:val="Other"/>
                <w:sz w:val="17"/>
              </w:rPr>
              <w:t>Chrom</w:t>
            </w:r>
            <w:proofErr w:type="spellEnd"/>
            <w:r>
              <w:rPr>
                <w:rStyle w:val="Other"/>
                <w:sz w:val="17"/>
              </w:rPr>
              <w:t xml:space="preserve"> (</w:t>
            </w:r>
            <w:proofErr w:type="spellStart"/>
            <w:r>
              <w:rPr>
                <w:rStyle w:val="Other"/>
                <w:sz w:val="17"/>
              </w:rPr>
              <w:t>Cr</w:t>
            </w:r>
            <w:proofErr w:type="spellEnd"/>
            <w:r>
              <w:rPr>
                <w:rStyle w:val="Other"/>
                <w:sz w:val="17"/>
              </w:rPr>
              <w:t>)</w:t>
            </w:r>
          </w:p>
        </w:tc>
        <w:tc>
          <w:tcPr>
            <w:tcW w:w="734" w:type="dxa"/>
            <w:shd w:val="clear" w:color="auto" w:fill="auto"/>
            <w:vAlign w:val="center"/>
          </w:tcPr>
          <w:p w14:paraId="7816A927"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60</w:t>
            </w:r>
          </w:p>
        </w:tc>
        <w:tc>
          <w:tcPr>
            <w:tcW w:w="744" w:type="dxa"/>
            <w:shd w:val="clear" w:color="auto" w:fill="auto"/>
            <w:vAlign w:val="center"/>
          </w:tcPr>
          <w:p w14:paraId="18644324"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100"</w:t>
            </w:r>
          </w:p>
        </w:tc>
      </w:tr>
    </w:tbl>
    <w:p w14:paraId="4DE6B90B" w14:textId="77777777" w:rsidR="00503C92" w:rsidRPr="00F122A6" w:rsidRDefault="00503C92" w:rsidP="00EE0D48">
      <w:pPr>
        <w:spacing w:after="239" w:line="1" w:lineRule="exact"/>
        <w:ind w:left="1560" w:right="1830"/>
      </w:pPr>
    </w:p>
    <w:p w14:paraId="2755C612" w14:textId="77777777" w:rsidR="00503C92" w:rsidRPr="00F122A6" w:rsidRDefault="0037644B" w:rsidP="00EE0D48">
      <w:pPr>
        <w:pStyle w:val="BodyText"/>
        <w:spacing w:after="140"/>
        <w:ind w:left="1560" w:right="1830" w:firstLine="360"/>
        <w:jc w:val="both"/>
        <w:rPr>
          <w:sz w:val="20"/>
        </w:rPr>
      </w:pPr>
      <w:r>
        <w:rPr>
          <w:rStyle w:val="BodyTextChar"/>
          <w:sz w:val="20"/>
        </w:rPr>
        <w:t>Fjorten. Der indsættes en række i slutningen af tabellen i bilag IV, del C, stk. 1, med følgende indhold:</w:t>
      </w:r>
    </w:p>
    <w:tbl>
      <w:tblPr>
        <w:tblOverlap w:val="never"/>
        <w:tblW w:w="0" w:type="auto"/>
        <w:jc w:val="center"/>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CellMar>
          <w:left w:w="10" w:type="dxa"/>
          <w:right w:w="10" w:type="dxa"/>
        </w:tblCellMar>
        <w:tblLook w:val="04A0" w:firstRow="1" w:lastRow="0" w:firstColumn="1" w:lastColumn="0" w:noHBand="0" w:noVBand="1"/>
      </w:tblPr>
      <w:tblGrid>
        <w:gridCol w:w="1483"/>
        <w:gridCol w:w="734"/>
        <w:gridCol w:w="744"/>
      </w:tblGrid>
      <w:tr w:rsidR="00503C92" w:rsidRPr="00F122A6" w14:paraId="43508A47" w14:textId="77777777" w:rsidTr="008A217F">
        <w:trPr>
          <w:trHeight w:hRule="exact" w:val="350"/>
          <w:jc w:val="center"/>
        </w:trPr>
        <w:tc>
          <w:tcPr>
            <w:tcW w:w="1483" w:type="dxa"/>
            <w:shd w:val="clear" w:color="auto" w:fill="auto"/>
            <w:vAlign w:val="center"/>
          </w:tcPr>
          <w:p w14:paraId="209C69AC" w14:textId="77777777" w:rsidR="00503C92" w:rsidRPr="00F122A6" w:rsidRDefault="0037644B" w:rsidP="00F122A6">
            <w:pPr>
              <w:pStyle w:val="Other0"/>
              <w:spacing w:after="0" w:line="240" w:lineRule="auto"/>
              <w:ind w:left="57" w:right="57" w:firstLine="0"/>
              <w:rPr>
                <w:sz w:val="17"/>
                <w:szCs w:val="17"/>
              </w:rPr>
            </w:pPr>
            <w:r>
              <w:rPr>
                <w:rStyle w:val="Other"/>
                <w:sz w:val="17"/>
              </w:rPr>
              <w:t>"</w:t>
            </w:r>
            <w:proofErr w:type="spellStart"/>
            <w:r>
              <w:rPr>
                <w:rStyle w:val="Other"/>
                <w:sz w:val="17"/>
              </w:rPr>
              <w:t>Chrom</w:t>
            </w:r>
            <w:proofErr w:type="spellEnd"/>
            <w:r>
              <w:rPr>
                <w:rStyle w:val="Other"/>
                <w:sz w:val="17"/>
              </w:rPr>
              <w:t xml:space="preserve"> (</w:t>
            </w:r>
            <w:proofErr w:type="spellStart"/>
            <w:r>
              <w:rPr>
                <w:rStyle w:val="Other"/>
                <w:sz w:val="17"/>
              </w:rPr>
              <w:t>Cr</w:t>
            </w:r>
            <w:proofErr w:type="spellEnd"/>
            <w:r>
              <w:rPr>
                <w:rStyle w:val="Other"/>
                <w:sz w:val="17"/>
              </w:rPr>
              <w:t>)</w:t>
            </w:r>
          </w:p>
        </w:tc>
        <w:tc>
          <w:tcPr>
            <w:tcW w:w="734" w:type="dxa"/>
            <w:shd w:val="clear" w:color="auto" w:fill="auto"/>
            <w:vAlign w:val="center"/>
          </w:tcPr>
          <w:p w14:paraId="2B8EA9C0"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2400</w:t>
            </w:r>
          </w:p>
        </w:tc>
        <w:tc>
          <w:tcPr>
            <w:tcW w:w="744" w:type="dxa"/>
            <w:shd w:val="clear" w:color="auto" w:fill="auto"/>
            <w:vAlign w:val="center"/>
          </w:tcPr>
          <w:p w14:paraId="1B13026B"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48"</w:t>
            </w:r>
          </w:p>
        </w:tc>
      </w:tr>
    </w:tbl>
    <w:p w14:paraId="03D5A39B" w14:textId="77777777" w:rsidR="00503C92" w:rsidRPr="00F122A6" w:rsidRDefault="00503C92" w:rsidP="00EE0D48">
      <w:pPr>
        <w:spacing w:after="239" w:line="1" w:lineRule="exact"/>
        <w:ind w:left="1560" w:right="1830"/>
      </w:pPr>
    </w:p>
    <w:p w14:paraId="35F234AC" w14:textId="77777777" w:rsidR="00503C92" w:rsidRPr="00F122A6" w:rsidRDefault="0037644B" w:rsidP="00EE0D48">
      <w:pPr>
        <w:pStyle w:val="BodyText"/>
        <w:spacing w:after="140"/>
        <w:ind w:left="1560" w:right="1830" w:firstLine="360"/>
        <w:jc w:val="both"/>
        <w:rPr>
          <w:sz w:val="20"/>
        </w:rPr>
      </w:pPr>
      <w:r>
        <w:rPr>
          <w:rStyle w:val="BodyTextChar"/>
          <w:sz w:val="20"/>
        </w:rPr>
        <w:t>Femten. Bilag V, del A, litra f) og g), ændres, og der tilføjes to nye litraer h) og i) med følgende indhold:</w:t>
      </w:r>
    </w:p>
    <w:p w14:paraId="27DB6947" w14:textId="77777777" w:rsidR="00503C92" w:rsidRPr="00F122A6" w:rsidRDefault="0037644B" w:rsidP="008A217F">
      <w:pPr>
        <w:pStyle w:val="BodyText"/>
        <w:spacing w:after="0"/>
        <w:ind w:left="1560" w:right="1830" w:firstLine="283"/>
        <w:jc w:val="both"/>
        <w:rPr>
          <w:sz w:val="20"/>
        </w:rPr>
      </w:pPr>
      <w:r>
        <w:rPr>
          <w:rStyle w:val="BodyTextChar"/>
          <w:sz w:val="20"/>
        </w:rPr>
        <w:t xml:space="preserve">"f) anvendelse af forsuret gylle eller </w:t>
      </w:r>
      <w:proofErr w:type="spellStart"/>
      <w:r>
        <w:rPr>
          <w:rStyle w:val="BodyTextChar"/>
          <w:sz w:val="20"/>
        </w:rPr>
        <w:t>ureasehæmmere</w:t>
      </w:r>
      <w:proofErr w:type="spellEnd"/>
    </w:p>
    <w:p w14:paraId="27628483" w14:textId="77777777" w:rsidR="00503C92" w:rsidRPr="00F122A6" w:rsidRDefault="0037644B" w:rsidP="00EE0D48">
      <w:pPr>
        <w:pStyle w:val="BodyText"/>
        <w:numPr>
          <w:ilvl w:val="0"/>
          <w:numId w:val="4"/>
        </w:numPr>
        <w:tabs>
          <w:tab w:val="left" w:pos="1248"/>
        </w:tabs>
        <w:spacing w:after="0"/>
        <w:ind w:left="1560" w:right="1830"/>
        <w:jc w:val="both"/>
        <w:rPr>
          <w:sz w:val="20"/>
        </w:rPr>
      </w:pPr>
      <w:r>
        <w:rPr>
          <w:rStyle w:val="BodyTextChar"/>
          <w:sz w:val="20"/>
        </w:rPr>
        <w:t xml:space="preserve">anvendelse af </w:t>
      </w:r>
      <w:proofErr w:type="spellStart"/>
      <w:r>
        <w:rPr>
          <w:rStyle w:val="BodyTextChar"/>
          <w:sz w:val="20"/>
        </w:rPr>
        <w:t>ureasehæmmere</w:t>
      </w:r>
      <w:proofErr w:type="spellEnd"/>
      <w:r>
        <w:rPr>
          <w:rStyle w:val="BodyTextChar"/>
          <w:sz w:val="20"/>
        </w:rPr>
        <w:t xml:space="preserve"> eller </w:t>
      </w:r>
      <w:proofErr w:type="spellStart"/>
      <w:r>
        <w:rPr>
          <w:rStyle w:val="BodyTextChar"/>
          <w:sz w:val="20"/>
        </w:rPr>
        <w:t>nitrifikationshæmmere</w:t>
      </w:r>
      <w:proofErr w:type="spellEnd"/>
      <w:r>
        <w:rPr>
          <w:rStyle w:val="BodyTextChar"/>
          <w:sz w:val="20"/>
        </w:rPr>
        <w:t>, med professionelt tilsyn i tilfælde af direkte udbringning på jord</w:t>
      </w:r>
    </w:p>
    <w:p w14:paraId="09826684" w14:textId="77777777" w:rsidR="00503C92" w:rsidRPr="00F122A6" w:rsidRDefault="0037644B" w:rsidP="00EE0D48">
      <w:pPr>
        <w:pStyle w:val="BodyText"/>
        <w:numPr>
          <w:ilvl w:val="0"/>
          <w:numId w:val="4"/>
        </w:numPr>
        <w:tabs>
          <w:tab w:val="left" w:pos="1248"/>
        </w:tabs>
        <w:spacing w:after="0"/>
        <w:ind w:left="1560" w:right="1830"/>
        <w:jc w:val="both"/>
        <w:rPr>
          <w:sz w:val="20"/>
        </w:rPr>
      </w:pPr>
      <w:r>
        <w:rPr>
          <w:rStyle w:val="BodyTextChar"/>
          <w:sz w:val="20"/>
        </w:rPr>
        <w:t>kompostering eller biologisk nedbrydning, der sikrer et endeligt indhold af ammoniakkvælstof på under 0,6 %, udtrykt som nitrogen (N), for så vidt angår materialets vådvægt</w:t>
      </w:r>
    </w:p>
    <w:p w14:paraId="6AA39005" w14:textId="77777777" w:rsidR="00503C92" w:rsidRPr="00F122A6" w:rsidRDefault="0037644B" w:rsidP="00EE0D48">
      <w:pPr>
        <w:pStyle w:val="BodyText"/>
        <w:numPr>
          <w:ilvl w:val="0"/>
          <w:numId w:val="4"/>
        </w:numPr>
        <w:tabs>
          <w:tab w:val="left" w:pos="1248"/>
        </w:tabs>
        <w:spacing w:after="140"/>
        <w:ind w:left="1560" w:right="1830"/>
        <w:jc w:val="both"/>
        <w:rPr>
          <w:sz w:val="20"/>
        </w:rPr>
      </w:pPr>
      <w:r>
        <w:rPr>
          <w:rStyle w:val="BodyTextChar"/>
          <w:sz w:val="20"/>
        </w:rPr>
        <w:t>nedgravning af husdyrgødning inden for de første 12 timer efter udbringning, ved hjælp af plov med skær og muldfjæl, mejselplov, roterende plov eller udstyr, der sikrer tilsvarende arbejde, undtagen ved direkte såning, jordbundsbevarende landbrug eller på græsningsarealer."</w:t>
      </w:r>
    </w:p>
    <w:p w14:paraId="1FD90741" w14:textId="125DFFD4" w:rsidR="00503C92" w:rsidRPr="00F122A6" w:rsidRDefault="0037644B" w:rsidP="00EE0D48">
      <w:pPr>
        <w:pStyle w:val="BodyText"/>
        <w:spacing w:after="140"/>
        <w:ind w:left="1560" w:right="1830" w:firstLine="360"/>
        <w:jc w:val="both"/>
        <w:rPr>
          <w:sz w:val="20"/>
        </w:rPr>
      </w:pPr>
      <w:r>
        <w:rPr>
          <w:rStyle w:val="BodyTextChar"/>
          <w:sz w:val="20"/>
        </w:rPr>
        <w:t>Seksten. Litra a) og e) i del 1, stk. 1, i bilag VIII affattes således, og de nye litraer g), h), i) og j) indsættes med følgende indhold:</w:t>
      </w:r>
    </w:p>
    <w:p w14:paraId="63F8109E" w14:textId="20477922" w:rsidR="00503C92" w:rsidRPr="00F122A6" w:rsidRDefault="0037644B" w:rsidP="00EE0D48">
      <w:pPr>
        <w:pStyle w:val="BodyText"/>
        <w:spacing w:after="140"/>
        <w:ind w:left="1560" w:right="1830"/>
        <w:jc w:val="both"/>
        <w:rPr>
          <w:sz w:val="20"/>
        </w:rPr>
      </w:pPr>
      <w:r>
        <w:rPr>
          <w:rStyle w:val="BodyTextChar"/>
          <w:sz w:val="20"/>
        </w:rPr>
        <w:t>"a) materialer, der uden at være blevet anvendt til fremstilling af et gødningsprodukt opfylder alle kravene i CMC 3, 4, 5, 6, 12, 13 og 14 i bilag II til forordning (EU) 2019/1009. Med henblik på nyttiggørelse i jord som affald er det ikke nødvendigt at opfylde kravet i punkt 2 i CMC 1, når det gælder de ovenfor anførte kategorier."</w:t>
      </w:r>
    </w:p>
    <w:p w14:paraId="3EA26C98" w14:textId="77777777" w:rsidR="00503C92" w:rsidRPr="00F122A6" w:rsidRDefault="0037644B" w:rsidP="00BB487E">
      <w:pPr>
        <w:pStyle w:val="BodyText"/>
        <w:keepNext/>
        <w:keepLines/>
        <w:spacing w:after="0"/>
        <w:ind w:left="1559" w:right="1831"/>
        <w:jc w:val="both"/>
        <w:rPr>
          <w:sz w:val="20"/>
        </w:rPr>
      </w:pPr>
      <w:r>
        <w:rPr>
          <w:rStyle w:val="BodyTextChar"/>
          <w:sz w:val="20"/>
        </w:rPr>
        <w:t>"e) slam opført i bilag I til bekendtgørelse AAA/1072/2013 af 7. juni 2013, forudsat at det er blevet behandlet i overensstemmelse med bestemmelserne i kongeligt dekret 1310/1990 af 29. oktober 1990."</w:t>
      </w:r>
    </w:p>
    <w:p w14:paraId="782CCBF9" w14:textId="77777777" w:rsidR="00503C92" w:rsidRPr="00F122A6" w:rsidRDefault="0037644B" w:rsidP="00EE0D48">
      <w:pPr>
        <w:pStyle w:val="BodyText"/>
        <w:spacing w:after="0"/>
        <w:ind w:left="1560" w:right="1830"/>
        <w:jc w:val="both"/>
        <w:rPr>
          <w:sz w:val="20"/>
        </w:rPr>
      </w:pPr>
      <w:r>
        <w:rPr>
          <w:rStyle w:val="BodyTextChar"/>
          <w:sz w:val="20"/>
        </w:rPr>
        <w:t>"g) materialer, der, selv om de ikke opfylder behandlingskravene i CMC 3, 4 og 5, alt efter hvad der er relevant, i forordning 2019/1009, opfylder kravene til inputmaterialer med hensyn til stabilitet, urenheder og forurenende stoffer</w:t>
      </w:r>
    </w:p>
    <w:p w14:paraId="6999F79B" w14:textId="77777777" w:rsidR="00503C92" w:rsidRPr="00F122A6" w:rsidRDefault="0037644B" w:rsidP="00EE0D48">
      <w:pPr>
        <w:pStyle w:val="BodyText"/>
        <w:numPr>
          <w:ilvl w:val="0"/>
          <w:numId w:val="5"/>
        </w:numPr>
        <w:tabs>
          <w:tab w:val="left" w:pos="1273"/>
        </w:tabs>
        <w:spacing w:after="0"/>
        <w:ind w:left="1560" w:right="1830" w:firstLine="920"/>
        <w:jc w:val="both"/>
        <w:rPr>
          <w:sz w:val="20"/>
        </w:rPr>
      </w:pPr>
      <w:r>
        <w:rPr>
          <w:rStyle w:val="BodyTextChar"/>
          <w:sz w:val="20"/>
        </w:rPr>
        <w:t>spildevand fra oliemøller</w:t>
      </w:r>
    </w:p>
    <w:p w14:paraId="52BCE1BB" w14:textId="77777777" w:rsidR="00503C92" w:rsidRPr="00F122A6" w:rsidRDefault="0037644B" w:rsidP="00EE0D48">
      <w:pPr>
        <w:pStyle w:val="BodyText"/>
        <w:numPr>
          <w:ilvl w:val="0"/>
          <w:numId w:val="5"/>
        </w:numPr>
        <w:tabs>
          <w:tab w:val="left" w:pos="1206"/>
        </w:tabs>
        <w:spacing w:after="0"/>
        <w:ind w:left="1560" w:right="1830" w:firstLine="920"/>
        <w:jc w:val="both"/>
        <w:rPr>
          <w:sz w:val="20"/>
        </w:rPr>
      </w:pPr>
      <w:r>
        <w:rPr>
          <w:rStyle w:val="BodyTextChar"/>
          <w:sz w:val="20"/>
        </w:rPr>
        <w:t>vinbærme</w:t>
      </w:r>
    </w:p>
    <w:p w14:paraId="332C9668" w14:textId="77777777" w:rsidR="00503C92" w:rsidRDefault="0037644B" w:rsidP="008A217F">
      <w:pPr>
        <w:pStyle w:val="BodyText"/>
        <w:numPr>
          <w:ilvl w:val="0"/>
          <w:numId w:val="5"/>
        </w:numPr>
        <w:spacing w:after="0"/>
        <w:ind w:left="1560" w:right="1830" w:firstLine="920"/>
        <w:jc w:val="both"/>
        <w:rPr>
          <w:rStyle w:val="BodyTextChar"/>
          <w:sz w:val="20"/>
        </w:rPr>
      </w:pPr>
      <w:r>
        <w:rPr>
          <w:rStyle w:val="BodyTextChar"/>
          <w:sz w:val="20"/>
        </w:rPr>
        <w:t>blandinger af ovenstående, forudsat at de mest begrænsende restriktioner for hver af komponenterne overholdes."</w:t>
      </w:r>
    </w:p>
    <w:p w14:paraId="2B0EA9E3" w14:textId="77777777" w:rsidR="008A217F" w:rsidRPr="00F122A6" w:rsidRDefault="008A217F" w:rsidP="008A217F">
      <w:pPr>
        <w:pStyle w:val="BodyText"/>
        <w:tabs>
          <w:tab w:val="left" w:pos="1207"/>
        </w:tabs>
        <w:spacing w:after="0"/>
        <w:ind w:left="2480" w:right="1830" w:firstLine="0"/>
        <w:jc w:val="both"/>
        <w:rPr>
          <w:sz w:val="20"/>
        </w:rPr>
      </w:pPr>
    </w:p>
    <w:p w14:paraId="5092D498" w14:textId="77777777" w:rsidR="00503C92" w:rsidRPr="00F122A6" w:rsidRDefault="0037644B" w:rsidP="00EE0D48">
      <w:pPr>
        <w:pStyle w:val="BodyText"/>
        <w:ind w:left="1560" w:right="1830" w:firstLine="360"/>
        <w:jc w:val="both"/>
        <w:rPr>
          <w:sz w:val="20"/>
        </w:rPr>
      </w:pPr>
      <w:r>
        <w:rPr>
          <w:rStyle w:val="BodyTextChar"/>
          <w:sz w:val="20"/>
        </w:rPr>
        <w:t>Sytten. Stk. 1 og 2 i del 2 i bilag VIII, omformuleres, og to nye stykker 7 og 8 indsættes som følger:</w:t>
      </w:r>
    </w:p>
    <w:p w14:paraId="2BF2A9A1" w14:textId="77777777" w:rsidR="00503C92" w:rsidRPr="00F122A6" w:rsidRDefault="0037644B" w:rsidP="00EE0D48">
      <w:pPr>
        <w:pStyle w:val="BodyText"/>
        <w:ind w:left="1560" w:right="1830"/>
        <w:jc w:val="both"/>
        <w:rPr>
          <w:sz w:val="20"/>
        </w:rPr>
      </w:pPr>
      <w:r>
        <w:rPr>
          <w:rStyle w:val="BodyTextChar"/>
          <w:sz w:val="20"/>
        </w:rPr>
        <w:t>"1. Materialer under CMC 3, 4 og 5, der er tilvejebragt i overensstemmelse med bilag II til Europa-Parlamentets og Rådets forordning (EU) 2019/1009 af 5. juni 2019:</w:t>
      </w:r>
    </w:p>
    <w:p w14:paraId="17625A3C" w14:textId="77777777" w:rsidR="00503C92" w:rsidRPr="00F122A6" w:rsidRDefault="0037644B" w:rsidP="00EE0D48">
      <w:pPr>
        <w:pStyle w:val="BodyText"/>
        <w:ind w:left="1560" w:right="1830"/>
        <w:jc w:val="both"/>
        <w:rPr>
          <w:sz w:val="20"/>
        </w:rPr>
      </w:pPr>
      <w:r>
        <w:rPr>
          <w:rStyle w:val="BodyTextChar"/>
          <w:sz w:val="20"/>
        </w:rPr>
        <w:lastRenderedPageBreak/>
        <w:t>opfylder alle kravene i nævnte bilag, herunder med hensyn til oprindelsen af inputmaterialerne, og følgende parametre:</w:t>
      </w:r>
    </w:p>
    <w:p w14:paraId="332C73FC" w14:textId="0ED2C2D6" w:rsidR="00503C92" w:rsidRPr="00F122A6" w:rsidRDefault="0037644B" w:rsidP="00BB487E">
      <w:pPr>
        <w:pStyle w:val="BodyText"/>
        <w:numPr>
          <w:ilvl w:val="0"/>
          <w:numId w:val="6"/>
        </w:numPr>
        <w:tabs>
          <w:tab w:val="left" w:pos="1230"/>
        </w:tabs>
        <w:spacing w:after="0" w:line="276" w:lineRule="auto"/>
        <w:ind w:left="1985" w:right="1830" w:firstLine="567"/>
        <w:jc w:val="both"/>
        <w:rPr>
          <w:sz w:val="20"/>
        </w:rPr>
      </w:pPr>
      <w:r>
        <w:rPr>
          <w:rStyle w:val="BodyTextChar"/>
          <w:sz w:val="20"/>
        </w:rPr>
        <w:t>Organisk stof i alt ≥ 25 % i tørstof.</w:t>
      </w:r>
    </w:p>
    <w:p w14:paraId="4B6A4943" w14:textId="77777777" w:rsidR="00503C92" w:rsidRPr="00F122A6" w:rsidRDefault="0037644B" w:rsidP="00BB487E">
      <w:pPr>
        <w:pStyle w:val="BodyText"/>
        <w:numPr>
          <w:ilvl w:val="0"/>
          <w:numId w:val="6"/>
        </w:numPr>
        <w:tabs>
          <w:tab w:val="left" w:pos="1230"/>
        </w:tabs>
        <w:spacing w:after="0" w:line="276" w:lineRule="auto"/>
        <w:ind w:left="1985" w:right="1830" w:firstLine="567"/>
        <w:jc w:val="both"/>
        <w:rPr>
          <w:sz w:val="20"/>
          <w:szCs w:val="20"/>
        </w:rPr>
      </w:pPr>
      <w:r>
        <w:rPr>
          <w:rStyle w:val="BodyTextChar"/>
          <w:sz w:val="20"/>
        </w:rPr>
        <w:t xml:space="preserve">Erklærer indhold af </w:t>
      </w:r>
      <w:r>
        <w:rPr>
          <w:rStyle w:val="BodyTextChar"/>
          <w:i/>
          <w:sz w:val="20"/>
        </w:rPr>
        <w:t>Salmonella</w:t>
      </w:r>
      <w:r>
        <w:rPr>
          <w:rStyle w:val="BodyTextChar"/>
          <w:sz w:val="20"/>
        </w:rPr>
        <w:t>.</w:t>
      </w:r>
    </w:p>
    <w:p w14:paraId="47896A74" w14:textId="77777777" w:rsidR="00503C92" w:rsidRPr="00F122A6" w:rsidRDefault="0037644B" w:rsidP="00BB487E">
      <w:pPr>
        <w:pStyle w:val="BodyText"/>
        <w:numPr>
          <w:ilvl w:val="0"/>
          <w:numId w:val="6"/>
        </w:numPr>
        <w:tabs>
          <w:tab w:val="left" w:pos="1230"/>
        </w:tabs>
        <w:spacing w:after="0" w:line="276" w:lineRule="auto"/>
        <w:ind w:left="1985" w:right="1830" w:firstLine="567"/>
        <w:jc w:val="both"/>
        <w:rPr>
          <w:sz w:val="20"/>
          <w:szCs w:val="20"/>
        </w:rPr>
      </w:pPr>
      <w:r>
        <w:rPr>
          <w:rStyle w:val="BodyTextChar"/>
          <w:sz w:val="20"/>
        </w:rPr>
        <w:t xml:space="preserve">Erklærer indhold af </w:t>
      </w:r>
      <w:r>
        <w:rPr>
          <w:rStyle w:val="BodyTextChar"/>
          <w:i/>
          <w:sz w:val="20"/>
        </w:rPr>
        <w:t>Escherichia coli</w:t>
      </w:r>
      <w:proofErr w:type="gramStart"/>
      <w:r>
        <w:rPr>
          <w:rStyle w:val="BodyTextChar"/>
          <w:sz w:val="20"/>
        </w:rPr>
        <w:t>.</w:t>
      </w:r>
      <w:proofErr w:type="gramEnd"/>
    </w:p>
    <w:p w14:paraId="7DC5B92E" w14:textId="77777777" w:rsidR="00503C92" w:rsidRPr="00F122A6" w:rsidRDefault="0037644B" w:rsidP="00BB487E">
      <w:pPr>
        <w:pStyle w:val="BodyText"/>
        <w:numPr>
          <w:ilvl w:val="0"/>
          <w:numId w:val="6"/>
        </w:numPr>
        <w:tabs>
          <w:tab w:val="left" w:pos="1231"/>
        </w:tabs>
        <w:spacing w:after="0" w:line="276" w:lineRule="auto"/>
        <w:ind w:left="1985" w:right="1830" w:firstLine="567"/>
        <w:jc w:val="both"/>
        <w:rPr>
          <w:sz w:val="20"/>
        </w:rPr>
      </w:pPr>
      <w:r>
        <w:rPr>
          <w:rStyle w:val="BodyTextChar"/>
          <w:sz w:val="20"/>
        </w:rPr>
        <w:t>Stiller en analyse af de næringsstoffer, der giver især kvælstof, fosfor (udtrykt som P</w:t>
      </w:r>
      <w:r>
        <w:rPr>
          <w:rStyle w:val="BodyTextChar"/>
          <w:sz w:val="20"/>
          <w:vertAlign w:val="subscript"/>
        </w:rPr>
        <w:t>2</w:t>
      </w:r>
      <w:r>
        <w:rPr>
          <w:rStyle w:val="BodyTextChar"/>
          <w:sz w:val="20"/>
        </w:rPr>
        <w:t>O</w:t>
      </w:r>
      <w:r>
        <w:rPr>
          <w:rStyle w:val="BodyTextChar"/>
          <w:sz w:val="20"/>
          <w:vertAlign w:val="subscript"/>
        </w:rPr>
        <w:t>5</w:t>
      </w:r>
      <w:r>
        <w:rPr>
          <w:rStyle w:val="BodyTextChar"/>
          <w:sz w:val="20"/>
        </w:rPr>
        <w:t>) og kalium (udtrykt som K</w:t>
      </w:r>
      <w:r>
        <w:rPr>
          <w:rStyle w:val="BodyTextChar"/>
          <w:sz w:val="20"/>
          <w:vertAlign w:val="subscript"/>
        </w:rPr>
        <w:t>2</w:t>
      </w:r>
      <w:r>
        <w:rPr>
          <w:rStyle w:val="BodyTextChar"/>
          <w:sz w:val="20"/>
        </w:rPr>
        <w:t>O)) samt pH og elektrisk ledningsevne, til rådighed.</w:t>
      </w:r>
    </w:p>
    <w:p w14:paraId="255E2022" w14:textId="77777777" w:rsidR="00503C92" w:rsidRPr="00F122A6" w:rsidRDefault="0037644B" w:rsidP="00BB487E">
      <w:pPr>
        <w:pStyle w:val="BodyText"/>
        <w:numPr>
          <w:ilvl w:val="0"/>
          <w:numId w:val="6"/>
        </w:numPr>
        <w:tabs>
          <w:tab w:val="left" w:pos="1221"/>
        </w:tabs>
        <w:spacing w:line="276" w:lineRule="auto"/>
        <w:ind w:left="1985" w:right="1830" w:firstLine="567"/>
        <w:jc w:val="both"/>
        <w:rPr>
          <w:sz w:val="20"/>
        </w:rPr>
      </w:pPr>
      <w:r>
        <w:rPr>
          <w:rStyle w:val="BodyTextChar"/>
          <w:sz w:val="20"/>
        </w:rPr>
        <w:t>Opfylder alle yderligere krav i R1001-tilladelsen til nyttiggørelse af affald."</w:t>
      </w:r>
    </w:p>
    <w:p w14:paraId="27038D19" w14:textId="77777777" w:rsidR="00503C92" w:rsidRPr="00F122A6" w:rsidRDefault="0037644B" w:rsidP="00EE0D48">
      <w:pPr>
        <w:pStyle w:val="BodyText"/>
        <w:ind w:left="1560" w:right="1830"/>
        <w:jc w:val="both"/>
        <w:rPr>
          <w:sz w:val="20"/>
        </w:rPr>
      </w:pPr>
      <w:r>
        <w:rPr>
          <w:rStyle w:val="BodyTextChar"/>
          <w:sz w:val="20"/>
        </w:rPr>
        <w:t>2. Tilsvarende skal ethvert komposteret eller nedbrudt materiale, der skal udbringes på landbrugsjord og fås fra andre inputmaterialer end de i foregående stykke omhandlede, opfylde kravene til urenheder og stabilitet i henholdsvis CMC3 eller CMC5 i Europa-Parlamentets og Rådets forordning (EU) 2019/1009 af 5. juni 2019, ud over at overholde følgende parametre:</w:t>
      </w:r>
    </w:p>
    <w:p w14:paraId="4E48BC44" w14:textId="72693F5C" w:rsidR="00503C92" w:rsidRPr="00F122A6" w:rsidRDefault="0037644B" w:rsidP="00BB487E">
      <w:pPr>
        <w:pStyle w:val="BodyText"/>
        <w:numPr>
          <w:ilvl w:val="0"/>
          <w:numId w:val="7"/>
        </w:numPr>
        <w:tabs>
          <w:tab w:val="left" w:pos="1230"/>
        </w:tabs>
        <w:spacing w:after="0" w:line="276" w:lineRule="auto"/>
        <w:ind w:left="1985" w:right="1830" w:firstLine="495"/>
        <w:jc w:val="both"/>
        <w:rPr>
          <w:sz w:val="20"/>
        </w:rPr>
      </w:pPr>
      <w:r>
        <w:rPr>
          <w:rStyle w:val="BodyTextChar"/>
          <w:sz w:val="20"/>
        </w:rPr>
        <w:t>Organisk stof i alt ≥ 25 % i tørstof.</w:t>
      </w:r>
    </w:p>
    <w:p w14:paraId="576B61C8" w14:textId="77777777" w:rsidR="00503C92" w:rsidRPr="00F122A6" w:rsidRDefault="0037644B" w:rsidP="00BB487E">
      <w:pPr>
        <w:pStyle w:val="BodyText"/>
        <w:numPr>
          <w:ilvl w:val="0"/>
          <w:numId w:val="7"/>
        </w:numPr>
        <w:tabs>
          <w:tab w:val="left" w:pos="1230"/>
        </w:tabs>
        <w:spacing w:after="0" w:line="276" w:lineRule="auto"/>
        <w:ind w:left="1985" w:right="1830" w:firstLine="495"/>
        <w:jc w:val="both"/>
        <w:rPr>
          <w:sz w:val="20"/>
          <w:szCs w:val="20"/>
        </w:rPr>
      </w:pPr>
      <w:r>
        <w:rPr>
          <w:rStyle w:val="BodyTextChar"/>
          <w:sz w:val="20"/>
        </w:rPr>
        <w:t xml:space="preserve">Erklærer indhold af </w:t>
      </w:r>
      <w:r>
        <w:rPr>
          <w:rStyle w:val="BodyTextChar"/>
          <w:i/>
          <w:sz w:val="20"/>
        </w:rPr>
        <w:t>Salmonella</w:t>
      </w:r>
      <w:r>
        <w:rPr>
          <w:rStyle w:val="BodyTextChar"/>
          <w:sz w:val="20"/>
        </w:rPr>
        <w:t>.</w:t>
      </w:r>
    </w:p>
    <w:p w14:paraId="4D9310C5" w14:textId="77777777" w:rsidR="00503C92" w:rsidRPr="00F122A6" w:rsidRDefault="0037644B" w:rsidP="00BB487E">
      <w:pPr>
        <w:pStyle w:val="BodyText"/>
        <w:numPr>
          <w:ilvl w:val="0"/>
          <w:numId w:val="7"/>
        </w:numPr>
        <w:tabs>
          <w:tab w:val="left" w:pos="1230"/>
        </w:tabs>
        <w:spacing w:after="0" w:line="276" w:lineRule="auto"/>
        <w:ind w:left="1985" w:right="1830" w:firstLine="495"/>
        <w:jc w:val="both"/>
        <w:rPr>
          <w:sz w:val="20"/>
          <w:szCs w:val="20"/>
        </w:rPr>
      </w:pPr>
      <w:r>
        <w:rPr>
          <w:rStyle w:val="BodyTextChar"/>
          <w:sz w:val="20"/>
        </w:rPr>
        <w:t xml:space="preserve">Erklærer indhold af </w:t>
      </w:r>
      <w:r>
        <w:rPr>
          <w:rStyle w:val="BodyTextChar"/>
          <w:i/>
          <w:sz w:val="20"/>
        </w:rPr>
        <w:t>Escherichia coli</w:t>
      </w:r>
      <w:proofErr w:type="gramStart"/>
      <w:r>
        <w:rPr>
          <w:rStyle w:val="BodyTextChar"/>
          <w:sz w:val="20"/>
        </w:rPr>
        <w:t>.</w:t>
      </w:r>
      <w:proofErr w:type="gramEnd"/>
    </w:p>
    <w:p w14:paraId="1DF72A9D" w14:textId="77777777" w:rsidR="00503C92" w:rsidRPr="00F122A6" w:rsidRDefault="0037644B" w:rsidP="00BB487E">
      <w:pPr>
        <w:pStyle w:val="BodyText"/>
        <w:numPr>
          <w:ilvl w:val="0"/>
          <w:numId w:val="7"/>
        </w:numPr>
        <w:tabs>
          <w:tab w:val="left" w:pos="1231"/>
        </w:tabs>
        <w:spacing w:after="0" w:line="276" w:lineRule="auto"/>
        <w:ind w:left="1985" w:right="1830" w:firstLine="495"/>
        <w:jc w:val="both"/>
        <w:rPr>
          <w:sz w:val="20"/>
        </w:rPr>
      </w:pPr>
      <w:r>
        <w:rPr>
          <w:rStyle w:val="BodyTextChar"/>
          <w:sz w:val="20"/>
        </w:rPr>
        <w:t>Stiller en analyse af de næringsstoffer, der giver især kvælstof, fosfor (udtrykt som P</w:t>
      </w:r>
      <w:r>
        <w:rPr>
          <w:rStyle w:val="BodyTextChar"/>
          <w:sz w:val="20"/>
          <w:vertAlign w:val="subscript"/>
        </w:rPr>
        <w:t>2</w:t>
      </w:r>
      <w:r>
        <w:rPr>
          <w:rStyle w:val="BodyTextChar"/>
          <w:sz w:val="20"/>
        </w:rPr>
        <w:t>O</w:t>
      </w:r>
      <w:r>
        <w:rPr>
          <w:rStyle w:val="BodyTextChar"/>
          <w:sz w:val="20"/>
          <w:vertAlign w:val="subscript"/>
        </w:rPr>
        <w:t>5</w:t>
      </w:r>
      <w:r>
        <w:rPr>
          <w:rStyle w:val="BodyTextChar"/>
          <w:sz w:val="20"/>
        </w:rPr>
        <w:t>) og kalium (udtrykt som K</w:t>
      </w:r>
      <w:r>
        <w:rPr>
          <w:rStyle w:val="BodyTextChar"/>
          <w:sz w:val="20"/>
          <w:vertAlign w:val="subscript"/>
        </w:rPr>
        <w:t>2</w:t>
      </w:r>
      <w:r>
        <w:rPr>
          <w:rStyle w:val="BodyTextChar"/>
          <w:sz w:val="20"/>
        </w:rPr>
        <w:t>O)) samt pH og elektrisk ledningsevne, til rådighed.</w:t>
      </w:r>
    </w:p>
    <w:p w14:paraId="2E2A82BB" w14:textId="77777777" w:rsidR="00503C92" w:rsidRPr="00F122A6" w:rsidRDefault="0037644B" w:rsidP="00BB487E">
      <w:pPr>
        <w:pStyle w:val="BodyText"/>
        <w:numPr>
          <w:ilvl w:val="0"/>
          <w:numId w:val="7"/>
        </w:numPr>
        <w:tabs>
          <w:tab w:val="left" w:pos="1221"/>
        </w:tabs>
        <w:spacing w:line="276" w:lineRule="auto"/>
        <w:ind w:left="1985" w:right="1830" w:firstLine="495"/>
        <w:jc w:val="both"/>
        <w:rPr>
          <w:sz w:val="20"/>
        </w:rPr>
      </w:pPr>
      <w:r>
        <w:rPr>
          <w:rStyle w:val="BodyTextChar"/>
          <w:sz w:val="20"/>
        </w:rPr>
        <w:t>Opfylde alle yderligere krav i R1001-tilladelsen til nyttiggørelse af affald."</w:t>
      </w:r>
    </w:p>
    <w:p w14:paraId="2FE61487" w14:textId="2911B964" w:rsidR="00503C92" w:rsidRPr="00F122A6" w:rsidRDefault="00FF7446" w:rsidP="00FF7446">
      <w:pPr>
        <w:pStyle w:val="BodyText"/>
        <w:tabs>
          <w:tab w:val="left" w:pos="1216"/>
        </w:tabs>
        <w:ind w:left="2480" w:right="1830" w:firstLine="0"/>
        <w:jc w:val="both"/>
        <w:rPr>
          <w:sz w:val="20"/>
        </w:rPr>
      </w:pPr>
      <w:r>
        <w:rPr>
          <w:rStyle w:val="BodyTextChar"/>
          <w:sz w:val="20"/>
        </w:rPr>
        <w:t>"7. spildevand fra oliemøller</w:t>
      </w:r>
    </w:p>
    <w:p w14:paraId="28AE5BA8" w14:textId="3B2C33EB" w:rsidR="00503C92" w:rsidRPr="00F122A6" w:rsidRDefault="0037644B" w:rsidP="00EE0D48">
      <w:pPr>
        <w:pStyle w:val="BodyText"/>
        <w:ind w:left="1560" w:right="1830"/>
        <w:jc w:val="both"/>
        <w:rPr>
          <w:sz w:val="20"/>
        </w:rPr>
      </w:pPr>
      <w:r>
        <w:rPr>
          <w:rStyle w:val="BodyTextChar"/>
          <w:sz w:val="20"/>
        </w:rPr>
        <w:t xml:space="preserve">Dette er væsken, der består af vaskevandet fra oliven og vaskevandet fra de olier, der udvindes ved hjælp af </w:t>
      </w:r>
      <w:proofErr w:type="spellStart"/>
      <w:r>
        <w:rPr>
          <w:rStyle w:val="BodyTextChar"/>
          <w:sz w:val="20"/>
        </w:rPr>
        <w:t>totrins</w:t>
      </w:r>
      <w:proofErr w:type="spellEnd"/>
      <w:r>
        <w:rPr>
          <w:rStyle w:val="BodyTextChar"/>
          <w:sz w:val="20"/>
        </w:rPr>
        <w:t>-ekstraktionssystemet, og som opfylder alle de yderligere krav, der er indeholdt i R1001-tilladelsen til nyttiggørelse.</w:t>
      </w:r>
    </w:p>
    <w:p w14:paraId="43FF02FD" w14:textId="6FE40C1A" w:rsidR="00503C92" w:rsidRPr="00F122A6" w:rsidRDefault="00FF7446" w:rsidP="00FF7446">
      <w:pPr>
        <w:pStyle w:val="BodyText"/>
        <w:tabs>
          <w:tab w:val="left" w:pos="1216"/>
        </w:tabs>
        <w:ind w:left="2480" w:right="1830" w:firstLine="0"/>
        <w:jc w:val="both"/>
        <w:rPr>
          <w:sz w:val="20"/>
        </w:rPr>
      </w:pPr>
      <w:r>
        <w:rPr>
          <w:rStyle w:val="BodyTextChar"/>
          <w:sz w:val="20"/>
        </w:rPr>
        <w:t>8. vinbærme</w:t>
      </w:r>
    </w:p>
    <w:p w14:paraId="29227E47" w14:textId="2A06893C" w:rsidR="00503C92" w:rsidRPr="00F122A6" w:rsidRDefault="0037644B" w:rsidP="00EE0D48">
      <w:pPr>
        <w:pStyle w:val="BodyText"/>
        <w:ind w:left="1560" w:right="1830"/>
        <w:jc w:val="both"/>
        <w:rPr>
          <w:sz w:val="20"/>
        </w:rPr>
      </w:pPr>
      <w:r>
        <w:rPr>
          <w:rStyle w:val="BodyTextChar"/>
          <w:sz w:val="20"/>
        </w:rPr>
        <w:t>Der er tale om organisk bundfald, der består af gær, bakterier og andre reststoffer, som dannes under vinfremstillingsprocessen, og som skal opfylde alle de yderligere krav, der er indeholdt i R1001-tilladelsen til nyttiggørelse."</w:t>
      </w:r>
    </w:p>
    <w:p w14:paraId="2B531F85" w14:textId="45C3DAE0" w:rsidR="00503C92" w:rsidRPr="0035118E" w:rsidRDefault="0037644B" w:rsidP="00EE0D48">
      <w:pPr>
        <w:pStyle w:val="BodyText"/>
        <w:ind w:left="1560" w:right="1830"/>
        <w:jc w:val="both"/>
        <w:rPr>
          <w:sz w:val="20"/>
          <w:lang w:val="nb-NO"/>
        </w:rPr>
      </w:pPr>
      <w:r w:rsidRPr="0035118E">
        <w:rPr>
          <w:rStyle w:val="BodyTextChar"/>
          <w:sz w:val="20"/>
          <w:lang w:val="nb-NO"/>
        </w:rPr>
        <w:t>Atten. Bilag IX, punkt 1 og 4, har følgende ordlyd:</w:t>
      </w:r>
    </w:p>
    <w:p w14:paraId="2EECEDDC" w14:textId="333324DB" w:rsidR="00503C92" w:rsidRPr="00F122A6" w:rsidRDefault="0037644B" w:rsidP="00EE0D48">
      <w:pPr>
        <w:pStyle w:val="BodyText"/>
        <w:spacing w:after="0"/>
        <w:ind w:left="1560" w:right="1830"/>
        <w:jc w:val="both"/>
        <w:rPr>
          <w:sz w:val="20"/>
        </w:rPr>
      </w:pPr>
      <w:r>
        <w:rPr>
          <w:rStyle w:val="BodyTextChar"/>
          <w:sz w:val="20"/>
        </w:rPr>
        <w:t xml:space="preserve">"1. Generelt skal dosis og hyppighed af kunstvanding tilpasses til afgrødens behov og jordens vandbindingskapacitet for at undgå tab af næringsstoffer ved udvaskning, med udgangspunkt i rådgivningstjenesternes anbefalinger til vandingsinteressenterne i den selvstyrende region eller til det </w:t>
      </w:r>
      <w:proofErr w:type="spellStart"/>
      <w:r>
        <w:rPr>
          <w:rStyle w:val="BodyTextChar"/>
          <w:sz w:val="20"/>
        </w:rPr>
        <w:t>agroklimatiske</w:t>
      </w:r>
      <w:proofErr w:type="spellEnd"/>
      <w:r>
        <w:rPr>
          <w:rStyle w:val="BodyTextChar"/>
          <w:sz w:val="20"/>
        </w:rPr>
        <w:t xml:space="preserve"> informationssystem for vanding (SIAR) under ministeriet for landbrug, fiskeri og fødevarer, hvis de afsættes i de selvstyrende regioner, hvor en af parterne opererer; brug af sensorer til kontrol af jordens fugtindhold anbefales som et hjælpeværktøj til at kende jordens tilstand. Hvis det materiale, der anvendes til selve gødningen, tilfører afgrøden en betydelig mængde vand (f.eks. ved anvendelse af flydende husdyrgødning), tages den mængde vand, der indgår ved gødskningen, i betragtning ved beregning af mængden af vandingsvand og hyppigheden af udbringningen."</w:t>
      </w:r>
    </w:p>
    <w:p w14:paraId="526DE1C5" w14:textId="12181085" w:rsidR="00503C92" w:rsidRPr="00F122A6" w:rsidRDefault="0037644B" w:rsidP="00EE0D48">
      <w:pPr>
        <w:pStyle w:val="BodyText"/>
        <w:spacing w:after="180"/>
        <w:ind w:left="1560" w:right="1830"/>
        <w:jc w:val="both"/>
        <w:rPr>
          <w:sz w:val="20"/>
        </w:rPr>
      </w:pPr>
      <w:r>
        <w:rPr>
          <w:rStyle w:val="BodyTextChar"/>
          <w:sz w:val="20"/>
        </w:rPr>
        <w:t>"4. I afgrøder med lokal kunstvanding foretages gødskningen, ved at næringsstofferne opløses i vandingsvandet og udbringes til jorden gennem vandet. Disse doseres i mindre mængder i løbet af perioden med afgrødens vegetative vækst, mens koncentrationer og delmængder kan tilpasses i de perioder i dyrkningscyklussen, hvor behovet er størst."</w:t>
      </w:r>
    </w:p>
    <w:p w14:paraId="5C7B1C08" w14:textId="77777777" w:rsidR="00503C92" w:rsidRPr="00F122A6" w:rsidRDefault="0037644B" w:rsidP="00EE0D48">
      <w:pPr>
        <w:pStyle w:val="BodyText"/>
        <w:ind w:left="1560" w:right="1830" w:firstLine="0"/>
        <w:jc w:val="both"/>
        <w:rPr>
          <w:sz w:val="20"/>
          <w:szCs w:val="20"/>
        </w:rPr>
      </w:pPr>
      <w:r>
        <w:rPr>
          <w:rStyle w:val="BodyTextChar"/>
          <w:b/>
          <w:sz w:val="20"/>
        </w:rPr>
        <w:lastRenderedPageBreak/>
        <w:t xml:space="preserve">Eneste afsluttende bestemmelse. </w:t>
      </w:r>
      <w:r>
        <w:rPr>
          <w:rStyle w:val="BodyTextChar"/>
          <w:i/>
          <w:sz w:val="20"/>
        </w:rPr>
        <w:t>Ikrafttræden.</w:t>
      </w:r>
    </w:p>
    <w:p w14:paraId="79EF3419" w14:textId="77777777" w:rsidR="00503C92" w:rsidRPr="00F122A6" w:rsidRDefault="0037644B" w:rsidP="00EE0D48">
      <w:pPr>
        <w:pStyle w:val="BodyText"/>
        <w:ind w:left="1560" w:right="1830"/>
        <w:jc w:val="both"/>
        <w:rPr>
          <w:sz w:val="20"/>
        </w:rPr>
      </w:pPr>
      <w:r>
        <w:rPr>
          <w:rStyle w:val="BodyTextChar"/>
          <w:sz w:val="20"/>
        </w:rPr>
        <w:t>Dette kongelige dekret træder i kraft dagen efter offentliggørelsen i Spaniens statstidende.</w:t>
      </w:r>
    </w:p>
    <w:p w14:paraId="68AE9113" w14:textId="77777777" w:rsidR="00503C92" w:rsidRPr="00F122A6" w:rsidRDefault="0037644B" w:rsidP="00EE0D48">
      <w:pPr>
        <w:pStyle w:val="BodyText"/>
        <w:ind w:left="1560" w:right="1830"/>
        <w:jc w:val="both"/>
        <w:rPr>
          <w:sz w:val="20"/>
        </w:rPr>
      </w:pPr>
      <w:r>
        <w:rPr>
          <w:rStyle w:val="BodyTextChar"/>
          <w:sz w:val="20"/>
        </w:rPr>
        <w:t>Udfærdiget i Madrid, den 27. august 2024.</w:t>
      </w:r>
    </w:p>
    <w:p w14:paraId="0C00789F" w14:textId="77777777" w:rsidR="00503C92" w:rsidRPr="00F122A6" w:rsidRDefault="0037644B" w:rsidP="00EE0D48">
      <w:pPr>
        <w:pStyle w:val="BodyText"/>
        <w:spacing w:after="240"/>
        <w:ind w:left="1560" w:right="1830" w:firstLine="0"/>
        <w:jc w:val="right"/>
        <w:rPr>
          <w:sz w:val="20"/>
        </w:rPr>
      </w:pPr>
      <w:r>
        <w:rPr>
          <w:rStyle w:val="BodyTextChar"/>
          <w:sz w:val="20"/>
        </w:rPr>
        <w:t>FELIPE R.</w:t>
      </w:r>
    </w:p>
    <w:p w14:paraId="278970C7" w14:textId="35CDF83F" w:rsidR="00503C92" w:rsidRDefault="00FF7446" w:rsidP="00EE0D48">
      <w:pPr>
        <w:pStyle w:val="Bodytext30"/>
        <w:spacing w:line="319" w:lineRule="auto"/>
        <w:ind w:left="1560" w:right="1830"/>
        <w:jc w:val="center"/>
        <w:rPr>
          <w:rStyle w:val="Bodytext3"/>
        </w:rPr>
      </w:pPr>
      <w:r>
        <w:rPr>
          <w:rStyle w:val="Bodytext3"/>
        </w:rPr>
        <w:t>Ministeren for landbrug, fiskeri og fødevarer</w:t>
      </w:r>
      <w:r>
        <w:rPr>
          <w:rStyle w:val="Bodytext3"/>
        </w:rPr>
        <w:br/>
        <w:t>LUIS PLANAS PUCHADES</w:t>
      </w:r>
    </w:p>
    <w:p w14:paraId="79892C53" w14:textId="77777777" w:rsidR="0037644B" w:rsidRDefault="0037644B" w:rsidP="00EE0D48">
      <w:pPr>
        <w:pStyle w:val="Bodytext30"/>
        <w:spacing w:line="319" w:lineRule="auto"/>
        <w:ind w:left="1560" w:right="1830"/>
        <w:jc w:val="center"/>
        <w:rPr>
          <w:rStyle w:val="Bodytext3"/>
        </w:rPr>
      </w:pPr>
    </w:p>
    <w:p w14:paraId="60F86DA3" w14:textId="77777777" w:rsidR="0037644B" w:rsidRDefault="0037644B" w:rsidP="00EE0D48">
      <w:pPr>
        <w:pStyle w:val="Bodytext30"/>
        <w:spacing w:line="319" w:lineRule="auto"/>
        <w:ind w:left="1560" w:right="1830"/>
        <w:jc w:val="center"/>
        <w:rPr>
          <w:rStyle w:val="Bodytext3"/>
        </w:rPr>
      </w:pPr>
    </w:p>
    <w:p w14:paraId="61F764BC" w14:textId="77777777" w:rsidR="0037644B" w:rsidRDefault="0037644B" w:rsidP="00EE0D48">
      <w:pPr>
        <w:pStyle w:val="Bodytext30"/>
        <w:spacing w:line="319" w:lineRule="auto"/>
        <w:ind w:left="1560" w:right="1830"/>
        <w:jc w:val="center"/>
        <w:rPr>
          <w:rStyle w:val="Bodytext3"/>
        </w:rPr>
      </w:pPr>
    </w:p>
    <w:p w14:paraId="3E44A77D" w14:textId="77777777" w:rsidR="0037644B" w:rsidRDefault="0037644B" w:rsidP="00EE0D48">
      <w:pPr>
        <w:pStyle w:val="Bodytext30"/>
        <w:spacing w:line="319" w:lineRule="auto"/>
        <w:ind w:left="1560" w:right="1830"/>
        <w:jc w:val="center"/>
        <w:rPr>
          <w:sz w:val="20"/>
          <w:szCs w:val="19"/>
        </w:rPr>
      </w:pPr>
    </w:p>
    <w:p w14:paraId="1827295C" w14:textId="77777777" w:rsidR="0037644B" w:rsidRDefault="0037644B" w:rsidP="00EE0D48">
      <w:pPr>
        <w:pStyle w:val="Bodytext30"/>
        <w:spacing w:line="319" w:lineRule="auto"/>
        <w:ind w:left="1560" w:right="1830"/>
        <w:jc w:val="center"/>
        <w:rPr>
          <w:sz w:val="20"/>
          <w:szCs w:val="19"/>
        </w:rPr>
      </w:pPr>
    </w:p>
    <w:p w14:paraId="5A349AF9" w14:textId="77777777" w:rsidR="0037644B" w:rsidRDefault="0037644B" w:rsidP="00EE0D48">
      <w:pPr>
        <w:pStyle w:val="Bodytext30"/>
        <w:spacing w:line="319" w:lineRule="auto"/>
        <w:ind w:left="1560" w:right="1830"/>
        <w:jc w:val="center"/>
        <w:rPr>
          <w:sz w:val="20"/>
          <w:szCs w:val="19"/>
        </w:rPr>
      </w:pPr>
    </w:p>
    <w:p w14:paraId="013E16BD" w14:textId="77777777" w:rsidR="0037644B" w:rsidRDefault="0037644B" w:rsidP="00EE0D48">
      <w:pPr>
        <w:pStyle w:val="Bodytext30"/>
        <w:spacing w:line="319" w:lineRule="auto"/>
        <w:ind w:left="1560" w:right="1830"/>
        <w:jc w:val="center"/>
        <w:rPr>
          <w:sz w:val="20"/>
          <w:szCs w:val="19"/>
        </w:rPr>
      </w:pPr>
    </w:p>
    <w:p w14:paraId="47D23BCC" w14:textId="77777777" w:rsidR="0037644B" w:rsidRDefault="0037644B" w:rsidP="00EE0D48">
      <w:pPr>
        <w:pStyle w:val="Bodytext30"/>
        <w:spacing w:line="319" w:lineRule="auto"/>
        <w:ind w:left="1560" w:right="1830"/>
        <w:jc w:val="center"/>
        <w:rPr>
          <w:sz w:val="20"/>
          <w:szCs w:val="19"/>
        </w:rPr>
      </w:pPr>
    </w:p>
    <w:p w14:paraId="08EBBFCD" w14:textId="77777777" w:rsidR="0037644B" w:rsidRDefault="0037644B" w:rsidP="00EE0D48">
      <w:pPr>
        <w:pStyle w:val="Bodytext30"/>
        <w:spacing w:line="319" w:lineRule="auto"/>
        <w:ind w:left="1560" w:right="1830"/>
        <w:jc w:val="center"/>
        <w:rPr>
          <w:sz w:val="20"/>
          <w:szCs w:val="19"/>
        </w:rPr>
      </w:pPr>
    </w:p>
    <w:p w14:paraId="78E11E5C" w14:textId="77777777" w:rsidR="0037644B" w:rsidRDefault="0037644B" w:rsidP="00EE0D48">
      <w:pPr>
        <w:pStyle w:val="Bodytext30"/>
        <w:spacing w:line="319" w:lineRule="auto"/>
        <w:ind w:left="1560" w:right="1830"/>
        <w:jc w:val="center"/>
        <w:rPr>
          <w:sz w:val="20"/>
          <w:szCs w:val="19"/>
        </w:rPr>
      </w:pPr>
    </w:p>
    <w:p w14:paraId="6D570AF4" w14:textId="77777777" w:rsidR="0037644B" w:rsidRDefault="0037644B" w:rsidP="00EE0D48">
      <w:pPr>
        <w:pStyle w:val="Bodytext30"/>
        <w:spacing w:line="319" w:lineRule="auto"/>
        <w:ind w:left="1560" w:right="1830"/>
        <w:jc w:val="center"/>
        <w:rPr>
          <w:sz w:val="20"/>
          <w:szCs w:val="19"/>
        </w:rPr>
      </w:pPr>
    </w:p>
    <w:p w14:paraId="672532C9" w14:textId="77777777" w:rsidR="0037644B" w:rsidRDefault="0037644B" w:rsidP="00EE0D48">
      <w:pPr>
        <w:pStyle w:val="Bodytext30"/>
        <w:spacing w:line="319" w:lineRule="auto"/>
        <w:ind w:left="1560" w:right="1830"/>
        <w:jc w:val="center"/>
        <w:rPr>
          <w:sz w:val="20"/>
          <w:szCs w:val="19"/>
        </w:rPr>
      </w:pPr>
    </w:p>
    <w:p w14:paraId="1E0DDD30" w14:textId="77777777" w:rsidR="0037644B" w:rsidRDefault="0037644B" w:rsidP="00EE0D48">
      <w:pPr>
        <w:pStyle w:val="Bodytext30"/>
        <w:spacing w:line="319" w:lineRule="auto"/>
        <w:ind w:left="1560" w:right="1830"/>
        <w:jc w:val="center"/>
        <w:rPr>
          <w:sz w:val="20"/>
          <w:szCs w:val="19"/>
        </w:rPr>
      </w:pPr>
    </w:p>
    <w:p w14:paraId="1DC8D61F" w14:textId="77777777" w:rsidR="0037644B" w:rsidRDefault="0037644B" w:rsidP="00EE0D48">
      <w:pPr>
        <w:pStyle w:val="Bodytext30"/>
        <w:spacing w:line="319" w:lineRule="auto"/>
        <w:ind w:left="1560" w:right="1830"/>
        <w:jc w:val="center"/>
        <w:rPr>
          <w:sz w:val="20"/>
          <w:szCs w:val="19"/>
        </w:rPr>
      </w:pPr>
    </w:p>
    <w:p w14:paraId="585369E3" w14:textId="77777777" w:rsidR="0037644B" w:rsidRDefault="0037644B" w:rsidP="00EE0D48">
      <w:pPr>
        <w:pStyle w:val="Bodytext30"/>
        <w:spacing w:line="319" w:lineRule="auto"/>
        <w:ind w:left="1560" w:right="1830"/>
        <w:jc w:val="center"/>
        <w:rPr>
          <w:sz w:val="20"/>
          <w:szCs w:val="19"/>
        </w:rPr>
      </w:pPr>
    </w:p>
    <w:p w14:paraId="39068B9D" w14:textId="39B94AF9" w:rsidR="0037644B" w:rsidRPr="00F122A6" w:rsidRDefault="0037644B" w:rsidP="00EE0D48">
      <w:pPr>
        <w:pStyle w:val="Bodytext30"/>
        <w:spacing w:line="319" w:lineRule="auto"/>
        <w:ind w:left="1560" w:right="1830"/>
        <w:jc w:val="center"/>
        <w:rPr>
          <w:sz w:val="20"/>
          <w:szCs w:val="19"/>
        </w:rPr>
      </w:pPr>
      <w:r>
        <w:rPr>
          <w:rFonts w:ascii="Microsoft Sans Serif" w:hAnsi="Microsoft Sans Serif"/>
          <w:noProof/>
          <w:sz w:val="24"/>
        </w:rPr>
        <mc:AlternateContent>
          <mc:Choice Requires="wps">
            <w:drawing>
              <wp:anchor distT="0" distB="0" distL="0" distR="0" simplePos="0" relativeHeight="251659264" behindDoc="0" locked="0" layoutInCell="1" allowOverlap="1" wp14:anchorId="3B143088" wp14:editId="3C93C6CB">
                <wp:simplePos x="0" y="0"/>
                <wp:positionH relativeFrom="page">
                  <wp:posOffset>377825</wp:posOffset>
                </wp:positionH>
                <wp:positionV relativeFrom="paragraph">
                  <wp:posOffset>5000625</wp:posOffset>
                </wp:positionV>
                <wp:extent cx="6899275" cy="21653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9275" cy="216535"/>
                        </a:xfrm>
                        <a:prstGeom prst="rect">
                          <a:avLst/>
                        </a:prstGeom>
                        <a:solidFill>
                          <a:srgbClr val="004479"/>
                        </a:solidFill>
                      </wps:spPr>
                      <wps:txbx>
                        <w:txbxContent>
                          <w:tbl>
                            <w:tblPr>
                              <w:tblStyle w:val="TableGrid2"/>
                              <w:tblW w:w="0" w:type="auto"/>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4515"/>
                              <w:gridCol w:w="2883"/>
                            </w:tblGrid>
                            <w:tr w:rsidR="00F122A6" w14:paraId="4C7B1FE4" w14:textId="77777777" w:rsidTr="001A30DD">
                              <w:tc>
                                <w:tcPr>
                                  <w:tcW w:w="3234" w:type="dxa"/>
                                  <w:vAlign w:val="bottom"/>
                                </w:tcPr>
                                <w:p w14:paraId="200D134E" w14:textId="77777777" w:rsidR="00F122A6" w:rsidRPr="001A30DD" w:rsidRDefault="0063766D" w:rsidP="007E1B61">
                                  <w:pPr>
                                    <w:spacing w:before="30"/>
                                    <w:rPr>
                                      <w:b/>
                                      <w:color w:val="FFFFFF"/>
                                    </w:rPr>
                                  </w:pPr>
                                  <w:hyperlink r:id="rId7">
                                    <w:r w:rsidR="0037644B">
                                      <w:rPr>
                                        <w:b/>
                                        <w:color w:val="FFFFFF"/>
                                        <w:sz w:val="18"/>
                                      </w:rPr>
                                      <w:t>https://www.</w:t>
                                    </w:r>
                                  </w:hyperlink>
                                  <w:r w:rsidR="0037644B">
                                    <w:rPr>
                                      <w:b/>
                                      <w:color w:val="FFFFFF"/>
                                      <w:sz w:val="18"/>
                                    </w:rPr>
                                    <w:t>boe.es</w:t>
                                  </w:r>
                                </w:p>
                              </w:tc>
                              <w:tc>
                                <w:tcPr>
                                  <w:tcW w:w="4659" w:type="dxa"/>
                                  <w:vAlign w:val="bottom"/>
                                </w:tcPr>
                                <w:p w14:paraId="30AA6D48" w14:textId="77777777" w:rsidR="00F122A6" w:rsidRPr="00DA52BB" w:rsidRDefault="00F122A6" w:rsidP="001A30DD">
                                  <w:pPr>
                                    <w:spacing w:before="30"/>
                                    <w:jc w:val="center"/>
                                    <w:rPr>
                                      <w:b/>
                                      <w:color w:val="FFFFFF"/>
                                      <w:sz w:val="20"/>
                                    </w:rPr>
                                  </w:pPr>
                                  <w:r>
                                    <w:rPr>
                                      <w:b/>
                                      <w:color w:val="FFFFFF"/>
                                    </w:rPr>
                                    <w:t>DEN SPANSKE STATSTIDENDE</w:t>
                                  </w:r>
                                </w:p>
                              </w:tc>
                              <w:tc>
                                <w:tcPr>
                                  <w:tcW w:w="2987" w:type="dxa"/>
                                  <w:vAlign w:val="bottom"/>
                                </w:tcPr>
                                <w:p w14:paraId="152F23BF" w14:textId="77777777" w:rsidR="00F122A6" w:rsidRDefault="00F122A6" w:rsidP="001A30DD">
                                  <w:pPr>
                                    <w:spacing w:before="30"/>
                                    <w:jc w:val="center"/>
                                    <w:rPr>
                                      <w:b/>
                                      <w:sz w:val="16"/>
                                    </w:rPr>
                                  </w:pPr>
                                  <w:r>
                                    <w:rPr>
                                      <w:b/>
                                      <w:color w:val="FFFFFF"/>
                                      <w:sz w:val="18"/>
                                    </w:rPr>
                                    <w:t>D. L.: M-1/1958 - ISSN: 0212-033X</w:t>
                                  </w:r>
                                </w:p>
                              </w:tc>
                            </w:tr>
                          </w:tbl>
                          <w:p w14:paraId="2A834EF0" w14:textId="77777777" w:rsidR="00F122A6" w:rsidRDefault="00F122A6" w:rsidP="00F122A6">
                            <w:pPr>
                              <w:tabs>
                                <w:tab w:val="left" w:pos="3342"/>
                                <w:tab w:val="left" w:pos="8001"/>
                              </w:tabs>
                              <w:spacing w:before="30"/>
                              <w:rPr>
                                <w:b/>
                                <w:sz w:val="16"/>
                              </w:rPr>
                            </w:pPr>
                          </w:p>
                        </w:txbxContent>
                      </wps:txbx>
                      <wps:bodyPr wrap="square" lIns="0" tIns="0" rIns="0" bIns="0" rtlCol="0">
                        <a:noAutofit/>
                      </wps:bodyPr>
                    </wps:wsp>
                  </a:graphicData>
                </a:graphic>
              </wp:anchor>
            </w:drawing>
          </mc:Choice>
          <mc:Fallback>
            <w:pict>
              <v:shapetype w14:anchorId="3B143088" id="_x0000_t202" coordsize="21600,21600" o:spt="202" path="m,l,21600r21600,l21600,xe">
                <v:stroke joinstyle="miter"/>
                <v:path gradientshapeok="t" o:connecttype="rect"/>
              </v:shapetype>
              <v:shape id="Textbox 21" o:spid="_x0000_s1026" type="#_x0000_t202" style="position:absolute;left:0;text-align:left;margin-left:29.75pt;margin-top:393.75pt;width:543.25pt;height:17.0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nxxgEAAHUDAAAOAAAAZHJzL2Uyb0RvYy54bWysU9Fu2yAUfZ+0f0C8L3a8Jm2sONXWqtOk&#10;ap3U9gMwhhgNuAxI7Pz9LsRJo+1t6gu+wOHcc+69Xt+ORpO98EGBbeh8VlIiLIdO2W1DX18ePt1Q&#10;EiKzHdNgRUMPItDbzccP68HVooIedCc8QRIb6sE1tI/R1UUReC8MCzNwwuKlBG9YxK3fFp1nA7Ib&#10;XVRluSwG8J3zwEUIeHp/vKSbzC+l4PFJyiAi0Q1FbTGvPq9tWovNmtVbz1yv+CSD/YcKw5TFpGeq&#10;exYZ2Xn1D5VR3EMAGWccTAFSKi6yB3QzL/9y89wzJ7IXLE5w5zKF96PlP/Y/PVFdQ6s5JZYZ7NGL&#10;GGMLI8ETLM/gQo2oZ4e4OH6FEducrQb3CPxXQEhxgTk+CIhO5RilN+mLRgk+xA4czlXHLITj4fJm&#10;taquF5RwvKvmy8XnRcpbvL12PsRvAgxJQUM9djUrYPvHEI/QEyQlC6BV96C0zhu/be+0J3uWJqC8&#10;urpeTewXsGzgqDlZiWM7Ts5b6A5ofMAJaWj4vWNeUKK/W2xBGqdT4E9Bewp81HeQhy6psPBlF0Gq&#10;rDalOPJOpcPeZr/THKbhudxn1NvfsvkDAAD//wMAUEsDBBQABgAIAAAAIQBbP9PR4gAAAAsBAAAP&#10;AAAAZHJzL2Rvd25yZXYueG1sTI/BSsQwEIbvgu8QRvCyuGmXbbfWposogrgHcRW9ps3YFpNJSdLd&#10;6tObPelthvn45/ur7Ww0O6DzgyUB6TIBhtRaNVAn4O314aoA5oMkJbUlFPCNHrb1+VklS2WP9IKH&#10;fehYDCFfSgF9CGPJuW97NNIv7YgUb5/WGRni6jqunDzGcKP5KklybuRA8UMvR7zrsf3aT0bA3Kzv&#10;3x/xeaGzn6fsw7qJdm4hxOXFfHsDLOAc/mA46Ud1qKNTYydSnmkB2XUWSQGbYhOHE5Cu89iuEVCs&#10;0hx4XfH/HepfAAAA//8DAFBLAQItABQABgAIAAAAIQC2gziS/gAAAOEBAAATAAAAAAAAAAAAAAAA&#10;AAAAAABbQ29udGVudF9UeXBlc10ueG1sUEsBAi0AFAAGAAgAAAAhADj9If/WAAAAlAEAAAsAAAAA&#10;AAAAAAAAAAAALwEAAF9yZWxzLy5yZWxzUEsBAi0AFAAGAAgAAAAhACg9afHGAQAAdQMAAA4AAAAA&#10;AAAAAAAAAAAALgIAAGRycy9lMm9Eb2MueG1sUEsBAi0AFAAGAAgAAAAhAFs/09HiAAAACwEAAA8A&#10;AAAAAAAAAAAAAAAAIAQAAGRycy9kb3ducmV2LnhtbFBLBQYAAAAABAAEAPMAAAAvBQAAAAA=&#10;" fillcolor="#004479" stroked="f">
                <v:textbox inset="0,0,0,0">
                  <w:txbxContent>
                    <w:tbl>
                      <w:tblPr>
                        <w:tblStyle w:val="TableGrid2"/>
                        <w:tblW w:w="0" w:type="auto"/>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4515"/>
                        <w:gridCol w:w="2883"/>
                      </w:tblGrid>
                      <w:tr w:rsidR="00F122A6" w14:paraId="4C7B1FE4" w14:textId="77777777" w:rsidTr="001A30DD">
                        <w:tc>
                          <w:tcPr>
                            <w:tcW w:w="3234" w:type="dxa"/>
                            <w:vAlign w:val="bottom"/>
                          </w:tcPr>
                          <w:p w14:paraId="200D134E" w14:textId="77777777" w:rsidR="00F122A6" w:rsidRPr="001A30DD" w:rsidRDefault="0063766D" w:rsidP="007E1B61">
                            <w:pPr>
                              <w:spacing w:before="30"/>
                              <w:rPr>
                                <w:b/>
                                <w:color w:val="FFFFFF"/>
                              </w:rPr>
                            </w:pPr>
                            <w:hyperlink r:id="rId8">
                              <w:r w:rsidR="0037644B">
                                <w:rPr>
                                  <w:b/>
                                  <w:color w:val="FFFFFF"/>
                                  <w:sz w:val="18"/>
                                </w:rPr>
                                <w:t>https://www.</w:t>
                              </w:r>
                            </w:hyperlink>
                            <w:r w:rsidR="0037644B">
                              <w:rPr>
                                <w:b/>
                                <w:color w:val="FFFFFF"/>
                                <w:sz w:val="18"/>
                              </w:rPr>
                              <w:t>boe.es</w:t>
                            </w:r>
                          </w:p>
                        </w:tc>
                        <w:tc>
                          <w:tcPr>
                            <w:tcW w:w="4659" w:type="dxa"/>
                            <w:vAlign w:val="bottom"/>
                          </w:tcPr>
                          <w:p w14:paraId="30AA6D48" w14:textId="77777777" w:rsidR="00F122A6" w:rsidRPr="00DA52BB" w:rsidRDefault="00F122A6" w:rsidP="001A30DD">
                            <w:pPr>
                              <w:spacing w:before="30"/>
                              <w:jc w:val="center"/>
                              <w:rPr>
                                <w:b/>
                                <w:color w:val="FFFFFF"/>
                                <w:sz w:val="20"/>
                              </w:rPr>
                            </w:pPr>
                            <w:r>
                              <w:rPr>
                                <w:b/>
                                <w:color w:val="FFFFFF"/>
                              </w:rPr>
                              <w:t>DEN SPANSKE STATSTIDENDE</w:t>
                            </w:r>
                          </w:p>
                        </w:tc>
                        <w:tc>
                          <w:tcPr>
                            <w:tcW w:w="2987" w:type="dxa"/>
                            <w:vAlign w:val="bottom"/>
                          </w:tcPr>
                          <w:p w14:paraId="152F23BF" w14:textId="77777777" w:rsidR="00F122A6" w:rsidRDefault="00F122A6" w:rsidP="001A30DD">
                            <w:pPr>
                              <w:spacing w:before="30"/>
                              <w:jc w:val="center"/>
                              <w:rPr>
                                <w:b/>
                                <w:sz w:val="16"/>
                              </w:rPr>
                            </w:pPr>
                            <w:r>
                              <w:rPr>
                                <w:b/>
                                <w:color w:val="FFFFFF"/>
                                <w:sz w:val="18"/>
                              </w:rPr>
                              <w:t>D. L.: M-1/1958 - ISSN: 0212-033X</w:t>
                            </w:r>
                          </w:p>
                        </w:tc>
                      </w:tr>
                    </w:tbl>
                    <w:p w14:paraId="2A834EF0" w14:textId="77777777" w:rsidR="00F122A6" w:rsidRDefault="00F122A6" w:rsidP="00F122A6">
                      <w:pPr>
                        <w:tabs>
                          <w:tab w:val="left" w:pos="3342"/>
                          <w:tab w:val="left" w:pos="8001"/>
                        </w:tabs>
                        <w:spacing w:before="30"/>
                        <w:rPr>
                          <w:b/>
                          <w:sz w:val="16"/>
                        </w:rPr>
                      </w:pPr>
                    </w:p>
                  </w:txbxContent>
                </v:textbox>
                <w10:wrap anchorx="page"/>
              </v:shape>
            </w:pict>
          </mc:Fallback>
        </mc:AlternateContent>
      </w:r>
    </w:p>
    <w:sectPr w:rsidR="0037644B" w:rsidRPr="00F122A6" w:rsidSect="00F122A6">
      <w:headerReference w:type="default" r:id="rId9"/>
      <w:footerReference w:type="default" r:id="rId10"/>
      <w:type w:val="continuous"/>
      <w:pgSz w:w="11900" w:h="16840"/>
      <w:pgMar w:top="1077" w:right="357" w:bottom="1276" w:left="357" w:header="612" w:footer="1020" w:gutter="0"/>
      <w:pgNumType w:start="10846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6BBED" w14:textId="77777777" w:rsidR="0063766D" w:rsidRDefault="0063766D">
      <w:r>
        <w:separator/>
      </w:r>
    </w:p>
  </w:endnote>
  <w:endnote w:type="continuationSeparator" w:id="0">
    <w:p w14:paraId="6BDADF0E" w14:textId="77777777" w:rsidR="0063766D" w:rsidRDefault="00637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673D" w14:textId="4BCE84DE" w:rsidR="00F122A6" w:rsidRDefault="00F122A6">
    <w:pPr>
      <w:pStyle w:val="Footer"/>
    </w:pPr>
    <w:r>
      <w:rPr>
        <w:noProof/>
      </w:rPr>
      <mc:AlternateContent>
        <mc:Choice Requires="wps">
          <w:drawing>
            <wp:anchor distT="0" distB="0" distL="0" distR="0" simplePos="0" relativeHeight="251659264" behindDoc="0" locked="0" layoutInCell="1" allowOverlap="1" wp14:anchorId="4CCC1602" wp14:editId="665CCF54">
              <wp:simplePos x="0" y="0"/>
              <wp:positionH relativeFrom="page">
                <wp:posOffset>6965950</wp:posOffset>
              </wp:positionH>
              <wp:positionV relativeFrom="paragraph">
                <wp:posOffset>-1518920</wp:posOffset>
              </wp:positionV>
              <wp:extent cx="231775" cy="14351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435100"/>
                      </a:xfrm>
                      <a:prstGeom prst="rect">
                        <a:avLst/>
                      </a:prstGeom>
                    </wps:spPr>
                    <wps:txbx>
                      <w:txbxContent>
                        <w:p w14:paraId="521BEB48" w14:textId="77777777" w:rsidR="00F122A6" w:rsidRDefault="00F122A6" w:rsidP="00F122A6">
                          <w:pPr>
                            <w:pStyle w:val="Bodytext20"/>
                          </w:pPr>
                          <w:proofErr w:type="spellStart"/>
                          <w:r>
                            <w:rPr>
                              <w:rStyle w:val="Bodytext2"/>
                            </w:rPr>
                            <w:t>cve</w:t>
                          </w:r>
                          <w:proofErr w:type="spellEnd"/>
                          <w:r>
                            <w:rPr>
                              <w:rStyle w:val="Bodytext2"/>
                            </w:rPr>
                            <w:t>: BOE-A-2024-17371</w:t>
                          </w:r>
                        </w:p>
                        <w:p w14:paraId="141DFE5A" w14:textId="77777777" w:rsidR="00F122A6" w:rsidRDefault="00F122A6" w:rsidP="00F122A6">
                          <w:pPr>
                            <w:pStyle w:val="Bodytext20"/>
                          </w:pPr>
                          <w:r>
                            <w:rPr>
                              <w:rStyle w:val="Bodytext2"/>
                            </w:rPr>
                            <w:t xml:space="preserve">Verificerbart på </w:t>
                          </w:r>
                          <w:hyperlink r:id="rId1" w:history="1">
                            <w:r>
                              <w:rPr>
                                <w:rStyle w:val="Bodytext2"/>
                              </w:rPr>
                              <w:t>https://www.boe.es</w:t>
                            </w:r>
                          </w:hyperlink>
                        </w:p>
                        <w:p w14:paraId="5DB38A53" w14:textId="77777777" w:rsidR="00F122A6" w:rsidRPr="00BB5B1F" w:rsidRDefault="00F122A6" w:rsidP="00F122A6">
                          <w:pPr>
                            <w:pStyle w:val="Bodytext20"/>
                            <w:textDirection w:val="btLr"/>
                          </w:pPr>
                        </w:p>
                      </w:txbxContent>
                    </wps:txbx>
                    <wps:bodyPr vert="vert270" wrap="square" lIns="0" tIns="0" rIns="0" bIns="0" rtlCol="0">
                      <a:noAutofit/>
                    </wps:bodyPr>
                  </wps:wsp>
                </a:graphicData>
              </a:graphic>
              <wp14:sizeRelV relativeFrom="margin">
                <wp14:pctHeight>0</wp14:pctHeight>
              </wp14:sizeRelV>
            </wp:anchor>
          </w:drawing>
        </mc:Choice>
        <mc:Fallback xmlns:w16du="http://schemas.microsoft.com/office/word/2023/wordml/word16du" xmlns:oel="http://schemas.microsoft.com/office/2019/extlst">
          <w:pict>
            <v:shapetype w14:anchorId="4CCC1602" id="_x0000_t202" coordsize="21600,21600" o:spt="202" path="m,l,21600r21600,l21600,xe">
              <v:stroke joinstyle="miter"/>
              <v:path gradientshapeok="t" o:connecttype="rect"/>
            </v:shapetype>
            <v:shape id="Textbox 14" o:spid="_x0000_s1028" type="#_x0000_t202" style="position:absolute;margin-left:548.5pt;margin-top:-119.6pt;width:18.25pt;height:113pt;z-index:25165926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1nOngEAACoDAAAOAAAAZHJzL2Uyb0RvYy54bWysUsFu2zAMvQ/YPwi6L7bTdSmMOMXWYsOA&#10;YivQ7gMUWYqNWaJKKrHz96NUJxm227ALTVnU43uPXN9ObhAHg9SDb2S1KKUwXkPb+10jfzx/fncj&#10;BUXlWzWAN408GpK3m7dv1mOozRI6GFqDgkE81WNoZBdjqIuCdGecogUE4/nSAjoV+Yi7okU1Mrob&#10;imVZfihGwDYgaEPEf+9fL+Um41trdPxuLZkohkYyt5gj5rhNsdisVb1DFbpezzTUP7Bwqvfc9Ax1&#10;r6ISe+z/gnK9RiCwcaHBFWBtr03WwGqq8g81T50KJmthcyicbaL/B6u/HZ7CI4o4fYKJB5hFUHgA&#10;/ZPYm2IMVM81yVOqiauT0MmiS1+WIPghe3s8+2mmKDT/XF5Vq9W1FJqvqvdX11WZDS8urwNS/GLA&#10;iZQ0EnlemYE6PFBM/VV9KpnJvPZPTOK0nbgkpVtojyyC95BBUlyumNDIY20kvewVGimGr559Sztw&#10;SvCUbE8JxuEO8qYkaR4+7iPYPhO5tJmJ8EAyv3l50sR/P+eqy4pvfgEAAP//AwBQSwMEFAAGAAgA&#10;AAAhAJABl0DhAAAADgEAAA8AAABkcnMvZG93bnJldi54bWxMj8FuwjAQRO9I/QdrK/UGTmKRljQO&#10;qiKh3pBK+QATu3FEvE5jQ8LfdzmV48yOZt+U29n17GrG0HmUkK4SYAYbrztsJRy/d8s3YCEq1Kr3&#10;aCTcTIBt9bQoVaH9hF/meogtoxIMhZJgYxwKzkNjjVNh5QeDdPvxo1OR5NhyPaqJyl3PsyTJuVMd&#10;0gerBlNb05wPFydhf+N2Em59bOo63+fid6fOn72UL8/zxzuwaOb4H4Y7PqFDRUwnf0EdWE862bzS&#10;mChhmYlNBuyeSYVYAzuRl4oMeFXyxxnVHwAAAP//AwBQSwECLQAUAAYACAAAACEAtoM4kv4AAADh&#10;AQAAEwAAAAAAAAAAAAAAAAAAAAAAW0NvbnRlbnRfVHlwZXNdLnhtbFBLAQItABQABgAIAAAAIQA4&#10;/SH/1gAAAJQBAAALAAAAAAAAAAAAAAAAAC8BAABfcmVscy8ucmVsc1BLAQItABQABgAIAAAAIQAf&#10;D1nOngEAACoDAAAOAAAAAAAAAAAAAAAAAC4CAABkcnMvZTJvRG9jLnhtbFBLAQItABQABgAIAAAA&#10;IQCQAZdA4QAAAA4BAAAPAAAAAAAAAAAAAAAAAPgDAABkcnMvZG93bnJldi54bWxQSwUGAAAAAAQA&#10;BADzAAAABgUAAAAA&#10;" filled="f" stroked="f">
              <v:textbox style="layout-flow:vertical;mso-layout-flow-alt:bottom-to-top" inset="0,0,0,0">
                <w:txbxContent>
                  <w:p w14:paraId="521BEB48" w14:textId="77777777" w:rsidR="00F122A6" w:rsidRDefault="00F122A6" w:rsidP="00F122A6">
                    <w:pPr>
                      <w:pStyle w:val="Bodytext20"/>
                    </w:pPr>
                    <w:r>
                      <w:rPr>
                        <w:rStyle w:val="Bodytext2"/>
                      </w:rPr>
                      <w:t xml:space="preserve">cve:</w:t>
                    </w:r>
                    <w:r>
                      <w:rPr>
                        <w:rStyle w:val="Bodytext2"/>
                      </w:rPr>
                      <w:t xml:space="preserve"> </w:t>
                    </w:r>
                    <w:r>
                      <w:rPr>
                        <w:rStyle w:val="Bodytext2"/>
                      </w:rPr>
                      <w:t xml:space="preserve">BOE-A-2024-17371</w:t>
                    </w:r>
                  </w:p>
                  <w:p w14:paraId="141DFE5A" w14:textId="77777777" w:rsidR="00F122A6" w:rsidRDefault="00F122A6" w:rsidP="00F122A6">
                    <w:pPr>
                      <w:pStyle w:val="Bodytext20"/>
                    </w:pPr>
                    <w:r>
                      <w:rPr>
                        <w:rStyle w:val="Bodytext2"/>
                      </w:rPr>
                      <w:t xml:space="preserve">Verificerbart på </w:t>
                    </w:r>
                    <w:hyperlink r:id="rId2" w:history="1">
                      <w:r>
                        <w:rPr>
                          <w:rStyle w:val="Bodytext2"/>
                        </w:rPr>
                        <w:t xml:space="preserve">https://www.boe.es</w:t>
                      </w:r>
                    </w:hyperlink>
                  </w:p>
                  <w:p w14:paraId="5DB38A53" w14:textId="77777777" w:rsidR="00F122A6" w:rsidRPr="00BB5B1F" w:rsidRDefault="00F122A6" w:rsidP="00F122A6">
                    <w:pPr>
                      <w:pStyle w:val="Bodytext20"/>
                      <w:textDirection w:val="btL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397FC" w14:textId="77777777" w:rsidR="0063766D" w:rsidRDefault="0063766D"/>
  </w:footnote>
  <w:footnote w:type="continuationSeparator" w:id="0">
    <w:p w14:paraId="194EA870" w14:textId="77777777" w:rsidR="0063766D" w:rsidRDefault="006376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1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804"/>
      <w:gridCol w:w="708"/>
      <w:gridCol w:w="1509"/>
    </w:tblGrid>
    <w:tr w:rsidR="00EE0D48" w:rsidRPr="00EE0D48" w14:paraId="29FF6C3D" w14:textId="77777777" w:rsidTr="0029462A">
      <w:trPr>
        <w:trHeight w:val="851"/>
      </w:trPr>
      <w:tc>
        <w:tcPr>
          <w:tcW w:w="2235" w:type="dxa"/>
          <w:tcBorders>
            <w:bottom w:val="single" w:sz="8" w:space="0" w:color="00447A"/>
          </w:tcBorders>
          <w:vAlign w:val="center"/>
        </w:tcPr>
        <w:p w14:paraId="4ECD7A44" w14:textId="77777777" w:rsidR="00EE0D48" w:rsidRPr="00EE0D48" w:rsidRDefault="00EE0D48" w:rsidP="00EE0D48">
          <w:pPr>
            <w:tabs>
              <w:tab w:val="center" w:pos="4680"/>
              <w:tab w:val="right" w:pos="9360"/>
            </w:tabs>
          </w:pPr>
          <w:r>
            <w:rPr>
              <w:noProof/>
            </w:rPr>
            <w:drawing>
              <wp:inline distT="0" distB="0" distL="0" distR="0" wp14:anchorId="4B258F07" wp14:editId="7AECED03">
                <wp:extent cx="762000" cy="323215"/>
                <wp:effectExtent l="0" t="0" r="0" b="0"/>
                <wp:docPr id="1376890813" name="Picture 1376890813" descr="A blue circl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787279781" name="Picture 787279781" descr="A blue circle with white text&#10;&#10;Description automatically generated"/>
                        <pic:cNvPicPr/>
                      </pic:nvPicPr>
                      <pic:blipFill>
                        <a:blip r:embed="rId1"/>
                        <a:stretch/>
                      </pic:blipFill>
                      <pic:spPr>
                        <a:xfrm>
                          <a:off x="0" y="0"/>
                          <a:ext cx="762000" cy="323215"/>
                        </a:xfrm>
                        <a:prstGeom prst="rect">
                          <a:avLst/>
                        </a:prstGeom>
                      </pic:spPr>
                    </pic:pic>
                  </a:graphicData>
                </a:graphic>
              </wp:inline>
            </w:drawing>
          </w:r>
        </w:p>
      </w:tc>
      <w:tc>
        <w:tcPr>
          <w:tcW w:w="7512" w:type="dxa"/>
          <w:gridSpan w:val="2"/>
          <w:tcBorders>
            <w:bottom w:val="single" w:sz="8" w:space="0" w:color="00447A"/>
          </w:tcBorders>
          <w:vAlign w:val="center"/>
        </w:tcPr>
        <w:p w14:paraId="3BD86AC7" w14:textId="77777777" w:rsidR="00EE0D48" w:rsidRPr="00EE0D48" w:rsidRDefault="00EE0D48" w:rsidP="00EE0D48">
          <w:pPr>
            <w:jc w:val="center"/>
            <w:rPr>
              <w:rFonts w:ascii="Arial" w:eastAsia="Times New Roman" w:hAnsi="Arial" w:cs="Arial"/>
              <w:sz w:val="20"/>
              <w:szCs w:val="20"/>
            </w:rPr>
          </w:pPr>
          <w:r>
            <w:rPr>
              <w:rFonts w:ascii="Arial" w:hAnsi="Arial"/>
              <w:b/>
              <w:color w:val="00447A"/>
              <w:sz w:val="40"/>
            </w:rPr>
            <w:t>DEN SPANSKE STATSTIDENDE</w:t>
          </w:r>
        </w:p>
      </w:tc>
      <w:tc>
        <w:tcPr>
          <w:tcW w:w="1509" w:type="dxa"/>
          <w:tcBorders>
            <w:bottom w:val="single" w:sz="8" w:space="0" w:color="00447A"/>
          </w:tcBorders>
          <w:vAlign w:val="center"/>
        </w:tcPr>
        <w:p w14:paraId="78853998" w14:textId="77777777" w:rsidR="00EE0D48" w:rsidRPr="00EE0D48" w:rsidRDefault="00EE0D48" w:rsidP="00EE0D48">
          <w:pPr>
            <w:tabs>
              <w:tab w:val="center" w:pos="4680"/>
              <w:tab w:val="right" w:pos="9360"/>
            </w:tabs>
            <w:jc w:val="right"/>
          </w:pPr>
          <w:r>
            <w:rPr>
              <w:noProof/>
            </w:rPr>
            <w:drawing>
              <wp:inline distT="0" distB="0" distL="0" distR="0" wp14:anchorId="6E4D7463" wp14:editId="2C76F42D">
                <wp:extent cx="384175" cy="408305"/>
                <wp:effectExtent l="0" t="0" r="0" b="0"/>
                <wp:docPr id="2068100945" name="Picture 2068100945" descr="A blue and white emblem&#10;&#10;Description automatically generated"/>
                <wp:cNvGraphicFramePr/>
                <a:graphic xmlns:a="http://schemas.openxmlformats.org/drawingml/2006/main">
                  <a:graphicData uri="http://schemas.openxmlformats.org/drawingml/2006/picture">
                    <pic:pic xmlns:pic="http://schemas.openxmlformats.org/drawingml/2006/picture">
                      <pic:nvPicPr>
                        <pic:cNvPr id="1630636042" name="Picture 1630636042" descr="A blue and white emblem&#10;&#10;Description automatically generated"/>
                        <pic:cNvPicPr/>
                      </pic:nvPicPr>
                      <pic:blipFill>
                        <a:blip r:embed="rId2"/>
                        <a:stretch/>
                      </pic:blipFill>
                      <pic:spPr>
                        <a:xfrm>
                          <a:off x="0" y="0"/>
                          <a:ext cx="384175" cy="408305"/>
                        </a:xfrm>
                        <a:prstGeom prst="rect">
                          <a:avLst/>
                        </a:prstGeom>
                      </pic:spPr>
                    </pic:pic>
                  </a:graphicData>
                </a:graphic>
              </wp:inline>
            </w:drawing>
          </w:r>
        </w:p>
      </w:tc>
    </w:tr>
    <w:tr w:rsidR="00EE0D48" w:rsidRPr="00EE0D48" w14:paraId="040EEF60" w14:textId="77777777" w:rsidTr="0029462A">
      <w:trPr>
        <w:trHeight w:val="350"/>
      </w:trPr>
      <w:tc>
        <w:tcPr>
          <w:tcW w:w="2235" w:type="dxa"/>
          <w:tcBorders>
            <w:top w:val="single" w:sz="8" w:space="0" w:color="00447A"/>
            <w:bottom w:val="single" w:sz="8" w:space="0" w:color="00447A"/>
          </w:tcBorders>
        </w:tcPr>
        <w:p w14:paraId="46E828EA" w14:textId="77777777" w:rsidR="00EE0D48" w:rsidRPr="00EE0D48" w:rsidRDefault="00EE0D48" w:rsidP="00EE0D48">
          <w:pPr>
            <w:tabs>
              <w:tab w:val="center" w:pos="4680"/>
              <w:tab w:val="right" w:pos="9360"/>
            </w:tabs>
            <w:spacing w:before="60"/>
            <w:rPr>
              <w:noProof/>
              <w:sz w:val="20"/>
              <w:szCs w:val="20"/>
            </w:rPr>
          </w:pPr>
          <w:r>
            <w:rPr>
              <w:rFonts w:ascii="Arial" w:hAnsi="Arial"/>
              <w:b/>
              <w:color w:val="00447A"/>
              <w:sz w:val="20"/>
            </w:rPr>
            <w:t>Nr. 208</w:t>
          </w:r>
        </w:p>
      </w:tc>
      <w:tc>
        <w:tcPr>
          <w:tcW w:w="6804" w:type="dxa"/>
          <w:tcBorders>
            <w:top w:val="single" w:sz="8" w:space="0" w:color="00447A"/>
            <w:bottom w:val="single" w:sz="8" w:space="0" w:color="00447A"/>
          </w:tcBorders>
        </w:tcPr>
        <w:p w14:paraId="53768128" w14:textId="77777777" w:rsidR="00EE0D48" w:rsidRPr="00EE0D48" w:rsidRDefault="00EE0D48" w:rsidP="00EE0D48">
          <w:pPr>
            <w:spacing w:before="60"/>
            <w:jc w:val="center"/>
            <w:rPr>
              <w:rFonts w:ascii="Arial" w:eastAsia="Arial" w:hAnsi="Arial" w:cs="Arial"/>
              <w:b/>
              <w:bCs/>
              <w:color w:val="00447A"/>
              <w:sz w:val="20"/>
              <w:szCs w:val="20"/>
            </w:rPr>
          </w:pPr>
          <w:r>
            <w:rPr>
              <w:rFonts w:ascii="Arial" w:hAnsi="Arial"/>
              <w:b/>
              <w:color w:val="00447A"/>
              <w:sz w:val="20"/>
            </w:rPr>
            <w:t>28-08-2024</w:t>
          </w:r>
        </w:p>
      </w:tc>
      <w:tc>
        <w:tcPr>
          <w:tcW w:w="2217" w:type="dxa"/>
          <w:gridSpan w:val="2"/>
          <w:tcBorders>
            <w:top w:val="single" w:sz="8" w:space="0" w:color="00447A"/>
            <w:bottom w:val="single" w:sz="8" w:space="0" w:color="00447A"/>
          </w:tcBorders>
        </w:tcPr>
        <w:p w14:paraId="0445C7CE" w14:textId="77777777" w:rsidR="00EE0D48" w:rsidRPr="00EE0D48" w:rsidRDefault="00EE0D48" w:rsidP="00EE0D48">
          <w:pPr>
            <w:tabs>
              <w:tab w:val="center" w:pos="4680"/>
              <w:tab w:val="right" w:pos="9360"/>
            </w:tabs>
            <w:spacing w:before="60"/>
            <w:jc w:val="right"/>
            <w:rPr>
              <w:noProof/>
              <w:sz w:val="20"/>
              <w:szCs w:val="20"/>
            </w:rPr>
          </w:pPr>
          <w:r>
            <w:rPr>
              <w:rFonts w:ascii="Arial" w:hAnsi="Arial"/>
              <w:b/>
              <w:color w:val="00447A"/>
              <w:sz w:val="20"/>
            </w:rPr>
            <w:t xml:space="preserve">Afsnit I. Side </w:t>
          </w:r>
          <w:r w:rsidRPr="00EE0D48">
            <w:rPr>
              <w:rFonts w:ascii="Arial" w:eastAsia="Arial" w:hAnsi="Arial" w:cs="Arial"/>
              <w:b/>
              <w:color w:val="00447A"/>
              <w:sz w:val="20"/>
            </w:rPr>
            <w:fldChar w:fldCharType="begin"/>
          </w:r>
          <w:r w:rsidRPr="00EE0D48">
            <w:rPr>
              <w:rFonts w:ascii="Arial" w:eastAsia="Arial" w:hAnsi="Arial" w:cs="Arial"/>
              <w:b/>
              <w:color w:val="00447A"/>
              <w:sz w:val="20"/>
            </w:rPr>
            <w:instrText xml:space="preserve"> PAGE   \* MERGEFORMAT </w:instrText>
          </w:r>
          <w:r w:rsidRPr="00EE0D48">
            <w:rPr>
              <w:rFonts w:ascii="Arial" w:eastAsia="Arial" w:hAnsi="Arial" w:cs="Arial"/>
              <w:b/>
              <w:color w:val="00447A"/>
              <w:sz w:val="20"/>
            </w:rPr>
            <w:fldChar w:fldCharType="separate"/>
          </w:r>
          <w:r w:rsidRPr="00EE0D48">
            <w:rPr>
              <w:rFonts w:ascii="Arial" w:eastAsia="Arial" w:hAnsi="Arial" w:cs="Arial"/>
              <w:b/>
              <w:color w:val="00447A"/>
              <w:sz w:val="20"/>
            </w:rPr>
            <w:t>108461</w:t>
          </w:r>
          <w:r w:rsidRPr="00EE0D48">
            <w:rPr>
              <w:rFonts w:ascii="Arial" w:eastAsia="Arial" w:hAnsi="Arial" w:cs="Arial"/>
              <w:b/>
              <w:color w:val="00447A"/>
              <w:sz w:val="20"/>
            </w:rPr>
            <w:fldChar w:fldCharType="end"/>
          </w:r>
        </w:p>
      </w:tc>
    </w:tr>
  </w:tbl>
  <w:p w14:paraId="7DDE1055" w14:textId="77777777" w:rsidR="00EE0D48" w:rsidRPr="00EE0D48" w:rsidRDefault="00EE0D48" w:rsidP="00EE0D48">
    <w:pPr>
      <w:tabs>
        <w:tab w:val="center" w:pos="4680"/>
        <w:tab w:val="right" w:pos="9360"/>
      </w:tabs>
    </w:pPr>
  </w:p>
  <w:p w14:paraId="6D3322AA" w14:textId="77777777" w:rsidR="00EE0D48" w:rsidRPr="00EE0D48" w:rsidRDefault="00EE0D48">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F00D8"/>
    <w:multiLevelType w:val="multilevel"/>
    <w:tmpl w:val="0428ED76"/>
    <w:lvl w:ilvl="0">
      <w:start w:val="8"/>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071BF6"/>
    <w:multiLevelType w:val="multilevel"/>
    <w:tmpl w:val="5DE44DB4"/>
    <w:lvl w:ilvl="0">
      <w:start w:val="1"/>
      <w:numFmt w:val="upperRoman"/>
      <w:lvlText w:val="%1."/>
      <w:lvlJc w:val="right"/>
      <w:rPr>
        <w:b/>
        <w:bCs/>
        <w:i w:val="0"/>
        <w:iCs w:val="0"/>
        <w:smallCaps w:val="0"/>
        <w:strike w:val="0"/>
        <w:color w:val="000000"/>
        <w:spacing w:val="0"/>
        <w:w w:val="100"/>
        <w:position w:val="0"/>
        <w:sz w:val="30"/>
        <w:szCs w:val="3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3E37C9"/>
    <w:multiLevelType w:val="multilevel"/>
    <w:tmpl w:val="C79A14F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CD919AA"/>
    <w:multiLevelType w:val="multilevel"/>
    <w:tmpl w:val="A0A0B31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B566924"/>
    <w:multiLevelType w:val="multilevel"/>
    <w:tmpl w:val="BA70EFF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B75579"/>
    <w:multiLevelType w:val="multilevel"/>
    <w:tmpl w:val="9632A9C0"/>
    <w:lvl w:ilvl="0">
      <w:start w:val="3"/>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C93299"/>
    <w:multiLevelType w:val="multilevel"/>
    <w:tmpl w:val="C100907A"/>
    <w:lvl w:ilvl="0">
      <w:start w:val="7"/>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4"/>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C92"/>
    <w:rsid w:val="001C4407"/>
    <w:rsid w:val="0035118E"/>
    <w:rsid w:val="0037644B"/>
    <w:rsid w:val="003A02E8"/>
    <w:rsid w:val="00503C92"/>
    <w:rsid w:val="0063766D"/>
    <w:rsid w:val="00695D6F"/>
    <w:rsid w:val="007C7F14"/>
    <w:rsid w:val="008A217F"/>
    <w:rsid w:val="008D51C9"/>
    <w:rsid w:val="00973FEB"/>
    <w:rsid w:val="00A51493"/>
    <w:rsid w:val="00BB487E"/>
    <w:rsid w:val="00C10FCF"/>
    <w:rsid w:val="00EE0D48"/>
    <w:rsid w:val="00F122A6"/>
    <w:rsid w:val="00FF7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B8557"/>
  <w15:docId w15:val="{14B7957D-F9B3-420D-ABEF-F04A5FA7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da-DK"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4"/>
      <w:szCs w:val="14"/>
      <w:u w:val="none"/>
    </w:rPr>
  </w:style>
  <w:style w:type="character" w:customStyle="1" w:styleId="Bodytext4">
    <w:name w:val="Body text (4)_"/>
    <w:basedOn w:val="DefaultParagraphFont"/>
    <w:link w:val="Bodytext40"/>
    <w:rPr>
      <w:rFonts w:ascii="Arial" w:eastAsia="Arial" w:hAnsi="Arial" w:cs="Arial"/>
      <w:b/>
      <w:bCs/>
      <w:i w:val="0"/>
      <w:iCs w:val="0"/>
      <w:smallCaps w:val="0"/>
      <w:strike w:val="0"/>
      <w:sz w:val="30"/>
      <w:szCs w:val="3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DefaultParagraphFont"/>
    <w:link w:val="Heading10"/>
    <w:rPr>
      <w:rFonts w:ascii="Arial" w:eastAsia="Arial" w:hAnsi="Arial" w:cs="Arial"/>
      <w:b w:val="0"/>
      <w:bCs w:val="0"/>
      <w:i w:val="0"/>
      <w:iCs w:val="0"/>
      <w:smallCaps w:val="0"/>
      <w:strike w:val="0"/>
      <w:sz w:val="34"/>
      <w:szCs w:val="34"/>
      <w:u w:val="none"/>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19"/>
      <w:szCs w:val="19"/>
      <w:u w:val="none"/>
    </w:rPr>
  </w:style>
  <w:style w:type="character" w:customStyle="1" w:styleId="Other">
    <w:name w:val="Other_"/>
    <w:basedOn w:val="DefaultParagraphFont"/>
    <w:link w:val="Other0"/>
    <w:rPr>
      <w:rFonts w:ascii="Arial" w:eastAsia="Arial" w:hAnsi="Arial" w:cs="Arial"/>
      <w:b w:val="0"/>
      <w:bCs w:val="0"/>
      <w:i w:val="0"/>
      <w:iCs w:val="0"/>
      <w:smallCaps w:val="0"/>
      <w:strike w:val="0"/>
      <w:sz w:val="19"/>
      <w:szCs w:val="19"/>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6"/>
      <w:szCs w:val="16"/>
      <w:u w:val="none"/>
    </w:rPr>
  </w:style>
  <w:style w:type="paragraph" w:customStyle="1" w:styleId="Bodytext20">
    <w:name w:val="Body text (2)"/>
    <w:basedOn w:val="Normal"/>
    <w:link w:val="Bodytext2"/>
    <w:rPr>
      <w:rFonts w:ascii="Arial" w:eastAsia="Arial" w:hAnsi="Arial" w:cs="Arial"/>
      <w:sz w:val="14"/>
      <w:szCs w:val="14"/>
    </w:rPr>
  </w:style>
  <w:style w:type="paragraph" w:customStyle="1" w:styleId="Bodytext40">
    <w:name w:val="Body text (4)"/>
    <w:basedOn w:val="Normal"/>
    <w:link w:val="Bodytext4"/>
    <w:pPr>
      <w:spacing w:after="260"/>
      <w:jc w:val="center"/>
    </w:pPr>
    <w:rPr>
      <w:rFonts w:ascii="Arial" w:eastAsia="Arial" w:hAnsi="Arial" w:cs="Arial"/>
      <w:b/>
      <w:bCs/>
      <w:sz w:val="30"/>
      <w:szCs w:val="30"/>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spacing w:after="260"/>
      <w:jc w:val="center"/>
      <w:outlineLvl w:val="0"/>
    </w:pPr>
    <w:rPr>
      <w:rFonts w:ascii="Arial" w:eastAsia="Arial" w:hAnsi="Arial" w:cs="Arial"/>
      <w:sz w:val="34"/>
      <w:szCs w:val="34"/>
    </w:rPr>
  </w:style>
  <w:style w:type="paragraph" w:styleId="BodyText">
    <w:name w:val="Body Text"/>
    <w:basedOn w:val="Normal"/>
    <w:link w:val="BodyTextChar"/>
    <w:qFormat/>
    <w:pPr>
      <w:spacing w:after="120" w:line="264" w:lineRule="auto"/>
      <w:ind w:firstLine="340"/>
    </w:pPr>
    <w:rPr>
      <w:rFonts w:ascii="Arial" w:eastAsia="Arial" w:hAnsi="Arial" w:cs="Arial"/>
      <w:sz w:val="19"/>
      <w:szCs w:val="19"/>
    </w:rPr>
  </w:style>
  <w:style w:type="paragraph" w:customStyle="1" w:styleId="Other0">
    <w:name w:val="Other"/>
    <w:basedOn w:val="Normal"/>
    <w:link w:val="Other"/>
    <w:pPr>
      <w:spacing w:after="120" w:line="264" w:lineRule="auto"/>
      <w:ind w:firstLine="340"/>
    </w:pPr>
    <w:rPr>
      <w:rFonts w:ascii="Arial" w:eastAsia="Arial" w:hAnsi="Arial" w:cs="Arial"/>
      <w:sz w:val="19"/>
      <w:szCs w:val="19"/>
    </w:rPr>
  </w:style>
  <w:style w:type="paragraph" w:customStyle="1" w:styleId="Bodytext30">
    <w:name w:val="Body text (3)"/>
    <w:basedOn w:val="Normal"/>
    <w:link w:val="Bodytext3"/>
    <w:pPr>
      <w:spacing w:line="278" w:lineRule="auto"/>
    </w:pPr>
    <w:rPr>
      <w:rFonts w:ascii="Arial" w:eastAsia="Arial" w:hAnsi="Arial" w:cs="Arial"/>
      <w:sz w:val="16"/>
      <w:szCs w:val="16"/>
    </w:rPr>
  </w:style>
  <w:style w:type="paragraph" w:styleId="Footer">
    <w:name w:val="footer"/>
    <w:basedOn w:val="Normal"/>
    <w:link w:val="FooterChar"/>
    <w:uiPriority w:val="99"/>
    <w:unhideWhenUsed/>
    <w:rsid w:val="00EE0D48"/>
    <w:pPr>
      <w:tabs>
        <w:tab w:val="center" w:pos="4680"/>
        <w:tab w:val="right" w:pos="9360"/>
      </w:tabs>
    </w:pPr>
  </w:style>
  <w:style w:type="character" w:customStyle="1" w:styleId="FooterChar">
    <w:name w:val="Footer Char"/>
    <w:basedOn w:val="DefaultParagraphFont"/>
    <w:link w:val="Footer"/>
    <w:uiPriority w:val="99"/>
    <w:rsid w:val="00EE0D48"/>
    <w:rPr>
      <w:color w:val="000000"/>
    </w:rPr>
  </w:style>
  <w:style w:type="paragraph" w:styleId="Header">
    <w:name w:val="header"/>
    <w:basedOn w:val="Normal"/>
    <w:link w:val="HeaderChar"/>
    <w:uiPriority w:val="99"/>
    <w:unhideWhenUsed/>
    <w:rsid w:val="00EE0D48"/>
    <w:pPr>
      <w:tabs>
        <w:tab w:val="center" w:pos="4680"/>
        <w:tab w:val="right" w:pos="9360"/>
      </w:tabs>
    </w:pPr>
  </w:style>
  <w:style w:type="character" w:customStyle="1" w:styleId="HeaderChar">
    <w:name w:val="Header Char"/>
    <w:basedOn w:val="DefaultParagraphFont"/>
    <w:link w:val="Header"/>
    <w:uiPriority w:val="99"/>
    <w:rsid w:val="00EE0D48"/>
    <w:rPr>
      <w:color w:val="000000"/>
    </w:rPr>
  </w:style>
  <w:style w:type="table" w:customStyle="1" w:styleId="TableGrid1">
    <w:name w:val="Table Grid1"/>
    <w:basedOn w:val="TableNormal"/>
    <w:next w:val="TableGrid"/>
    <w:uiPriority w:val="39"/>
    <w:rsid w:val="00EE0D48"/>
    <w:pPr>
      <w:autoSpaceDE w:val="0"/>
      <w:autoSpaceDN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E0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122A6"/>
    <w:pPr>
      <w:autoSpaceDE w:val="0"/>
      <w:autoSpaceDN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F7446"/>
    <w:pPr>
      <w:autoSpaceDE w:val="0"/>
      <w:autoSpaceDN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e.es/" TargetMode="External"/><Relationship Id="rId3" Type="http://schemas.openxmlformats.org/officeDocument/2006/relationships/settings" Target="settings.xml"/><Relationship Id="rId7" Type="http://schemas.openxmlformats.org/officeDocument/2006/relationships/hyperlink" Target="http://www.boe.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boe.es" TargetMode="External"/><Relationship Id="rId1" Type="http://schemas.openxmlformats.org/officeDocument/2006/relationships/hyperlink" Target="https://www.bo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2844</Words>
  <Characters>16755</Characters>
  <Application>Microsoft Office Word</Application>
  <DocSecurity>0</DocSecurity>
  <Lines>316</Lines>
  <Paragraphs>124</Paragraphs>
  <ScaleCrop>false</ScaleCrop>
  <HeadingPairs>
    <vt:vector size="2" baseType="variant">
      <vt:variant>
        <vt:lpstr>Title</vt:lpstr>
      </vt:variant>
      <vt:variant>
        <vt:i4>1</vt:i4>
      </vt:variant>
    </vt:vector>
  </HeadingPairs>
  <TitlesOfParts>
    <vt:vector size="1" baseType="lpstr">
      <vt:lpstr>Disposición 17371 del BOE núm. 208 de 2024</vt:lpstr>
    </vt:vector>
  </TitlesOfParts>
  <Company/>
  <LinksUpToDate>false</LinksUpToDate>
  <CharactersWithSpaces>19475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17371 del BOE núm. 208 de 2024</dc:title>
  <dc:subject>BOE-A-2024-17371</dc:subject>
  <dc:creator>MINISTERIO DE AGRICULTURA, PESCA Y ALIMENTACIÓN</dc:creator>
  <cp:keywords>DECRETO 840/2024 de 27/08/2024; MINISTERIO DE AGRICULTURA, PESCA Y ALIMENTACIÓN; BOE-A-2024-17371; BOE 208 de 2024; 17371; 28/08/2024;Class='Internal'</cp:keywords>
  <cp:lastModifiedBy>Ragnhild Efraimsson</cp:lastModifiedBy>
  <cp:revision>2</cp:revision>
  <dcterms:created xsi:type="dcterms:W3CDTF">2024-10-10T11:09:00Z</dcterms:created>
  <dcterms:modified xsi:type="dcterms:W3CDTF">2024-10-10T11:09:00Z</dcterms:modified>
</cp:coreProperties>
</file>