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Obvestilo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v ponedeljek 2. septembra 2024</w:t>
            </w:r>
            <w:r>
              <w:rPr>
                <w:rFonts w:ascii="Arial" w:hAnsi="Arial"/>
                <w:color w:val="000000"/>
                <w:sz w:val="18"/>
              </w:rPr>
              <w:br/>
              <w:t>BAnz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 1 od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183F04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52"/>
                              </w:rPr>
                              <w:t>Uradni list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Objavljeno s strani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Zveznega ministrstva za pravosodje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183F04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52"/>
                        </w:rPr>
                        <w:t>Uradni list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Objavljeno s strani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Zveznega ministrstva za pravosodje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FE254E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EE5E9B">
        <w:rPr>
          <w:rFonts w:ascii="Arial" w:hAnsi="Arial"/>
          <w:b/>
          <w:color w:val="000000"/>
          <w:sz w:val="27"/>
        </w:rPr>
        <w:t>Zvezna agencija za okolje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  <w:sz w:val="20"/>
        </w:rPr>
        <w:t>Tretja sprememba</w:t>
      </w:r>
      <w:r>
        <w:rPr>
          <w:rFonts w:ascii="Arial" w:hAnsi="Arial"/>
          <w:b/>
          <w:color w:val="000000"/>
          <w:sz w:val="20"/>
        </w:rPr>
        <w:br/>
        <w:t>obvestila o osnovi za ocenjevanje</w:t>
      </w:r>
      <w:r>
        <w:rPr>
          <w:rFonts w:ascii="Arial" w:hAnsi="Arial"/>
          <w:b/>
          <w:color w:val="000000"/>
          <w:sz w:val="20"/>
        </w:rPr>
        <w:br/>
        <w:t>emajlov in keramičnih materialov v stiku s pitno vodo</w:t>
      </w:r>
      <w:r>
        <w:rPr>
          <w:rFonts w:ascii="Arial" w:hAnsi="Arial"/>
          <w:b/>
          <w:color w:val="000000"/>
          <w:sz w:val="15"/>
        </w:rPr>
        <w:t>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z dne 19. avgusta 2024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Obvestilo o osnovi za ocenjevanje emajlov in keramičnih materialov, ki so v stiku s pitno vodo, z dne 5. avgusta 2019 (BAnz AT 12.09.2019 B8), kakor je bila spremenjena z drugo spremembo podlage za oceno emajlov in keramičnih materialov, ki so v stiku s pitno, vodo z dne 17. oktobra 2023 (BAnz AT 24.10.2023 B5), se spremeni, kot sledi: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Spremembe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V točki 6.1.1 se preglednica 1 spremeni: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Preglednica 1: Pozitivni seznam možnih sestavin emajlov in drugih steklu podobnih materialov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Anorganske vrste žvepla kot nečistoče s skupno vsebnostjo do 0,5 % se lahko zanemarijo. Klorid kot nečistoča s skupno vsebnostjo do 0,5 % se lahko zanemari.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V točki 6.2.1 se preglednica 3 spremeni: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Preglednica 3: Pozitivni seznam dovoljenih sestavin keramik Al</w:t>
      </w:r>
      <w:r>
        <w:rPr>
          <w:rFonts w:ascii="Arial" w:hAnsi="Arial"/>
          <w:color w:val="000000"/>
          <w:sz w:val="12"/>
        </w:rPr>
        <w:t>2</w:t>
      </w:r>
      <w:r>
        <w:rPr>
          <w:rFonts w:ascii="Arial" w:hAnsi="Arial"/>
          <w:color w:val="000000"/>
          <w:sz w:val="18"/>
        </w:rPr>
        <w:t>O</w:t>
      </w:r>
      <w:r>
        <w:rPr>
          <w:rFonts w:ascii="Arial" w:hAnsi="Arial"/>
          <w:color w:val="000000"/>
          <w:sz w:val="12"/>
        </w:rPr>
        <w:t>3</w:t>
      </w:r>
      <w:r>
        <w:rPr>
          <w:rFonts w:ascii="Arial" w:hAnsi="Arial"/>
          <w:color w:val="000000"/>
          <w:sz w:val="18"/>
        </w:rPr>
        <w:t xml:space="preserve"> in SiO</w:t>
      </w:r>
      <w:r>
        <w:rPr>
          <w:rFonts w:ascii="Arial" w:hAnsi="Arial"/>
          <w:color w:val="000000"/>
          <w:sz w:val="12"/>
        </w:rPr>
        <w:t>2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3.5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ZrO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FE254E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EE5E9B">
        <w:rPr>
          <w:rFonts w:ascii="Arial" w:hAnsi="Arial"/>
          <w:color w:val="000000"/>
          <w:sz w:val="10"/>
        </w:rPr>
        <w:t xml:space="preserve">1 </w:t>
      </w:r>
      <w:r w:rsidR="00EE5E9B">
        <w:rPr>
          <w:rFonts w:ascii="Arial" w:hAnsi="Arial"/>
          <w:color w:val="000000"/>
          <w:sz w:val="14"/>
        </w:rPr>
        <w:t xml:space="preserve">  Priglašeno v skladu z Direktivo (EU) 2015/1535 Evropskega parlamenta in Sveta z dne 9. septembra 2015 o določitvi postopka za zagotavljanje informacij na področju tehničnih predpisov in pravil za storitve informacijske družbe (UL L 241, 17.9.2015, str. 1).</w:t>
      </w:r>
    </w:p>
    <w:p w14:paraId="70AC31A8" w14:textId="77777777" w:rsidR="00C4698F" w:rsidRDefault="00FE254E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EE5E9B">
        <w:rPr>
          <w:rFonts w:ascii="Arial" w:hAnsi="Arial"/>
          <w:color w:val="000000"/>
          <w:sz w:val="10"/>
        </w:rPr>
        <w:t xml:space="preserve">2 </w:t>
      </w:r>
      <w:r w:rsidR="00EE5E9B">
        <w:rPr>
          <w:rFonts w:ascii="Arial" w:hAnsi="Arial"/>
          <w:color w:val="000000"/>
          <w:sz w:val="14"/>
        </w:rPr>
        <w:t>Priglašeno pod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Obvestilo</w:t>
            </w:r>
          </w:p>
          <w:p w14:paraId="3EAF332B" w14:textId="77777777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v ponedeljek 2. septembra 2024</w:t>
            </w:r>
            <w:r>
              <w:rPr>
                <w:rFonts w:ascii="Arial" w:hAnsi="Arial"/>
                <w:color w:val="000000"/>
                <w:sz w:val="18"/>
              </w:rPr>
              <w:br/>
              <w:t>BAnz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 2 od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183F04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52"/>
                              </w:rPr>
                              <w:t>Uradni list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Objavljeno s strani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Zveznega ministrstva za pravosodje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183F04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52"/>
                        </w:rPr>
                        <w:t>Uradni list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Objavljeno s strani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Zveznega ministrstva za pravosodje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FE254E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EE5E9B">
        <w:rPr>
          <w:rFonts w:ascii="Arial" w:hAnsi="Arial"/>
          <w:color w:val="000000"/>
          <w:sz w:val="18"/>
        </w:rPr>
        <w:t>V točki 6.2.1 se preglednica 5 spremeni: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Preglednica 5: Pozitivni seznam dovoljenih sestavin trdnih feritnih keramik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FeO/Fe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WoO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V točki 6.2.1 se preglednica 6 spremeni: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Preglednica 6: Pozitivni seznam dovoljenih sestavin keramik iz silicijevega karbida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Snov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Vsebnost v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Najmanj</w:t>
            </w:r>
            <w:r>
              <w:rPr>
                <w:rFonts w:ascii="Arial" w:hAnsi="Arial"/>
                <w:color w:val="000000"/>
                <w:sz w:val="16"/>
              </w:rPr>
              <w:tab/>
              <w:t>Največ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SiO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 preglednici 10 v točki 7.1 se naslov četrtega stolpca spremeni: „Zahteva glede sproščanja elementov ali organskih spojin“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V točki 7.3 se preglednica 11 spremeni: </w:t>
      </w:r>
      <w:r>
        <w:rPr>
          <w:rFonts w:ascii="Arial" w:hAnsi="Arial"/>
          <w:color w:val="000000"/>
          <w:sz w:val="18"/>
        </w:rPr>
        <w:br/>
        <w:t>Preglednica 11: Merila (PW) za različne elemente</w:t>
      </w:r>
    </w:p>
    <w:p w14:paraId="7E2C7BB6" w14:textId="77777777" w:rsidR="00C4698F" w:rsidRPr="00F7040A" w:rsidRDefault="00FE254E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Referenčna vrednost za merilo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Merilo kot delež mejne vrednosti/vrednosti prevodnosti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Merilo v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Aluminij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Antimon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Bizmut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Svinec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Kadmij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Krom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Hafnij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Kobalt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Baker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3B29DFFC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56F37C08" wp14:editId="3F35BD4A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4C8AC0B9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Obvestilo</w:t>
            </w:r>
          </w:p>
          <w:p w14:paraId="27D535C4" w14:textId="24C4D23A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v ponedeljek 2. septembra 2024</w:t>
            </w:r>
            <w:r>
              <w:rPr>
                <w:rFonts w:ascii="Arial" w:hAnsi="Arial"/>
                <w:color w:val="000000"/>
                <w:sz w:val="18"/>
              </w:rPr>
              <w:br/>
              <w:t>BAnz AT 02.09.2024 B4</w:t>
            </w:r>
          </w:p>
          <w:p w14:paraId="397C6E6E" w14:textId="77777777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 3 od 4</w:t>
            </w:r>
          </w:p>
        </w:tc>
      </w:tr>
    </w:tbl>
    <w:p w14:paraId="5F3D6175" w14:textId="2DC1D19D" w:rsidR="00C4698F" w:rsidRDefault="00FE254E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25207A" wp14:editId="00750397">
                <wp:simplePos x="0" y="0"/>
                <wp:positionH relativeFrom="column">
                  <wp:posOffset>657225</wp:posOffset>
                </wp:positionH>
                <wp:positionV relativeFrom="paragraph">
                  <wp:posOffset>-732155</wp:posOffset>
                </wp:positionV>
                <wp:extent cx="2558415" cy="762000"/>
                <wp:effectExtent l="0" t="0" r="0" b="0"/>
                <wp:wrapNone/>
                <wp:docPr id="1624120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DE848" w14:textId="77777777" w:rsidR="00FE254E" w:rsidRPr="00183F04" w:rsidRDefault="00FE254E" w:rsidP="00FE254E">
                            <w:pPr>
                              <w:spacing w:line="100" w:lineRule="atLeast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52"/>
                              </w:rPr>
                              <w:t>Uradni list</w:t>
                            </w:r>
                          </w:p>
                          <w:p w14:paraId="4DA4DFEE" w14:textId="77777777" w:rsidR="00FE254E" w:rsidRPr="00183F04" w:rsidRDefault="00FE254E" w:rsidP="00FE254E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Objavljeno s strani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Zveznega ministrstva za pravosodje</w:t>
                            </w:r>
                          </w:p>
                          <w:p w14:paraId="492F9C21" w14:textId="77777777" w:rsidR="00FE254E" w:rsidRPr="00183F04" w:rsidRDefault="00FE254E" w:rsidP="00FE254E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207A" id="_x0000_s1028" type="#_x0000_t202" style="position:absolute;margin-left:51.75pt;margin-top:-57.65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" fillcolor="window" stroked="f" strokeweight=".5pt">
                <v:textbox inset="0,0,0,0">
                  <w:txbxContent>
                    <w:p w14:paraId="205DE848" w14:textId="77777777" w:rsidR="00FE254E" w:rsidRPr="00183F04" w:rsidRDefault="00FE254E" w:rsidP="00FE254E">
                      <w:pPr>
                        <w:spacing w:line="100" w:lineRule="atLeast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52"/>
                        </w:rPr>
                        <w:t>Uradni list</w:t>
                      </w:r>
                    </w:p>
                    <w:p w14:paraId="4DA4DFEE" w14:textId="77777777" w:rsidR="00FE254E" w:rsidRPr="00183F04" w:rsidRDefault="00FE254E" w:rsidP="00FE254E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Objavljeno s strani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Zveznega ministrstva za pravosodje</w:t>
                      </w:r>
                    </w:p>
                    <w:p w14:paraId="492F9C21" w14:textId="77777777" w:rsidR="00FE254E" w:rsidRPr="00183F04" w:rsidRDefault="00FE254E" w:rsidP="00FE254E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0A689" w14:textId="77777777" w:rsidR="00C4698F" w:rsidRDefault="00FE254E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Referenčna vrednost za merilo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Merilo kot delež mejne vrednosti/vrednosti prevodnosti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Merilo v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Molibden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Nikelj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Paladij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Prazeodim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Stroncij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Titan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Volfram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Itrij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3.5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Cirkonij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V točki 8.2.1 se tretji stavek spremeni: </w:t>
      </w:r>
      <w:r>
        <w:rPr>
          <w:rFonts w:ascii="Arial" w:hAnsi="Arial"/>
          <w:color w:val="000000"/>
          <w:sz w:val="18"/>
        </w:rPr>
        <w:br/>
        <w:t>„Namen pregleda sestave je: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preveriti, da emajli ali drugi steklu podobni materiali vsebujejo samo sestavine iz preglednice 1 (glej točko 6.1); in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opredeliti elemente, ki jih je treba oceniti v migracijski vodi; in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identificirati izdelek.“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Opomba 4 se posodobi: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„Preskusni vzorci ustrezajo vzorcem v skladu z DIN 4753-3: 2017-08.“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V točki 8.3.3 se deseti in enajsti stavek zamenjata, kot sledi: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„Slika 2 prikazuje preskusno napravo, pri kateri se lijaki, ki vsebujejo migracijsko vodo, pritisnejo na plošče iz emajla. Vendar so za preskušanje možne tudi druge strukture.“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Točka 8.3.4 se spremeni: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„Priloga 1 prikazuje migracijske vode zadevnih obdobij migracije, ki jih je treba uporabiti za analizo za preskušanje hladne vode. Priloga 2 določa migracijske vode za analizo preskušanja tople in vroče vode. Za določanje elementov (ne za določanje PAH) je treba migracijske vode takoj nakisati s koncentrirano HNO</w:t>
      </w:r>
      <w:r>
        <w:rPr>
          <w:rFonts w:ascii="Arial" w:hAnsi="Arial"/>
          <w:color w:val="000000"/>
          <w:sz w:val="13"/>
        </w:rPr>
        <w:t xml:space="preserve">3 </w:t>
      </w:r>
      <w:r>
        <w:rPr>
          <w:rFonts w:ascii="Arial" w:hAnsi="Arial"/>
          <w:color w:val="000000"/>
          <w:sz w:val="18"/>
        </w:rPr>
        <w:t>do 2 % (v/v) vsebnosti kisline.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Emajli/drugi steklu podobni materiali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Določijo se elementi emajla/drugih steklenih materialov z merilom v skladu s preglednico 11. Določiti je treba tudi vsebnost svinca in kadmija v analiziranih količinah migracijske vode. Analiza se izvede z ustrezno merilno metodo, npr. ICP-MS v skladu z DIN EN ISO 17294-1.“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Borosilikatno steklo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Določijo se elementi borosilikatnega stekla z merilom v skladu s preglednico 11. Določiti je treba tudi vsebnost svinca in kadmija v analiziranih količinah migracijske vode. Analiza se izvede z ustrezno merilno metodo, npr. ICP-MS v skladu z DIN EN ISO 17294-1.“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Keramični materiali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Določijo se elementi keramičnega materiala z merilom v skladu s preglednico 11. Določiti je treba tudi vsebnost svinca in kadmija v analiziranih količinah migracijske vode. Analiza se izvede z ustrezno merilno metodo, npr. ICP-MS v skladu z DIN EN ISO 17294-1.“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Keramični materiali iz ogljika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Za preskušanje keramičnih materialov, ki vsebujejo ogljik, se PAO določijo v migracijskih vodah, ki se analizirajo v skladu s preglednico 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Premazi iz mešanih kovinskih oksidov (MMO)</w:t>
      </w:r>
    </w:p>
    <w:p w14:paraId="392E2A31" w14:textId="77777777" w:rsidR="00C4698F" w:rsidRDefault="00FE254E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EE5E9B">
        <w:rPr>
          <w:rFonts w:ascii="Arial" w:hAnsi="Arial"/>
          <w:color w:val="000000"/>
          <w:sz w:val="18"/>
        </w:rPr>
        <w:t>Če so premazi iz mešanih kovinskih oksidov proizvedeni, kot je opisano v točki 6.3, migracijski preskusi niso potrebni.“</w:t>
      </w:r>
    </w:p>
    <w:p w14:paraId="3B15779D" w14:textId="77777777" w:rsidR="00C4698F" w:rsidRPr="00FE254E" w:rsidRDefault="00C4698F">
      <w:pPr>
        <w:sectPr w:rsidR="00C4698F" w:rsidRPr="00FE254E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10C1E4AF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302CEF6" wp14:editId="2827AA73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0E0F6AFD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Obvestilo</w:t>
            </w:r>
          </w:p>
          <w:p w14:paraId="6EE9388C" w14:textId="4D64BBB3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Objavljeno v ponedeljek 2. septembra 2024</w:t>
            </w:r>
            <w:r>
              <w:rPr>
                <w:rFonts w:ascii="Arial" w:hAnsi="Arial"/>
                <w:color w:val="000000"/>
                <w:sz w:val="18"/>
              </w:rPr>
              <w:br/>
              <w:t>BAnz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Stran 4 od 4</w:t>
            </w:r>
          </w:p>
        </w:tc>
      </w:tr>
    </w:tbl>
    <w:p w14:paraId="1E605B73" w14:textId="2C81B0FF" w:rsidR="00C4698F" w:rsidRDefault="00FE254E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867ACB" wp14:editId="1397AC9B">
                <wp:simplePos x="0" y="0"/>
                <wp:positionH relativeFrom="column">
                  <wp:posOffset>716280</wp:posOffset>
                </wp:positionH>
                <wp:positionV relativeFrom="paragraph">
                  <wp:posOffset>-699770</wp:posOffset>
                </wp:positionV>
                <wp:extent cx="2558415" cy="762000"/>
                <wp:effectExtent l="0" t="0" r="0" b="0"/>
                <wp:wrapNone/>
                <wp:docPr id="287738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34601" w14:textId="77777777" w:rsidR="00FE254E" w:rsidRPr="00183F04" w:rsidRDefault="00FE254E" w:rsidP="00FE254E">
                            <w:pPr>
                              <w:spacing w:line="100" w:lineRule="atLeast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52"/>
                              </w:rPr>
                              <w:t>Uradni list</w:t>
                            </w:r>
                          </w:p>
                          <w:p w14:paraId="4FF189A0" w14:textId="77777777" w:rsidR="00FE254E" w:rsidRPr="00183F04" w:rsidRDefault="00FE254E" w:rsidP="00FE254E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Objavljeno s strani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Zveznega ministrstva za pravosodje</w:t>
                            </w:r>
                          </w:p>
                          <w:p w14:paraId="0039A34F" w14:textId="77777777" w:rsidR="00FE254E" w:rsidRPr="00183F04" w:rsidRDefault="00FE254E" w:rsidP="00FE254E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7ACB" id="_x0000_s1029" type="#_x0000_t202" style="position:absolute;margin-left:56.4pt;margin-top:-55.1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" fillcolor="window" stroked="f" strokeweight=".5pt">
                <v:textbox inset="0,0,0,0">
                  <w:txbxContent>
                    <w:p w14:paraId="7F934601" w14:textId="77777777" w:rsidR="00FE254E" w:rsidRPr="00183F04" w:rsidRDefault="00FE254E" w:rsidP="00FE254E">
                      <w:pPr>
                        <w:spacing w:line="100" w:lineRule="atLeast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52"/>
                        </w:rPr>
                        <w:t>Uradni list</w:t>
                      </w:r>
                    </w:p>
                    <w:p w14:paraId="4FF189A0" w14:textId="77777777" w:rsidR="00FE254E" w:rsidRPr="00183F04" w:rsidRDefault="00FE254E" w:rsidP="00FE254E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Objavljeno s strani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Zveznega ministrstva za pravosodje</w:t>
                      </w:r>
                    </w:p>
                    <w:p w14:paraId="0039A34F" w14:textId="77777777" w:rsidR="00FE254E" w:rsidRPr="00183F04" w:rsidRDefault="00FE254E" w:rsidP="00FE254E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A112C8" w14:textId="77777777" w:rsidR="00C4698F" w:rsidRDefault="00FE254E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EE5E9B">
        <w:rPr>
          <w:rFonts w:ascii="Arial" w:hAnsi="Arial"/>
          <w:color w:val="000000"/>
          <w:sz w:val="18"/>
        </w:rPr>
        <w:t xml:space="preserve">11. V točki 8.3.5 se na koncu doda naslednje: </w:t>
      </w:r>
      <w:r w:rsidR="00EE5E9B">
        <w:rPr>
          <w:rFonts w:ascii="Arial" w:hAnsi="Arial"/>
          <w:color w:val="000000"/>
          <w:sz w:val="18"/>
        </w:rPr>
        <w:br/>
        <w:t>„OPOMBA: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Izmerjena merila se povečujejo, če so na primer hkrati izpolnjeni naslednji pogoji: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izmerjena koncentracija v obdobju migracije, ki je pomembno za oceno, je višja od 1/10 omejitve migracije; in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izmerjena koncentracija v obdobju migracije, ki je pomembno za oceno, se je znatno povečala v primerjavi z najnižjo izmerjeno koncentracijo (višja od merilne negotovosti); in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— izmerjena koncentracija v obdobju migracije, ki je pomembno za oceno, je najvišja izmerjena vrednost serije migracij.“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Začetek veljavnosti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Te spremembe začnejo veljati dan po objavi v Zveznem uradnem listu.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19. avgusta 2024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Zvezna agencija za okolje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Pooblaščenec</w:t>
      </w:r>
    </w:p>
    <w:p w14:paraId="5E269ED4" w14:textId="77777777" w:rsidR="00C4698F" w:rsidRDefault="00FE254E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EE5E9B">
        <w:rPr>
          <w:rFonts w:ascii="Arial" w:hAnsi="Arial"/>
          <w:color w:val="000000"/>
          <w:sz w:val="18"/>
        </w:rPr>
        <w:t>Prof. dr.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D0FA5" w14:textId="77777777" w:rsidR="00EE5E9B" w:rsidRDefault="00EE5E9B">
      <w:r>
        <w:separator/>
      </w:r>
    </w:p>
  </w:endnote>
  <w:endnote w:type="continuationSeparator" w:id="0">
    <w:p w14:paraId="4E457EF1" w14:textId="77777777" w:rsidR="00EE5E9B" w:rsidRDefault="00E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827EA" w14:textId="77777777" w:rsidR="00EE5E9B" w:rsidRDefault="00EE5E9B"/>
  </w:footnote>
  <w:footnote w:type="continuationSeparator" w:id="0">
    <w:p w14:paraId="3E44CE10" w14:textId="77777777" w:rsidR="00EE5E9B" w:rsidRDefault="00EE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3580033">
    <w:abstractNumId w:val="1"/>
  </w:num>
  <w:num w:numId="2" w16cid:durableId="126380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183F04"/>
    <w:rsid w:val="002377CC"/>
    <w:rsid w:val="00325D7A"/>
    <w:rsid w:val="003510F0"/>
    <w:rsid w:val="003A4307"/>
    <w:rsid w:val="004510A7"/>
    <w:rsid w:val="004668A2"/>
    <w:rsid w:val="004B2D0E"/>
    <w:rsid w:val="007629D7"/>
    <w:rsid w:val="008F28EA"/>
    <w:rsid w:val="00C4698F"/>
    <w:rsid w:val="00D76B33"/>
    <w:rsid w:val="00E55D40"/>
    <w:rsid w:val="00EB515C"/>
    <w:rsid w:val="00EE5E9B"/>
    <w:rsid w:val="00F7040A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2024-10-07T12:25:00Z</dcterms:created>
  <dcterms:modified xsi:type="dcterms:W3CDTF">2024-10-10T11:48:00Z</dcterms:modified>
</cp:coreProperties>
</file>