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A94BAD">
      <w:pPr>
        <w:spacing w:after="324" w:line="259" w:lineRule="auto"/>
        <w:ind w:left="0" w:right="1" w:firstLine="0"/>
        <w:jc w:val="center"/>
      </w:pPr>
      <w:r>
        <w:rPr>
          <w:rFonts w:ascii="Calibri" w:hAnsi="Calibri"/>
          <w:color w:val="0093D1"/>
          <w:sz w:val="43"/>
        </w:rPr>
        <w:t xml:space="preserve">Dekreedid, määrused, ringkirjad </w:t>
      </w:r>
    </w:p>
    <w:p w14:paraId="4AC62185" w14:textId="77777777" w:rsidR="00BB5F5A" w:rsidRDefault="00A94BAD">
      <w:pPr>
        <w:spacing w:after="420" w:line="259" w:lineRule="auto"/>
        <w:ind w:left="0" w:right="1" w:firstLine="0"/>
        <w:jc w:val="center"/>
      </w:pPr>
      <w:r>
        <w:rPr>
          <w:rFonts w:ascii="Calibri" w:hAnsi="Calibri"/>
          <w:color w:val="393C96"/>
          <w:sz w:val="28"/>
        </w:rPr>
        <w:t xml:space="preserve">ÜLDTEKSTID </w:t>
      </w:r>
    </w:p>
    <w:p w14:paraId="2E00BDAA" w14:textId="77777777" w:rsidR="00BB5F5A" w:rsidRDefault="00A94BAD">
      <w:pPr>
        <w:pStyle w:val="Heading1"/>
        <w:spacing w:after="273"/>
        <w:ind w:right="0"/>
        <w:jc w:val="center"/>
      </w:pPr>
      <w:r>
        <w:rPr>
          <w:rFonts w:ascii="Calibri" w:hAnsi="Calibri"/>
          <w:b/>
          <w:color w:val="393C96"/>
          <w:sz w:val="20"/>
        </w:rPr>
        <w:t xml:space="preserve">MAJANDUS-, RAHANDUS- JA TÖÖSTUSMINISTEERIUM </w:t>
      </w:r>
    </w:p>
    <w:p w14:paraId="6D78EE22" w14:textId="77777777" w:rsidR="00BB5F5A" w:rsidRDefault="00A94BAD">
      <w:pPr>
        <w:spacing w:after="130" w:line="216" w:lineRule="auto"/>
        <w:ind w:right="1" w:hanging="215"/>
      </w:pPr>
      <w:r>
        <w:rPr>
          <w:rFonts w:ascii="Calibri" w:hAnsi="Calibri"/>
          <w:b/>
          <w:color w:val="5C5D61"/>
        </w:rPr>
        <w:t xml:space="preserve">6. novembri 2024. aasta määrus nr 2024-978, millega muudetakse 9. juuni 2023. aasta seadust nr 2023-451, mille eesmärk on reguleerida kaubanduslikku mõju ja võidelda mõjutajate kuritarvitamise vastu sotsiaalvõrgustikes. </w:t>
      </w:r>
    </w:p>
    <w:p w14:paraId="53548437" w14:textId="77777777" w:rsidR="00BB5F5A" w:rsidRDefault="00A94BAD">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A94BAD">
      <w:pPr>
        <w:ind w:firstLine="0"/>
      </w:pPr>
      <w:r>
        <w:t>Vabariigi presid</w:t>
      </w:r>
      <w:r>
        <w:t xml:space="preserve">ent, </w:t>
      </w:r>
    </w:p>
    <w:p w14:paraId="60771B53" w14:textId="77777777" w:rsidR="00BB5F5A" w:rsidRDefault="00A94BAD">
      <w:pPr>
        <w:spacing w:after="88"/>
        <w:ind w:firstLine="0"/>
      </w:pPr>
      <w:r>
        <w:t xml:space="preserve">peaministri ning majandus-, rahandus- ja tööstusministri aruande alusel; </w:t>
      </w:r>
    </w:p>
    <w:p w14:paraId="54602248" w14:textId="77777777" w:rsidR="00BB5F5A" w:rsidRDefault="00A94BAD">
      <w:pPr>
        <w:spacing w:after="30"/>
        <w:ind w:firstLine="0"/>
      </w:pPr>
      <w:r>
        <w:t xml:space="preserve">võttes arvesse põhiseadust ja eriti selle artiklit 38; </w:t>
      </w:r>
    </w:p>
    <w:p w14:paraId="071009EA" w14:textId="77777777" w:rsidR="00BB5F5A" w:rsidRDefault="00A94BAD">
      <w:pPr>
        <w:spacing w:after="24"/>
        <w:ind w:left="-15"/>
      </w:pPr>
      <w:r>
        <w:t>võttes arvesse Euroopa Parlamendi ja nõukogu 8. juuni 2000. aasta direktiivi 2000/31/EÜ infoühiskonna teenuste teatavate</w:t>
      </w:r>
      <w:r>
        <w:t xml:space="preserve"> õiguslike aspektide, eriti elektroonilise kaubanduse kohta siseturul (direktiiv elektroonilise kaubanduse kohta); </w:t>
      </w:r>
    </w:p>
    <w:p w14:paraId="0D58FCC0" w14:textId="77777777" w:rsidR="00BB5F5A" w:rsidRDefault="00A94BAD">
      <w:pPr>
        <w:spacing w:after="24"/>
        <w:ind w:left="-15"/>
      </w:pPr>
      <w:r>
        <w:t>võttes arvesse Euroopa Parlamendi ja nõukogu 11. mai 2005. aasta direktiivi 2005/29/EÜ, mis käsitleb ettevõtja ja tarbija vaheliste tehingut</w:t>
      </w:r>
      <w:r>
        <w:t>ega seotud ebaausaid kaubandustavasid siseturul ning millega muudetakse nõukogu direktiivi 84/450/EMÜ, Euroopa Parlamendi ja nõukogu direktiive 97/7/EÜ, 98/27/EÜ ja 2002/65/EÜ ning Euroopa Parlamendi ja nõukogu määrust (EÜ) nr 2006/2004 (ebaausate kaubandu</w:t>
      </w:r>
      <w:r>
        <w:t xml:space="preserve">stavade direktiiv); </w:t>
      </w:r>
    </w:p>
    <w:p w14:paraId="29E501B5" w14:textId="77777777" w:rsidR="00BB5F5A" w:rsidRDefault="00A94BAD">
      <w:pPr>
        <w:spacing w:after="23"/>
        <w:ind w:left="-15"/>
      </w:pPr>
      <w:r>
        <w:t>võttes arvesse Euroopa Parlamendi ja nõukogu 10. märtsi 2010. aasta direktiivi 2010/13/EL audiovisuaalmeedia teenuste osutamist käsitlevate liikmesriikide teatavate õigus- ja haldusnormide koordineerimise kohta (audiovisuaalmeedia teen</w:t>
      </w:r>
      <w:r>
        <w:t xml:space="preserve">uste direktiiv); </w:t>
      </w:r>
    </w:p>
    <w:p w14:paraId="517F39D2" w14:textId="77777777" w:rsidR="00BB5F5A" w:rsidRDefault="00A94BAD">
      <w:pPr>
        <w:ind w:left="-15"/>
      </w:pPr>
      <w:r>
        <w:t xml:space="preserve">võttes arvesse Euroopa Parlamendi ja nõukogu 9. septembri 2015. aasta direktiivi (EL) 2015/1535, millega nähakse ette tehnilistest eeskirjadest ning infoühiskonna teenuste eeskirjadest teatamise kord; </w:t>
      </w:r>
    </w:p>
    <w:p w14:paraId="18DA088E" w14:textId="77777777" w:rsidR="00BB5F5A" w:rsidRDefault="00A94BAD">
      <w:pPr>
        <w:spacing w:after="30"/>
        <w:ind w:firstLine="0"/>
      </w:pPr>
      <w:r>
        <w:t xml:space="preserve">võttes arvesse halduskohtumenetluse </w:t>
      </w:r>
      <w:r>
        <w:t xml:space="preserve">seadustikku, eriti selle artiklit R. 123-20; </w:t>
      </w:r>
    </w:p>
    <w:p w14:paraId="7F86EC33" w14:textId="77777777" w:rsidR="00BB5F5A" w:rsidRDefault="00A94BAD">
      <w:pPr>
        <w:spacing w:after="25"/>
        <w:ind w:left="-15"/>
      </w:pPr>
      <w:r>
        <w:t xml:space="preserve">võttes arvesse 9. juuni 2023. aasta seadust nr 2023-451, mille eesmärk on reguleerida kaubanduslikku mõju ja võidelda mõjutajate kuritarvitamise vastu sotsiaalvõrgustikes; </w:t>
      </w:r>
    </w:p>
    <w:p w14:paraId="76205EB4" w14:textId="77777777" w:rsidR="00BB5F5A" w:rsidRDefault="00A94BAD">
      <w:pPr>
        <w:ind w:left="-15"/>
      </w:pPr>
      <w:r>
        <w:t>võttes arvesse 22. aprilli 2024. aasta seadust nr 2024-364, millega kehtestatakse m</w:t>
      </w:r>
      <w:r>
        <w:t xml:space="preserve">itmesugused sätted majanduse, rahanduse, ökoloogilise ülemineku, kriminaalõiguse, sotsiaalõiguse ja põllumajandusküsimuste kohandamiseks Euroopa Liidu õigusega, eriti selle artiklit 3; </w:t>
      </w:r>
    </w:p>
    <w:p w14:paraId="52DE1B19" w14:textId="77777777" w:rsidR="00BB5F5A" w:rsidRDefault="00A94BAD">
      <w:pPr>
        <w:ind w:firstLine="0"/>
      </w:pPr>
      <w:r>
        <w:t>võttes arvesse 3. juulil 2024 Euroopa Komisjonile saadetud teatist nr </w:t>
      </w:r>
      <w:r>
        <w:t xml:space="preserve">2023/0379/FR; </w:t>
      </w:r>
    </w:p>
    <w:p w14:paraId="2DC263BA" w14:textId="77777777" w:rsidR="00BB5F5A" w:rsidRDefault="00A94BAD">
      <w:pPr>
        <w:spacing w:after="214"/>
        <w:ind w:right="5040" w:firstLine="0"/>
      </w:pPr>
      <w:r>
        <w:t xml:space="preserve">olles ära kuulanud riiginõukogu (rahandusosakonna), olles ära kuulanud ministrite nõukogu, </w:t>
      </w:r>
    </w:p>
    <w:p w14:paraId="1578A1A7" w14:textId="77777777" w:rsidR="00BB5F5A" w:rsidRDefault="00A94BAD">
      <w:pPr>
        <w:spacing w:after="146"/>
        <w:ind w:left="1077" w:firstLine="0"/>
      </w:pPr>
      <w:r>
        <w:t xml:space="preserve">MÄÄRAB: </w:t>
      </w:r>
    </w:p>
    <w:p w14:paraId="4FDE374B" w14:textId="77777777" w:rsidR="00BB5F5A" w:rsidRDefault="00A94BAD">
      <w:pPr>
        <w:spacing w:after="105" w:line="259" w:lineRule="auto"/>
        <w:ind w:left="10" w:right="1" w:hanging="10"/>
        <w:jc w:val="center"/>
      </w:pPr>
      <w:r>
        <w:rPr>
          <w:rFonts w:ascii="Calibri" w:hAnsi="Calibri"/>
          <w:b/>
        </w:rPr>
        <w:t>Artikkel 1</w:t>
      </w:r>
      <w:r>
        <w:rPr>
          <w:rFonts w:ascii="Calibri" w:hAnsi="Calibri"/>
          <w:b/>
          <w:sz w:val="17"/>
          <w:vertAlign w:val="superscript"/>
        </w:rPr>
        <w:t xml:space="preserve"> </w:t>
      </w:r>
    </w:p>
    <w:p w14:paraId="1AFC17DB" w14:textId="77777777" w:rsidR="00BB5F5A" w:rsidRDefault="00A94BAD">
      <w:pPr>
        <w:spacing w:after="119"/>
        <w:ind w:left="-15"/>
      </w:pPr>
      <w:r>
        <w:t>9. juuni 2023. aasta seadust nr 2023-451, mille eesmärk on reguleerida kaubanduslikku mõju ja võidelda mõjutajate kuritarvitamis</w:t>
      </w:r>
      <w:r>
        <w:t xml:space="preserve">e vastu sotsiaalvõrgustikes, muudetakse järgmiselt: </w:t>
      </w:r>
    </w:p>
    <w:p w14:paraId="542BFDB4" w14:textId="77777777" w:rsidR="00BB5F5A" w:rsidRDefault="00A94BAD">
      <w:pPr>
        <w:numPr>
          <w:ilvl w:val="0"/>
          <w:numId w:val="1"/>
        </w:numPr>
        <w:spacing w:after="85"/>
        <w:ind w:hanging="305"/>
      </w:pPr>
      <w:r>
        <w:t xml:space="preserve">– Artikkel 1 asendatakse järgmisega: </w:t>
      </w:r>
    </w:p>
    <w:p w14:paraId="36B0D7BB" w14:textId="77777777" w:rsidR="00BB5F5A" w:rsidRDefault="00A94BAD">
      <w:pPr>
        <w:spacing w:after="135"/>
        <w:ind w:left="-15"/>
      </w:pPr>
      <w:r>
        <w:t xml:space="preserve">„ </w:t>
      </w:r>
      <w:r>
        <w:rPr>
          <w:i/>
        </w:rPr>
        <w:t xml:space="preserve">‘Artikkel 1. – </w:t>
      </w:r>
      <w:r>
        <w:t>Füüsilised või juriidilised isikud, kes kasutavad tasu eest oma mainet oma publiku seas, et edastada üldsusele elektroonilisel teel sisu, mille eesm</w:t>
      </w:r>
      <w:r>
        <w:t xml:space="preserve">ärk on otseselt või kaudselt edendada kaupu, teenuseid või mis tahes eesmärgil elektroonilisel teel kaubanduslikku mõju.“; </w:t>
      </w:r>
    </w:p>
    <w:p w14:paraId="3950E5A5" w14:textId="77777777" w:rsidR="00BB5F5A" w:rsidRDefault="00A94BAD">
      <w:pPr>
        <w:numPr>
          <w:ilvl w:val="0"/>
          <w:numId w:val="1"/>
        </w:numPr>
        <w:spacing w:after="79"/>
        <w:ind w:hanging="305"/>
      </w:pPr>
      <w:r>
        <w:t xml:space="preserve">– Artikkel 4 asendatakse järgmiste sätetega: </w:t>
      </w:r>
    </w:p>
    <w:p w14:paraId="6F86B412" w14:textId="77777777" w:rsidR="00BB5F5A" w:rsidRDefault="00A94BAD">
      <w:pPr>
        <w:ind w:left="-15"/>
      </w:pPr>
      <w:r>
        <w:t xml:space="preserve">„ </w:t>
      </w:r>
      <w:r>
        <w:rPr>
          <w:i/>
        </w:rPr>
        <w:t xml:space="preserve">Artikkel 4. – </w:t>
      </w:r>
      <w:r>
        <w:t>I. –  Elektroonilisel teel kaubandusliku mõju avaldamisega tegelevatel</w:t>
      </w:r>
      <w:r>
        <w:t xml:space="preserve"> isikutel on keelatud esteetilise eesmärgiga toimingute, protsesside, tehnikate ja meetodite otsene või kaudne edendamine, mis võib ohustada rahvatervise seadustiku artiklis L. 1151-2 nimetatud isikute tervist, ning nimetatud seadustiku artiklis L. 6322-1 </w:t>
      </w:r>
      <w:r>
        <w:t xml:space="preserve">nimetatud sekkumised. </w:t>
      </w:r>
    </w:p>
    <w:p w14:paraId="1DB6FB2C" w14:textId="77777777" w:rsidR="00BB5F5A" w:rsidRDefault="00A94BAD">
      <w:pPr>
        <w:ind w:left="-15"/>
      </w:pPr>
      <w:r>
        <w:t>„II. –  Elektrooniliste vahenditega kaubandusliku mõju avaldamisega tegelevatel isikutel on keelatud igasugune otsene või kaudne reklaamimine, mis ei ole terapeutilised tooted, toimingud, protsessid, tehnikad ja meetodid, mis on võrr</w:t>
      </w:r>
      <w:r>
        <w:t xml:space="preserve">eldavad või eelistatavad või asendavad ravitoiminguid, protokolle või ettekirjutusi. </w:t>
      </w:r>
    </w:p>
    <w:p w14:paraId="0FCE785E" w14:textId="77777777" w:rsidR="00BB5F5A" w:rsidRDefault="00A94BAD">
      <w:pPr>
        <w:ind w:left="-15"/>
      </w:pPr>
      <w:r>
        <w:lastRenderedPageBreak/>
        <w:t>„III. –  Keelatud on selliste nikotiinitoodetena käsitatavate toodete otsene või kaudne müügiedendus, mida võib tarbida ja mis on valmistatud nikotiinist kas või osalisel</w:t>
      </w:r>
      <w:r>
        <w:t xml:space="preserve">t, elektroonilisel teel kaubandusliku mõju avaldamisega tegelevatel isikutel. </w:t>
      </w:r>
    </w:p>
    <w:p w14:paraId="7EEC5628" w14:textId="77777777" w:rsidR="00BB5F5A" w:rsidRDefault="00A94BAD">
      <w:pPr>
        <w:spacing w:after="130"/>
        <w:ind w:left="-15"/>
      </w:pPr>
      <w:r>
        <w:t>„IV. – Igasugune otsene või kaudne müügiedendus, mis hõlmab loomi, kes ei ole kantud keskkonnaseadustiku artikli L. 413-1 A I osas osutatud loetellu, on keelatud elektroonilisel</w:t>
      </w:r>
      <w:r>
        <w:t xml:space="preserve"> teel kaubandusliku mõjuga tegelevatel isikutel. Seda keeldu ei kohaldata ettevõtete suhtes, millel on lubatud kõnealuseid loomi pidada vastavalt kõnealuse seadustiku artiklile L. 413-3. </w:t>
      </w:r>
    </w:p>
    <w:p w14:paraId="4BB23C95" w14:textId="77777777" w:rsidR="00BB5F5A" w:rsidRDefault="00A94BAD">
      <w:pPr>
        <w:spacing w:after="77"/>
        <w:ind w:left="-15"/>
      </w:pPr>
      <w:r>
        <w:t xml:space="preserve">„V. –  Keelatud on järgmiste finantstoodete ja -teenuste otsene või </w:t>
      </w:r>
      <w:r>
        <w:t xml:space="preserve">kaudne müügiedendus isikutele, kes teostavad ärilist mõju elektrooniliste vahendite abil: </w:t>
      </w:r>
    </w:p>
    <w:p w14:paraId="0FCB0A4E" w14:textId="77777777" w:rsidR="00BB5F5A" w:rsidRDefault="00A94BAD">
      <w:pPr>
        <w:ind w:firstLine="0"/>
      </w:pPr>
      <w:r>
        <w:t>1</w:t>
      </w:r>
      <w:r>
        <w:rPr>
          <w:sz w:val="17"/>
          <w:vertAlign w:val="superscript"/>
        </w:rPr>
        <w:t xml:space="preserve">o </w:t>
      </w:r>
      <w:r>
        <w:t xml:space="preserve">raha- ja finantsseadustiku artiklis L. 533-12-7 määratletud finantslepingud; </w:t>
      </w:r>
    </w:p>
    <w:p w14:paraId="7B571492" w14:textId="77777777" w:rsidR="00BB5F5A" w:rsidRDefault="00A94BAD">
      <w:pPr>
        <w:spacing w:after="34"/>
        <w:ind w:left="-15"/>
      </w:pPr>
      <w:r>
        <w:t>2</w:t>
      </w:r>
      <w:r>
        <w:rPr>
          <w:sz w:val="17"/>
          <w:vertAlign w:val="superscript"/>
        </w:rPr>
        <w:t xml:space="preserve">o </w:t>
      </w:r>
      <w:r>
        <w:t>digitaalvarateenuste osutamine selle seadustiku artikli L. 54-10-2 tähenduses, välja arvatud teenused, mille jaoks reklaamija on registreeritud selle seadustiku artiklis L. 54-10-3 sätestatud tingimustel või lubatud selle seadustiku artiklis L. 54-10-5 sät</w:t>
      </w:r>
      <w:r>
        <w:t xml:space="preserve">estatud tingimustel; </w:t>
      </w:r>
    </w:p>
    <w:p w14:paraId="56BD14C2" w14:textId="77777777" w:rsidR="00BB5F5A" w:rsidRDefault="00A94BAD">
      <w:pPr>
        <w:spacing w:after="31"/>
        <w:ind w:left="-15"/>
      </w:pPr>
      <w:r>
        <w:t>3</w:t>
      </w:r>
      <w:r>
        <w:rPr>
          <w:sz w:val="17"/>
          <w:vertAlign w:val="superscript"/>
        </w:rPr>
        <w:t xml:space="preserve">o </w:t>
      </w:r>
      <w:r>
        <w:t xml:space="preserve">avalikud tookenid sama seadustiku artikli L. 552-3 tähenduses, välja arvatud juhul, kui reklaami avalikustaja on saanud selle seadustiku artiklis L. 552-4 sätestatud viisa; </w:t>
      </w:r>
    </w:p>
    <w:p w14:paraId="2ED229B9" w14:textId="77777777" w:rsidR="00BB5F5A" w:rsidRDefault="00A94BAD">
      <w:pPr>
        <w:ind w:left="-15"/>
      </w:pPr>
      <w:r>
        <w:t>4</w:t>
      </w:r>
      <w:r>
        <w:rPr>
          <w:sz w:val="17"/>
          <w:vertAlign w:val="superscript"/>
        </w:rPr>
        <w:t xml:space="preserve">o </w:t>
      </w:r>
      <w:r>
        <w:t>digivarad, välja arvatud need, mis on seotud teenusteg</w:t>
      </w:r>
      <w:r>
        <w:t>a, mille puhul reklaamija on registreeritud artiklis L. 5410-3 sätestatud tingimustel või heaks kiidetud seadustiku artiklis L. 54-10-5 sätestatud tingimustel, st kui reklaami avalikustaja ei kuulu sama seadustiku artiklite L. 54-10-3 ja L. 54-10-5 kohalda</w:t>
      </w:r>
      <w:r>
        <w:t xml:space="preserve">misalasse. </w:t>
      </w:r>
    </w:p>
    <w:p w14:paraId="4F97707A" w14:textId="77777777" w:rsidR="00BB5F5A" w:rsidRDefault="00A94BAD">
      <w:pPr>
        <w:ind w:left="-15"/>
      </w:pPr>
      <w:r>
        <w:t xml:space="preserve">„ „Käesoleva jaotise V sätete rikkumise korral kohaldatakse artikli L. 222-16-1 viiendas lõigus ja tarbijakaitseseadustiku artikli L. 222-16-2 eelviimases lõigus sätestatud karistusi. </w:t>
      </w:r>
    </w:p>
    <w:p w14:paraId="7FC2E317" w14:textId="77777777" w:rsidR="00BB5F5A" w:rsidRDefault="00A94BAD">
      <w:pPr>
        <w:ind w:left="-15"/>
      </w:pPr>
      <w:r>
        <w:t>„ VI. – Keelatud on mis tahes otsene või kaudne spordikihlv</w:t>
      </w:r>
      <w:r>
        <w:t xml:space="preserve">edude või kihlvedude tellimuste reklaamimine isikutele, kes teostavad kaubanduslikku mõju elektrooniliste vahendite abil. </w:t>
      </w:r>
    </w:p>
    <w:p w14:paraId="728EE356" w14:textId="77777777" w:rsidR="00BB5F5A" w:rsidRDefault="00A94BAD">
      <w:pPr>
        <w:ind w:left="-15"/>
      </w:pPr>
      <w:r>
        <w:t>„VII. – Käesoleva seaduse artiklis 1 nimetatud isikute elektroonilised ärilised teadaanded, mis puudutavad sisejulgeolekuseadustiku a</w:t>
      </w:r>
      <w:r>
        <w:t>rtiklites L. 320-1 ja L. 320-6 määratletud hasartmänge, on lubatud üksnes veebiplatvormidel, mis pakuvad tehnilist võimalust jätta sellise sisu vaatajaskonnast välja kõik alla 18-aastased kasutajad ja kui need isikud on selle välistamismehhanismi tegelikul</w:t>
      </w:r>
      <w:r>
        <w:t xml:space="preserve">t aktiveerinud. </w:t>
      </w:r>
    </w:p>
    <w:p w14:paraId="6EB44F5A" w14:textId="77777777" w:rsidR="00BB5F5A" w:rsidRDefault="00A94BAD">
      <w:pPr>
        <w:ind w:left="-15"/>
      </w:pPr>
      <w:r>
        <w:t xml:space="preserve">„Selliste äriliste teadaannetega kaasneb viide sellise sisu keelamisele alla 18-aastaste isikute puhul.  See teave peab olema selge, loetav ja arusaadav mis tahes kasutataval andmekandjal. </w:t>
      </w:r>
    </w:p>
    <w:p w14:paraId="16552C4E" w14:textId="77777777" w:rsidR="00BB5F5A" w:rsidRDefault="00A94BAD">
      <w:pPr>
        <w:ind w:left="-15"/>
      </w:pPr>
      <w:r>
        <w:t>„Käesolevas jaotises VII sätestatud välistamismeh</w:t>
      </w:r>
      <w:r>
        <w:t xml:space="preserve">hanismid peavad olema kooskõlas võrdlusraamistikuga, mille on koostanud audiovisuaal- ja digitaalse kommunikatsiooni reguleeriv asutus pärast konsulteerimist riikliku hasartmänguameti ning informaatika ja vabaduste riikliku komisjoniga.  </w:t>
      </w:r>
    </w:p>
    <w:p w14:paraId="5C916282" w14:textId="77777777" w:rsidR="00BB5F5A" w:rsidRDefault="00A94BAD">
      <w:pPr>
        <w:ind w:left="-15"/>
      </w:pPr>
      <w:r>
        <w:t>„Hasartmängijateg</w:t>
      </w:r>
      <w:r>
        <w:t xml:space="preserve">a sõlmitud müügiedenduslepingud sisaldavad tingimust, mille kohaselt käesoleva seaduse artiklis 1 määratletud isikud tõendavad, et nad on tutvunud hasartmängudega seotud äriliste teadaannete suhtes kohaldatavate õigusnormidega ja kohustuvad neid järgima.  </w:t>
      </w:r>
    </w:p>
    <w:p w14:paraId="507CFB94" w14:textId="77777777" w:rsidR="00BB5F5A" w:rsidRDefault="00A94BAD">
      <w:pPr>
        <w:spacing w:after="122"/>
        <w:ind w:left="-15"/>
      </w:pPr>
      <w:r>
        <w:t xml:space="preserve">„Käesoleva jaotise VI sätete rikkumise eest määratakse sisejulgeolekuseadustiku artiklis L. 324-8-1 ette nähtud trahv.  </w:t>
      </w:r>
    </w:p>
    <w:p w14:paraId="65CC3B40" w14:textId="77777777" w:rsidR="00BB5F5A" w:rsidRDefault="00A94BAD">
      <w:pPr>
        <w:spacing w:after="93"/>
        <w:ind w:firstLine="0"/>
      </w:pPr>
      <w:r>
        <w:t>„ VIII. – Tööseadustiku artikli L. 6323-8-1 punkti 2</w:t>
      </w:r>
      <w:r>
        <w:rPr>
          <w:sz w:val="17"/>
          <w:vertAlign w:val="superscript"/>
        </w:rPr>
        <w:t xml:space="preserve"> o </w:t>
      </w:r>
      <w:r>
        <w:t xml:space="preserve">järele lisatakse järgmine lõik: </w:t>
      </w:r>
    </w:p>
    <w:p w14:paraId="6709E1F6" w14:textId="77777777" w:rsidR="00BB5F5A" w:rsidRDefault="00A94BAD">
      <w:pPr>
        <w:ind w:left="-15"/>
      </w:pPr>
      <w:r>
        <w:t>„Samuti on keelatud toote müük või reklaampakk</w:t>
      </w:r>
      <w:r>
        <w:t xml:space="preserve">umine või tasu samas artiklis L. 6323-6 nimetatud saadete tellimise eest.“ </w:t>
      </w:r>
    </w:p>
    <w:p w14:paraId="012E80CC" w14:textId="77777777" w:rsidR="00BB5F5A" w:rsidRDefault="00A94BAD">
      <w:pPr>
        <w:ind w:left="-15"/>
      </w:pPr>
      <w:r>
        <w:t xml:space="preserve">„ IX. – Käesoleva artikli jaotiste I–IV ja VI sätete rikkumise eest karistatakse tarbijakaitseseadustiku artiklis L. 132-2 sätestatud karistusega. </w:t>
      </w:r>
    </w:p>
    <w:p w14:paraId="700FD132" w14:textId="77777777" w:rsidR="00BB5F5A" w:rsidRDefault="00A94BAD">
      <w:pPr>
        <w:spacing w:after="143"/>
        <w:ind w:left="-15"/>
      </w:pPr>
      <w:r>
        <w:t>„ Nende süütegude ja jaotises VI</w:t>
      </w:r>
      <w:r>
        <w:t>I ette nähtud süütegude puhul võib kuriteo toimepanijal vastavalt karistusseadustiku artiklites 131–27 ette nähtud korrale olla lõplikult või ajutiselt keelatud tegeleda kutsetegevuse või ühiskondliku tegevusega, mille raames kuritegu toime pandi, või käes</w:t>
      </w:r>
      <w:r>
        <w:t xml:space="preserve">oleva seaduse artiklis 1 määratletud elektroonilisel teel kaubandusliku mõjutamisega. </w:t>
      </w:r>
    </w:p>
    <w:p w14:paraId="29D9691F" w14:textId="77777777" w:rsidR="00BB5F5A" w:rsidRDefault="00A94BAD">
      <w:pPr>
        <w:spacing w:after="81"/>
        <w:ind w:firstLine="0"/>
      </w:pPr>
      <w:r>
        <w:t>“ X. – Tarbijakaitseseadustiku artikli L. 511-7 punkti 31</w:t>
      </w:r>
      <w:r>
        <w:rPr>
          <w:sz w:val="17"/>
          <w:vertAlign w:val="superscript"/>
        </w:rPr>
        <w:t xml:space="preserve">o </w:t>
      </w:r>
      <w:r>
        <w:t>järele lisatakse järgmine punkt 32</w:t>
      </w:r>
      <w:r>
        <w:rPr>
          <w:sz w:val="17"/>
          <w:vertAlign w:val="superscript"/>
        </w:rPr>
        <w:t xml:space="preserve">o </w:t>
      </w:r>
      <w:r>
        <w:t xml:space="preserve">: </w:t>
      </w:r>
    </w:p>
    <w:p w14:paraId="14A29651" w14:textId="77777777" w:rsidR="00BB5F5A" w:rsidRDefault="00A94BAD">
      <w:pPr>
        <w:spacing w:after="0" w:line="302" w:lineRule="auto"/>
        <w:ind w:left="-15" w:right="-15"/>
        <w:jc w:val="left"/>
      </w:pPr>
      <w:r>
        <w:t>„32</w:t>
      </w:r>
      <w:r>
        <w:rPr>
          <w:sz w:val="17"/>
          <w:vertAlign w:val="superscript"/>
        </w:rPr>
        <w:t xml:space="preserve">o </w:t>
      </w:r>
      <w:r>
        <w:t>9. juuni 2023. aasta seaduse nr 2023-451, mille eesmärk on regulee</w:t>
      </w:r>
      <w:r>
        <w:t xml:space="preserve">rida kaubanduslikku mõju ja võidelda mõjutajate kuritarvitamise vastu sotsiaalvõrgustikes, artikli 4 jaotis V.“; III. –  Artikkel 5 asendatakse järgmiste sätetega: </w:t>
      </w:r>
    </w:p>
    <w:p w14:paraId="3C6D62EA" w14:textId="77777777" w:rsidR="00BB5F5A" w:rsidRDefault="00A94BAD">
      <w:pPr>
        <w:ind w:left="-15"/>
      </w:pPr>
      <w:r>
        <w:t xml:space="preserve">„ </w:t>
      </w:r>
      <w:r>
        <w:rPr>
          <w:i/>
        </w:rPr>
        <w:t xml:space="preserve">Artikkel 5. – </w:t>
      </w:r>
      <w:r>
        <w:t>I. – Käesoleva seaduse artiklis 1 nimetatud isikute edastatud sisule, mille</w:t>
      </w:r>
      <w:r>
        <w:t xml:space="preserve">s sisalduvaid pilte on </w:t>
      </w:r>
    </w:p>
    <w:p w14:paraId="4B787B68" w14:textId="77777777" w:rsidR="00BB5F5A" w:rsidRDefault="00A94BAD">
      <w:pPr>
        <w:spacing w:after="31"/>
        <w:ind w:left="-15"/>
      </w:pPr>
      <w:r>
        <w:t>1</w:t>
      </w:r>
      <w:r>
        <w:rPr>
          <w:sz w:val="17"/>
          <w:vertAlign w:val="superscript"/>
        </w:rPr>
        <w:t xml:space="preserve">o </w:t>
      </w:r>
      <w:r>
        <w:t xml:space="preserve">muudetud kujutise töötlemise teel silueti kitsendamiseks või paksendamiseks või näo välimuse muutmiseks, lisatakse järgmised sõnad: „Töödeldud pildid“; </w:t>
      </w:r>
    </w:p>
    <w:p w14:paraId="68231ACC" w14:textId="77777777" w:rsidR="00BB5F5A" w:rsidRDefault="00A94BAD">
      <w:pPr>
        <w:ind w:left="-15"/>
      </w:pPr>
      <w:r>
        <w:t>2</w:t>
      </w:r>
      <w:r>
        <w:rPr>
          <w:sz w:val="17"/>
          <w:vertAlign w:val="superscript"/>
        </w:rPr>
        <w:t xml:space="preserve">o </w:t>
      </w:r>
      <w:r>
        <w:t>valmistatud mis tahes tehisintellektiprotsessi abil näo või silueti kujut</w:t>
      </w:r>
      <w:r>
        <w:t xml:space="preserve">amiseks, lisatakse järgmised sõnad: „Virtuaalsed kujutised“. </w:t>
      </w:r>
    </w:p>
    <w:p w14:paraId="25C7F208" w14:textId="77777777" w:rsidR="00BB5F5A" w:rsidRDefault="00A94BAD">
      <w:pPr>
        <w:ind w:left="-15"/>
      </w:pPr>
      <w:r>
        <w:lastRenderedPageBreak/>
        <w:t xml:space="preserve">„ </w:t>
      </w:r>
      <w:r>
        <w:t xml:space="preserve">I lõikes osutatud sõnad peavad olema selged, loetavad ja arusaadavad mis tahes kasutataval andmekandjal. Need võib asendada samaväärsete sõnadega, mis on kohandatud mõjutustegevuse omadustele ja kasutatava kommunikatsioonivahendi vormingule. </w:t>
      </w:r>
    </w:p>
    <w:p w14:paraId="029CE24B" w14:textId="77777777" w:rsidR="00BB5F5A" w:rsidRDefault="00A94BAD">
      <w:pPr>
        <w:ind w:left="-15"/>
      </w:pPr>
      <w:r>
        <w:t>„ II. – Kui m</w:t>
      </w:r>
      <w:r>
        <w:t>üügiedendust teostavad käesoleva seaduse artiklis 1 osutatud isikud ja see puudutab käesoleva seaduse artiklis L. 6313-1 nimetatud kutsekoolitusele registreerumist, mida rahastab üks selle seadustiku artiklis L. 6316-1 nimetatud asutustest, sisaldab käesol</w:t>
      </w:r>
      <w:r>
        <w:t xml:space="preserve">eva seaduse artiklis 5-2 osutatud viide teavet sellega seotud rahastamise, kohustuste ja abikõlblikkuse eeskirjade kohta, nende koolitusprogrammide eest vastutava(te) teenuseosutaja(te) ja sama seadustiku artiklis L. 6323-9 osutatud elektroonilise teenuse </w:t>
      </w:r>
      <w:r>
        <w:t xml:space="preserve">osutaja kohta. </w:t>
      </w:r>
    </w:p>
    <w:p w14:paraId="57A2125D" w14:textId="77777777" w:rsidR="00BB5F5A" w:rsidRDefault="00A94BAD">
      <w:pPr>
        <w:ind w:left="-15"/>
      </w:pPr>
      <w:r>
        <w:t xml:space="preserve">„ III. – Käesoleva artikli jaotiste I ja II sätete rikkumise eest karistatakse üheaastase vangistusega ja 4 500 euro suuruse rahatrahviga. </w:t>
      </w:r>
    </w:p>
    <w:p w14:paraId="7FA75FB0" w14:textId="77777777" w:rsidR="00BB5F5A" w:rsidRDefault="00A94BAD">
      <w:pPr>
        <w:spacing w:after="143"/>
        <w:ind w:firstLine="0"/>
      </w:pPr>
      <w:r>
        <w:t>“ IV – Käesoleva artikli jaotiste I ja II kohaldamise üksikasjalikud eeskirjad kehtestatakse dekreed</w:t>
      </w:r>
      <w:r>
        <w:t xml:space="preserve">iga, mis tehakse pärast riiginõukogu ärakuulamist.“; </w:t>
      </w:r>
    </w:p>
    <w:p w14:paraId="530ED4FA" w14:textId="77777777" w:rsidR="00BB5F5A" w:rsidRDefault="00A94BAD">
      <w:pPr>
        <w:spacing w:after="92"/>
        <w:ind w:firstLine="0"/>
      </w:pPr>
      <w:r>
        <w:t xml:space="preserve">IV. – Artikli 5 järele lisatakse kaks artiklit 5-1 ja 5-2 järgmises sõnastuses: </w:t>
      </w:r>
    </w:p>
    <w:p w14:paraId="7B0D6657" w14:textId="77777777" w:rsidR="00BB5F5A" w:rsidRDefault="00A94BAD">
      <w:pPr>
        <w:ind w:left="-15"/>
      </w:pPr>
      <w:r>
        <w:t xml:space="preserve">„ </w:t>
      </w:r>
      <w:r>
        <w:rPr>
          <w:i/>
        </w:rPr>
        <w:t xml:space="preserve">Artikkel 5-1. – </w:t>
      </w:r>
      <w:r>
        <w:t>I. – Artikli 4 jaotiste I–III sätteid ei kohaldata meediateenuse osutajate suhtes Euroopa Parlamendi ja</w:t>
      </w:r>
      <w:r>
        <w:t xml:space="preserve"> nõukogu 10. märtsi 2010. aasta direktiivi 2010/13/EL tähenduses, kes kuuluvad teise Euroopa Majanduspiirkonna liikmesriigi pädevuse alla kõnealuse direktiivi artikli 2 lõike 2 tähenduses. Seevastu kohaldatakse neid selliste teenuseosutajate suhtes, kui na</w:t>
      </w:r>
      <w:r>
        <w:t xml:space="preserve">d kuuluvad Prantsusmaa pädevuse alla. </w:t>
      </w:r>
    </w:p>
    <w:p w14:paraId="4C1C0A8C" w14:textId="77777777" w:rsidR="00BB5F5A" w:rsidRDefault="00A94BAD">
      <w:pPr>
        <w:ind w:left="-15"/>
      </w:pPr>
      <w:r>
        <w:t>„ Kui aga kõnealuse direktiivi artikli 3 lõigetes 2–3 või artikli 4 lõigetes 2–5 osutatud tingimused on täidetud, teavitab haldusasutus nendes sätetes ette nähtud menetluse lõpus isikut tema suhtes kohaldatavatest sät</w:t>
      </w:r>
      <w:r>
        <w:t xml:space="preserve">etest, asjakohastest karistustest ja asjaomasest teenusest. </w:t>
      </w:r>
    </w:p>
    <w:p w14:paraId="6ACD68E9" w14:textId="77777777" w:rsidR="00BB5F5A" w:rsidRDefault="00A94BAD">
      <w:pPr>
        <w:ind w:left="-15"/>
      </w:pPr>
      <w:r>
        <w:t xml:space="preserve">„ II. – Artikli 4 jaotiste I–III kohaldamisel meediateenuse osutajate suhtes ei kohaldata artiklite 4 ja 5 sätteid isikute suhtes, kes on asutatud mõnes teises Euroopa Majanduspiirkonna riigis. </w:t>
      </w:r>
    </w:p>
    <w:p w14:paraId="653E9A7E" w14:textId="77777777" w:rsidR="00BB5F5A" w:rsidRDefault="00A94BAD">
      <w:pPr>
        <w:ind w:left="-15"/>
      </w:pPr>
      <w:r>
        <w:t>„ Kui aga Euroopa Parlamendi ja nõukogu 8. juuni 2000. aasta direktiivi 2000/31/EÜ artikli 3 lõigetes 4–5 osutatud tingimused on täidetud, teavitab haldusasutus nendes sätetes ette nähtud menetluse lõpus isikut tema suhtes kohaldatavatest sätetest, asjakoh</w:t>
      </w:r>
      <w:r>
        <w:t xml:space="preserve">astest karistustest ja asjaomasest teenusest. </w:t>
      </w:r>
    </w:p>
    <w:p w14:paraId="2DB9CAB0" w14:textId="77777777" w:rsidR="00BB5F5A" w:rsidRDefault="00A94BAD">
      <w:pPr>
        <w:spacing w:after="92"/>
        <w:ind w:firstLine="0"/>
      </w:pPr>
      <w:r>
        <w:t xml:space="preserve">„ III. – Selle artikli rakendamise kord määratakse kindlaks riiginõukogu dekreediga. </w:t>
      </w:r>
    </w:p>
    <w:p w14:paraId="4BA17F87" w14:textId="77777777" w:rsidR="00BB5F5A" w:rsidRDefault="00A94BAD">
      <w:pPr>
        <w:ind w:left="-15"/>
      </w:pPr>
      <w:r>
        <w:t xml:space="preserve">„ </w:t>
      </w:r>
      <w:r>
        <w:rPr>
          <w:i/>
        </w:rPr>
        <w:t xml:space="preserve">Artikkel 5-2. – </w:t>
      </w:r>
      <w:r>
        <w:t>Tegemist on eksitava kaubandustavaga tarbijakaitseseadustiku artikli L. 121-3 tähenduses ja nimetatud art</w:t>
      </w:r>
      <w:r>
        <w:t>iklis osutatud tingimustel, kui füüsiline või juriidiline isik, kes tegeleb mõjutamistegevusega seaduse artikli 1 tähenduses, ei märgiks mis tahes kasutatud andmekandjal selgelt, loetavalt ja arusaadavalt oma kaubanduslikku kavatsust, kui see kavatsus ei i</w:t>
      </w:r>
      <w:r>
        <w:t xml:space="preserve">lmne juba kontekstist. </w:t>
      </w:r>
    </w:p>
    <w:p w14:paraId="0DA643B9" w14:textId="77777777" w:rsidR="00BB5F5A" w:rsidRDefault="00A94BAD">
      <w:pPr>
        <w:spacing w:after="149"/>
        <w:ind w:left="-15"/>
      </w:pPr>
      <w:r>
        <w:t xml:space="preserve">„ Kaubanduslikule kavatsusele võib sõnaselgelt viidata mõistete „reklaam“ või „kaubanduslik koostöö“ kasutamisega või samaväärse mõistega, mis on kohandatud mõjutustegevuse omadustele ja kasutatava andmekandja vormingule.“; </w:t>
      </w:r>
    </w:p>
    <w:p w14:paraId="3E80D657" w14:textId="77777777" w:rsidR="00BB5F5A" w:rsidRDefault="00A94BAD">
      <w:pPr>
        <w:spacing w:after="86"/>
        <w:ind w:firstLine="0"/>
      </w:pPr>
      <w:r>
        <w:t>V – Art</w:t>
      </w:r>
      <w:r>
        <w:t xml:space="preserve">ikkel 9 asendatakse järgmiste sätetega: </w:t>
      </w:r>
    </w:p>
    <w:p w14:paraId="6FABA20B" w14:textId="77777777" w:rsidR="00BB5F5A" w:rsidRDefault="00A94BAD">
      <w:pPr>
        <w:ind w:left="-15"/>
      </w:pPr>
      <w:r>
        <w:t xml:space="preserve">„ </w:t>
      </w:r>
      <w:r>
        <w:rPr>
          <w:i/>
        </w:rPr>
        <w:t xml:space="preserve">Artikkel 9. – </w:t>
      </w:r>
      <w:r>
        <w:t>I – Kui nad tegelevad artiklis 1 määratletud tegevusega ja ei ole asutatud Euroopa Liidu liikmesriigi, Šveitsi Konföderatsiooni või Euroopa Majanduspiirkonna territooriumil ning nende sihtrühm asub P</w:t>
      </w:r>
      <w:r>
        <w:t>rantsusmaal, peavad juriidilised või füüsilised isikud, kes tegutsevad iseseisvalt kaubanduskoodeksi artiklites L. 526-6 kuni L. 526-21 või artiklites L. 526-22 kuni L. 526-26 määratletud staatuse alusel, määrama kirjalikult juriidilise või füüsilise isiku</w:t>
      </w:r>
      <w:r>
        <w:t xml:space="preserve">, kes tagab nende seadusliku esindamise Euroopa Liidu territooriumil. </w:t>
      </w:r>
    </w:p>
    <w:p w14:paraId="2674630E" w14:textId="77777777" w:rsidR="00BB5F5A" w:rsidRDefault="00A94BAD">
      <w:pPr>
        <w:ind w:left="-15"/>
      </w:pPr>
      <w:r>
        <w:t>“ Esindamise eesmärk on tagada selliste lepingute nõuetele vastavus, mille eesmärgiks või tagajärjeks on kaubandusliku mõju avaldamine elektrooniliste vahendite abil, mis on suunatud ee</w:t>
      </w:r>
      <w:r>
        <w:t xml:space="preserve">lkõige Prantsuse territooriumil asuvale publikule. Määratud esindaja peab lisaks käesoleva I lõike esimeses lõigus nimetatud isikutele või nende asemel vastama kõigile pädevate haldus- või kohtuasutuste taotlustele käesoleva seaduse järgimiseks. </w:t>
      </w:r>
    </w:p>
    <w:p w14:paraId="5A08C8A8" w14:textId="77777777" w:rsidR="00BB5F5A" w:rsidRDefault="00A94BAD">
      <w:pPr>
        <w:ind w:left="-15"/>
      </w:pPr>
      <w:r>
        <w:t>“ Esimese</w:t>
      </w:r>
      <w:r>
        <w:t xml:space="preserve">s lõigus osutatud isikud annavad selleks määratud isikule vajalikud volitused ja piisavad vahendid, et tagada tõhus koostöö pädevate asutustega käesoleva seaduse järgimiseks. </w:t>
      </w:r>
    </w:p>
    <w:p w14:paraId="1E06B431" w14:textId="77777777" w:rsidR="00BB5F5A" w:rsidRDefault="00A94BAD">
      <w:pPr>
        <w:ind w:left="-15"/>
      </w:pPr>
      <w:r>
        <w:t xml:space="preserve">“ </w:t>
      </w:r>
      <w:r>
        <w:t xml:space="preserve">Esimeses lõigus osutatud isikud edastavad taotluse korral pädevatele haldusasutustele esimese lõigu kohaselt määratud isiku nime, postiaadressi, e-posti aadressi ja telefoninumbri. </w:t>
      </w:r>
    </w:p>
    <w:p w14:paraId="023B8981" w14:textId="77777777" w:rsidR="00BB5F5A" w:rsidRDefault="00A94BAD">
      <w:pPr>
        <w:ind w:firstLine="0"/>
      </w:pPr>
      <w:r>
        <w:t xml:space="preserve">„Kõnealune nimetus ei kujuta endast tegevuskohta Euroopa Liidus.  </w:t>
      </w:r>
    </w:p>
    <w:p w14:paraId="4116DB33" w14:textId="77777777" w:rsidR="00BB5F5A" w:rsidRDefault="00A94BAD">
      <w:pPr>
        <w:ind w:left="-15"/>
      </w:pPr>
      <w:r>
        <w:t xml:space="preserve">“ II – </w:t>
      </w:r>
      <w:r>
        <w:t>Artiklis 1 määratletud tegevusega tegelev isik, kes on asutatud väljaspool Euroopa Liitu, Šveitsi Konföderatsiooni või Euroopa Majanduspiirkonda, on kohustatud sõlmima tsiviilkindlustuse oma tsiviil- ja ametialase vastutuse rahaliste tagajärgede vastu Euro</w:t>
      </w:r>
      <w:r>
        <w:t>opa Liidus asutatud kindlustusandja juures, kui see tegevus on kasvõi juhuslikult suunatud Prantsusmaa territooriumil asuvale sihtrühmale. „III. –  Käesoleva artikli rakendamise kord määratakse kindlaks dekreediga, mis tehakse pärast konsulteerimist riigin</w:t>
      </w:r>
      <w:r>
        <w:t xml:space="preserve">õukoguga.“ </w:t>
      </w:r>
    </w:p>
    <w:p w14:paraId="24E41C5B" w14:textId="77777777" w:rsidR="00BB5F5A" w:rsidRDefault="00A94BAD">
      <w:pPr>
        <w:spacing w:after="45" w:line="259" w:lineRule="auto"/>
        <w:ind w:left="10" w:right="1" w:hanging="10"/>
        <w:jc w:val="center"/>
      </w:pPr>
      <w:r>
        <w:rPr>
          <w:rFonts w:ascii="Calibri" w:hAnsi="Calibri"/>
          <w:b/>
        </w:rPr>
        <w:t xml:space="preserve">Artikkel 2 </w:t>
      </w:r>
    </w:p>
    <w:p w14:paraId="5E209DF5" w14:textId="77777777" w:rsidR="00BB5F5A" w:rsidRDefault="00A94BAD">
      <w:pPr>
        <w:spacing w:after="76" w:line="216" w:lineRule="auto"/>
        <w:ind w:left="-15" w:right="-15"/>
        <w:jc w:val="left"/>
      </w:pPr>
      <w:r>
        <w:lastRenderedPageBreak/>
        <w:t xml:space="preserve">Selle Prantsuse Vabariigi </w:t>
      </w:r>
      <w:r>
        <w:rPr>
          <w:i/>
        </w:rPr>
        <w:t>ametlikus väljaandes</w:t>
      </w:r>
      <w:r>
        <w:t xml:space="preserve"> avaldatava määruse rakendamise eest vastutavad oma vastutusala piires peaminister ning majandus-, rahandus- ja tööstusminister. </w:t>
      </w:r>
    </w:p>
    <w:p w14:paraId="2458A41C" w14:textId="77777777" w:rsidR="00BB5F5A" w:rsidRDefault="00A94BAD">
      <w:pPr>
        <w:ind w:firstLine="0"/>
      </w:pPr>
      <w:r>
        <w:t xml:space="preserve">Vastu võetud 6. novembril 2024. </w:t>
      </w:r>
    </w:p>
    <w:p w14:paraId="779C936B" w14:textId="77777777" w:rsidR="00BB5F5A" w:rsidRDefault="00A94BAD">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A94BAD">
      <w:pPr>
        <w:spacing w:after="73" w:line="259" w:lineRule="auto"/>
        <w:ind w:left="544" w:firstLine="0"/>
        <w:jc w:val="left"/>
      </w:pPr>
      <w:r>
        <w:rPr>
          <w:sz w:val="18"/>
        </w:rPr>
        <w:t xml:space="preserve">Vabariigi Presidendi nimel: </w:t>
      </w:r>
    </w:p>
    <w:p w14:paraId="74F7E8BF" w14:textId="77777777" w:rsidR="00BB5F5A" w:rsidRDefault="00A94BAD" w:rsidP="002F66DB">
      <w:pPr>
        <w:spacing w:after="8" w:line="259" w:lineRule="auto"/>
        <w:ind w:left="0" w:firstLine="544"/>
        <w:jc w:val="left"/>
      </w:pPr>
      <w:r>
        <w:rPr>
          <w:i/>
        </w:rPr>
        <w:t xml:space="preserve">peaminister, </w:t>
      </w:r>
    </w:p>
    <w:p w14:paraId="65A8D155" w14:textId="77777777" w:rsidR="00BB5F5A" w:rsidRDefault="00A94BAD" w:rsidP="002F66DB">
      <w:pPr>
        <w:pStyle w:val="Heading1"/>
        <w:spacing w:after="47"/>
        <w:ind w:left="206" w:right="0" w:firstLine="338"/>
      </w:pPr>
      <w:r>
        <w:rPr>
          <w:sz w:val="22"/>
        </w:rPr>
        <w:t>M</w:t>
      </w:r>
      <w:r>
        <w:t xml:space="preserve">ICHEL </w:t>
      </w:r>
      <w:r>
        <w:rPr>
          <w:sz w:val="22"/>
        </w:rPr>
        <w:t>B</w:t>
      </w:r>
      <w:r>
        <w:t xml:space="preserve">ARNIER </w:t>
      </w:r>
    </w:p>
    <w:p w14:paraId="1873A417" w14:textId="2CF6FE33" w:rsidR="00BB5F5A" w:rsidRDefault="00A94BAD">
      <w:pPr>
        <w:spacing w:after="54" w:line="216" w:lineRule="auto"/>
        <w:ind w:left="7307" w:firstLine="0"/>
        <w:jc w:val="center"/>
      </w:pPr>
      <w:r>
        <w:rPr>
          <w:i/>
        </w:rPr>
        <w:t>majandus-, rahand</w:t>
      </w:r>
      <w:r>
        <w:rPr>
          <w:i/>
        </w:rPr>
        <w:t xml:space="preserve">us- ja tööstusminister, </w:t>
      </w:r>
    </w:p>
    <w:p w14:paraId="276AC3A6" w14:textId="23F96FBD" w:rsidR="00BB5F5A" w:rsidRDefault="00A94BAD">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BBDA" w14:textId="77777777" w:rsidR="00A94BAD" w:rsidRDefault="00A94BAD">
      <w:pPr>
        <w:spacing w:after="0" w:line="240" w:lineRule="auto"/>
      </w:pPr>
      <w:r>
        <w:separator/>
      </w:r>
    </w:p>
  </w:endnote>
  <w:endnote w:type="continuationSeparator" w:id="0">
    <w:p w14:paraId="026DD8C6" w14:textId="77777777" w:rsidR="00A94BAD" w:rsidRDefault="00A9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F1DA" w14:textId="77777777" w:rsidR="00A94BAD" w:rsidRDefault="00A94BAD">
      <w:pPr>
        <w:spacing w:after="0" w:line="240" w:lineRule="auto"/>
      </w:pPr>
      <w:r>
        <w:separator/>
      </w:r>
    </w:p>
  </w:footnote>
  <w:footnote w:type="continuationSeparator" w:id="0">
    <w:p w14:paraId="03CE53A7" w14:textId="77777777" w:rsidR="00A94BAD" w:rsidRDefault="00A94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A94BAD">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PRANTSUSE VABARIIGI AMETLIK VÄLJAANNE</w:t>
    </w:r>
    <w:r>
      <w:rPr>
        <w:rFonts w:ascii="Calibri" w:hAnsi="Calibri"/>
        <w:color w:val="0060B0"/>
        <w:sz w:val="18"/>
      </w:rPr>
      <w:tab/>
    </w:r>
    <w:r>
      <w:rPr>
        <w:rFonts w:ascii="Calibri" w:hAnsi="Calibri"/>
        <w:sz w:val="16"/>
      </w:rPr>
      <w:t xml:space="preserve">Tekst 18 / 120 </w:t>
    </w:r>
  </w:p>
  <w:p w14:paraId="7D2344F0" w14:textId="77777777" w:rsidR="00BB5F5A" w:rsidRDefault="00A94BAD">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A94BAD">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PRANTSUSE VABARIIGI AMETLIK VÄLJAANNE</w:t>
    </w:r>
    <w:r>
      <w:rPr>
        <w:rFonts w:ascii="Calibri" w:hAnsi="Calibri"/>
        <w:color w:val="0060B0"/>
        <w:sz w:val="18"/>
      </w:rPr>
      <w:tab/>
    </w:r>
    <w:r>
      <w:rPr>
        <w:rFonts w:ascii="Calibri" w:hAnsi="Calibri"/>
        <w:sz w:val="16"/>
      </w:rPr>
      <w:t xml:space="preserve">Tekst 18 / 120 </w:t>
    </w:r>
  </w:p>
  <w:p w14:paraId="03F43403" w14:textId="77777777" w:rsidR="00BB5F5A" w:rsidRDefault="00A94BAD">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A94BAD">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PRANTSUSE VABARIIGI AMETLIK VÄLJAANNE</w:t>
    </w:r>
    <w:r>
      <w:rPr>
        <w:rFonts w:ascii="Calibri" w:hAnsi="Calibri"/>
        <w:color w:val="0060B0"/>
        <w:sz w:val="18"/>
      </w:rPr>
      <w:tab/>
    </w:r>
    <w:r>
      <w:rPr>
        <w:rFonts w:ascii="Calibri" w:hAnsi="Calibri"/>
        <w:sz w:val="16"/>
      </w:rPr>
      <w:t xml:space="preserve">Tekst 18 / 120 </w:t>
    </w:r>
  </w:p>
  <w:p w14:paraId="3D44B973" w14:textId="77777777" w:rsidR="00BB5F5A" w:rsidRDefault="00A94BAD">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2F66DB"/>
    <w:rsid w:val="00A94BAD"/>
    <w:rsid w:val="00AC55CF"/>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12048</Characters>
  <Application>Microsoft Office Word</Application>
  <DocSecurity>0</DocSecurity>
  <Lines>167</Lines>
  <Paragraphs>86</Paragraphs>
  <ScaleCrop>false</ScaleCrop>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2024-12-17T14:40:00Z</dcterms:created>
  <dcterms:modified xsi:type="dcterms:W3CDTF">2024-12-17T14:40:00Z</dcterms:modified>
</cp:coreProperties>
</file>