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4919" w14:textId="77777777" w:rsidR="00BB5F5A" w:rsidRDefault="0066686B">
      <w:pPr>
        <w:spacing w:after="324" w:line="259" w:lineRule="auto"/>
        <w:ind w:left="0" w:right="1" w:firstLine="0"/>
        <w:jc w:val="center"/>
      </w:pPr>
      <w:r>
        <w:rPr>
          <w:rFonts w:ascii="Calibri" w:hAnsi="Calibri"/>
          <w:color w:val="0093D1"/>
          <w:sz w:val="43"/>
        </w:rPr>
        <w:t xml:space="preserve">Decretos, portarias, circulares </w:t>
      </w:r>
    </w:p>
    <w:p w14:paraId="4AC62185" w14:textId="77777777" w:rsidR="00BB5F5A" w:rsidRDefault="0066686B">
      <w:pPr>
        <w:spacing w:after="420" w:line="259" w:lineRule="auto"/>
        <w:ind w:left="0" w:right="1" w:firstLine="0"/>
        <w:jc w:val="center"/>
      </w:pPr>
      <w:r>
        <w:rPr>
          <w:rFonts w:ascii="Calibri" w:hAnsi="Calibri"/>
          <w:color w:val="393C96"/>
          <w:sz w:val="28"/>
        </w:rPr>
        <w:t xml:space="preserve">TEXTOS GERAIS </w:t>
      </w:r>
    </w:p>
    <w:p w14:paraId="2E00BDAA" w14:textId="77777777" w:rsidR="00BB5F5A" w:rsidRDefault="0066686B">
      <w:pPr>
        <w:pStyle w:val="Heading1"/>
        <w:spacing w:after="273"/>
        <w:ind w:right="0"/>
        <w:jc w:val="center"/>
      </w:pPr>
      <w:r>
        <w:rPr>
          <w:rFonts w:ascii="Calibri" w:hAnsi="Calibri"/>
          <w:b/>
          <w:color w:val="393C96"/>
          <w:sz w:val="20"/>
        </w:rPr>
        <w:t xml:space="preserve">MINISTÉRIO DA ECONOMIA, FINANÇAS E INDÚSTRIA </w:t>
      </w:r>
    </w:p>
    <w:p w14:paraId="6D78EE22" w14:textId="77777777" w:rsidR="00BB5F5A" w:rsidRDefault="0066686B">
      <w:pPr>
        <w:spacing w:after="130" w:line="216" w:lineRule="auto"/>
        <w:ind w:right="1" w:hanging="215"/>
      </w:pPr>
      <w:r>
        <w:rPr>
          <w:rFonts w:ascii="Calibri" w:hAnsi="Calibri"/>
          <w:b/>
          <w:color w:val="5C5D61"/>
        </w:rPr>
        <w:t xml:space="preserve">Portaria n.º 2024-978, de 6 de novembro de 2024, que altera a Lei n.º 2023-451, de 9 de junho de 2023, destinada a regulamentar a influência comercial e a combater os abusos dos influenciadores nas redes sociais </w:t>
      </w:r>
    </w:p>
    <w:p w14:paraId="53548437" w14:textId="77777777" w:rsidR="00BB5F5A" w:rsidRDefault="0066686B">
      <w:pPr>
        <w:spacing w:after="317" w:line="259" w:lineRule="auto"/>
        <w:ind w:left="0" w:right="1" w:firstLine="0"/>
        <w:jc w:val="center"/>
      </w:pPr>
      <w:r>
        <w:rPr>
          <w:rFonts w:ascii="Calibri" w:hAnsi="Calibri"/>
          <w:color w:val="2053A6"/>
          <w:sz w:val="16"/>
        </w:rPr>
        <w:t xml:space="preserve">NOR: </w:t>
      </w:r>
      <w:r>
        <w:rPr>
          <w:rFonts w:ascii="Calibri" w:hAnsi="Calibri"/>
          <w:i/>
          <w:sz w:val="16"/>
        </w:rPr>
        <w:t xml:space="preserve">ECOI2418969R </w:t>
      </w:r>
    </w:p>
    <w:p w14:paraId="6C61012D" w14:textId="77777777" w:rsidR="00BB5F5A" w:rsidRDefault="0066686B">
      <w:pPr>
        <w:ind w:firstLine="0"/>
      </w:pPr>
      <w:r>
        <w:t>O Presidente da Repúblic</w:t>
      </w:r>
      <w:r>
        <w:t xml:space="preserve">a </w:t>
      </w:r>
    </w:p>
    <w:p w14:paraId="60771B53" w14:textId="77777777" w:rsidR="00BB5F5A" w:rsidRDefault="0066686B">
      <w:pPr>
        <w:spacing w:after="88"/>
        <w:ind w:firstLine="0"/>
      </w:pPr>
      <w:r>
        <w:t xml:space="preserve">Sobre o relatório do Primeiro-Ministro e do Ministro da Economia, das Finanças e da Indústria, </w:t>
      </w:r>
    </w:p>
    <w:p w14:paraId="54602248" w14:textId="77777777" w:rsidR="00BB5F5A" w:rsidRDefault="0066686B">
      <w:pPr>
        <w:spacing w:after="30"/>
        <w:ind w:firstLine="0"/>
      </w:pPr>
      <w:r>
        <w:t xml:space="preserve">Tendo em conta a Constituição, nomeadamente o artigo 38.º; </w:t>
      </w:r>
    </w:p>
    <w:p w14:paraId="071009EA" w14:textId="77777777" w:rsidR="00BB5F5A" w:rsidRDefault="0066686B">
      <w:pPr>
        <w:spacing w:after="24"/>
        <w:ind w:left="-15"/>
      </w:pPr>
      <w:r>
        <w:t xml:space="preserve">Tendo em conta a Diretiva 2000/31/CE do Parlamento Europeu e do Conselho, de 8 de junho de 2000, </w:t>
      </w:r>
      <w:r>
        <w:t xml:space="preserve">relativa a certos aspetos legais dos serviços da sociedade de informação, em especial do comércio eletrónico, no mercado interno («Diretiva sobre o comércio eletrónico»); </w:t>
      </w:r>
    </w:p>
    <w:p w14:paraId="0D58FCC0" w14:textId="77777777" w:rsidR="00BB5F5A" w:rsidRDefault="0066686B">
      <w:pPr>
        <w:spacing w:after="24"/>
        <w:ind w:left="-15"/>
      </w:pPr>
      <w:r>
        <w:t>Tendo em conta a Diretiva 2005/29/CE do Parlamento Europeu e do Conselho, de 11 de m</w:t>
      </w:r>
      <w:r>
        <w:t>aio de 2005, relativa às práticas comerciais desleais das empresas face aos consumidores no mercado interno e que altera a Diretiva 84/450/CEE do Conselho, as Diretivas 97/7/CE, 98/27/CE e 2002/65/CE do Parlamento Europeu e do Conselho e o Regulamento (CE)</w:t>
      </w:r>
      <w:r>
        <w:t xml:space="preserve"> n.º 2006/2004 do Parlamento Europeu e do Conselho («Diretiva relativa às práticas comerciais desleais»). </w:t>
      </w:r>
    </w:p>
    <w:p w14:paraId="29E501B5" w14:textId="77777777" w:rsidR="00BB5F5A" w:rsidRDefault="0066686B">
      <w:pPr>
        <w:spacing w:after="23"/>
        <w:ind w:left="-15"/>
      </w:pPr>
      <w:r>
        <w:t>Tendo em conta a Diretiva 2010/13/UE do Parlamento Europeu e do Conselho, de 10 de março de 2010, relativa à coordenação de certas disposições legisl</w:t>
      </w:r>
      <w:r>
        <w:t xml:space="preserve">ativas, regulamentares e administrativas dos Estados-Membros respeitantes à oferta de serviços de comunicação social audiovisual (Diretiva Serviços de Comunicação Social Audiovisual); </w:t>
      </w:r>
    </w:p>
    <w:p w14:paraId="517F39D2" w14:textId="77777777" w:rsidR="00BB5F5A" w:rsidRDefault="0066686B">
      <w:pPr>
        <w:ind w:left="-15"/>
      </w:pPr>
      <w:r>
        <w:t>Tendo em conta a Diretiva (UE) 2015/1535 do Parlamento Europeu e do Con</w:t>
      </w:r>
      <w:r>
        <w:t xml:space="preserve">selho, de 9 de setembro de 2015, relativa a um procedimento de informação no domínio das regulamentações técnicas e das regras relativas aos serviços da sociedade da informação, </w:t>
      </w:r>
    </w:p>
    <w:p w14:paraId="18DA088E" w14:textId="77777777" w:rsidR="00BB5F5A" w:rsidRDefault="0066686B">
      <w:pPr>
        <w:spacing w:after="30"/>
        <w:ind w:firstLine="0"/>
      </w:pPr>
      <w:r>
        <w:t>Tendo em conta o Código de Justiça Administrativa, nomeadamente o Artigo R. 1</w:t>
      </w:r>
      <w:r>
        <w:t xml:space="preserve">23-20; </w:t>
      </w:r>
    </w:p>
    <w:p w14:paraId="7F86EC33" w14:textId="77777777" w:rsidR="00BB5F5A" w:rsidRDefault="0066686B">
      <w:pPr>
        <w:spacing w:after="25"/>
        <w:ind w:left="-15"/>
      </w:pPr>
      <w:r>
        <w:t xml:space="preserve">Tendo em conta a Lei n.º 2023-451, de 9 de junho de 2023, destinada a regular a influência comercial e a combater os abusos dos influenciadores nas redes sociais; </w:t>
      </w:r>
    </w:p>
    <w:p w14:paraId="76205EB4" w14:textId="77777777" w:rsidR="00BB5F5A" w:rsidRDefault="0066686B">
      <w:pPr>
        <w:ind w:left="-15"/>
      </w:pPr>
      <w:r>
        <w:t>Tendo em conta a Lei n.º 2024-364, de 22 de abril de 2024, que estabelece diversas disposiçõ</w:t>
      </w:r>
      <w:r>
        <w:t xml:space="preserve">es de adaptação ao direito da União Europeia em matéria de economia, finanças, transição ecológica, direito penal, direito social e agricultura, nomeadamente o artigo 3.º; </w:t>
      </w:r>
    </w:p>
    <w:p w14:paraId="52DE1B19" w14:textId="77777777" w:rsidR="00BB5F5A" w:rsidRDefault="0066686B">
      <w:pPr>
        <w:ind w:firstLine="0"/>
      </w:pPr>
      <w:r>
        <w:t>Tendo em conta a notificação n.º 2024/0379/F enviada à Comissão Europeia em 3 de ju</w:t>
      </w:r>
      <w:r>
        <w:t xml:space="preserve">lho de 2024; </w:t>
      </w:r>
    </w:p>
    <w:p w14:paraId="2DC263BA" w14:textId="77777777" w:rsidR="00BB5F5A" w:rsidRDefault="0066686B">
      <w:pPr>
        <w:spacing w:after="214"/>
        <w:ind w:right="5040" w:firstLine="0"/>
      </w:pPr>
      <w:r>
        <w:t xml:space="preserve">Tendo ouvido o Conselho de Estado (Secção Financeira), tendo ouvido o Conselho de Ministros, </w:t>
      </w:r>
    </w:p>
    <w:p w14:paraId="1578A1A7" w14:textId="77777777" w:rsidR="00BB5F5A" w:rsidRDefault="0066686B">
      <w:pPr>
        <w:spacing w:after="146"/>
        <w:ind w:left="1077" w:firstLine="0"/>
      </w:pPr>
      <w:r>
        <w:t xml:space="preserve">Decreta: </w:t>
      </w:r>
    </w:p>
    <w:p w14:paraId="4FDE374B" w14:textId="77777777" w:rsidR="00BB5F5A" w:rsidRDefault="0066686B">
      <w:pPr>
        <w:spacing w:after="105" w:line="259" w:lineRule="auto"/>
        <w:ind w:left="10" w:right="1" w:hanging="10"/>
        <w:jc w:val="center"/>
      </w:pPr>
      <w:r>
        <w:rPr>
          <w:rFonts w:ascii="Calibri" w:hAnsi="Calibri"/>
          <w:b/>
        </w:rPr>
        <w:t>Artigo 1.º</w:t>
      </w:r>
      <w:r>
        <w:rPr>
          <w:rFonts w:ascii="Calibri" w:hAnsi="Calibri"/>
          <w:b/>
          <w:sz w:val="17"/>
          <w:vertAlign w:val="superscript"/>
        </w:rPr>
        <w:t xml:space="preserve"> </w:t>
      </w:r>
    </w:p>
    <w:p w14:paraId="1AFC17DB" w14:textId="77777777" w:rsidR="00BB5F5A" w:rsidRDefault="0066686B">
      <w:pPr>
        <w:spacing w:after="119"/>
        <w:ind w:left="-15"/>
      </w:pPr>
      <w:r>
        <w:t>A Lei n.º 2023-451, de 9 de junho de 2023, que visa regular a influência comercial e combater os abusos de influenciadores nas</w:t>
      </w:r>
      <w:r>
        <w:t xml:space="preserve"> redes sociais, é alterada do seguinte modo: </w:t>
      </w:r>
    </w:p>
    <w:p w14:paraId="542BFDB4" w14:textId="77777777" w:rsidR="00BB5F5A" w:rsidRDefault="0066686B">
      <w:pPr>
        <w:numPr>
          <w:ilvl w:val="0"/>
          <w:numId w:val="1"/>
        </w:numPr>
        <w:spacing w:after="85"/>
        <w:ind w:hanging="305"/>
      </w:pPr>
      <w:r>
        <w:t xml:space="preserve">– O artigo 1.º é substituído pelas seguintes disposições: </w:t>
      </w:r>
    </w:p>
    <w:p w14:paraId="36B0D7BB" w14:textId="77777777" w:rsidR="00BB5F5A" w:rsidRDefault="0066686B">
      <w:pPr>
        <w:spacing w:after="135"/>
        <w:ind w:left="-15"/>
      </w:pPr>
      <w:r>
        <w:t xml:space="preserve">« </w:t>
      </w:r>
      <w:r>
        <w:rPr>
          <w:i/>
        </w:rPr>
        <w:t xml:space="preserve">‘Artigo 1.º. – </w:t>
      </w:r>
      <w:r>
        <w:t>As pessoas singulares ou coletivas que, a título oneroso, utilizam a sua reputação junto do seu público para comunicar ao público, por</w:t>
      </w:r>
      <w:r>
        <w:t xml:space="preserve"> via eletrónica, conteúdos destinados a promover, direta ou indiretamente, bens, serviços ou qualquer causa, exercem uma atividade de influência comercial por via eletrónica.»; </w:t>
      </w:r>
    </w:p>
    <w:p w14:paraId="3950E5A5" w14:textId="77777777" w:rsidR="00BB5F5A" w:rsidRDefault="0066686B">
      <w:pPr>
        <w:numPr>
          <w:ilvl w:val="0"/>
          <w:numId w:val="1"/>
        </w:numPr>
        <w:spacing w:after="79"/>
        <w:ind w:hanging="305"/>
      </w:pPr>
      <w:r>
        <w:t xml:space="preserve">– O artigo 4.º passa a ter a seguinte redação: </w:t>
      </w:r>
    </w:p>
    <w:p w14:paraId="6F86B412" w14:textId="77777777" w:rsidR="00BB5F5A" w:rsidRDefault="0066686B">
      <w:pPr>
        <w:ind w:left="-15"/>
      </w:pPr>
      <w:r>
        <w:t xml:space="preserve">» </w:t>
      </w:r>
      <w:r>
        <w:rPr>
          <w:i/>
        </w:rPr>
        <w:t xml:space="preserve">Artigo 4.º –  </w:t>
      </w:r>
      <w:r>
        <w:t>I. – É proibid</w:t>
      </w:r>
      <w:r>
        <w:t xml:space="preserve">a qualquer promoção, direta ou indireta, de atos, processos, técnicas e métodos com uma finalidade estética que possam pôr em risco a saúde das pessoas referidas no artigo L. 1151-2 do Código da </w:t>
      </w:r>
      <w:r>
        <w:lastRenderedPageBreak/>
        <w:t>Saúde Pública e nas intervenções referidas no artigo L. 6322-</w:t>
      </w:r>
      <w:r>
        <w:t xml:space="preserve">1 do mesmo código para as pessoas que exerçam uma atividade de influência comercial por via eletrónica. </w:t>
      </w:r>
    </w:p>
    <w:p w14:paraId="1DB6FB2C" w14:textId="77777777" w:rsidR="00BB5F5A" w:rsidRDefault="0066686B">
      <w:pPr>
        <w:ind w:left="-15"/>
      </w:pPr>
      <w:r>
        <w:t>«II. – É proibida qualquer promoção, direta ou indireta, de produtos, atos, processos, técnicas e métodos não terapêuticos apresentados como comparávei</w:t>
      </w:r>
      <w:r>
        <w:t xml:space="preserve">s ou preferíveis a atos, protocolos ou receitas terapêuticos ou a substituições de tais atos, protocolos ou receitas terapêuticas para as pessoas que exerçam uma atividade de influência comercial por via eletrónica. </w:t>
      </w:r>
    </w:p>
    <w:p w14:paraId="0FCE785E" w14:textId="77777777" w:rsidR="00BB5F5A" w:rsidRDefault="0066686B">
      <w:pPr>
        <w:ind w:left="-15"/>
      </w:pPr>
      <w:r>
        <w:t>«III. – É proibida qualquer promoção, d</w:t>
      </w:r>
      <w:r>
        <w:t xml:space="preserve">ireta ou indireta, de produtos considerados como nicotina que possam ser consumidos e sejam fabricados a partir de nicotina, mesmo parcial, para as pessoas que exerçam uma atividade de influência comercial por via eletrónica. </w:t>
      </w:r>
    </w:p>
    <w:p w14:paraId="7EEC5628" w14:textId="77777777" w:rsidR="00BB5F5A" w:rsidRDefault="0066686B">
      <w:pPr>
        <w:spacing w:after="130"/>
        <w:ind w:left="-15"/>
      </w:pPr>
      <w:r>
        <w:t>«IV. – É proibida qualquer pr</w:t>
      </w:r>
      <w:r>
        <w:t>omoção, direta ou indireta, de animais não incluídos na lista referida no ponto I do artigo L. 413-1 A do Código do Ambiente para as pessoas que exerçam a atividade de influência comercial por via eletrónica. Esta proibição não se aplica aos estabeleciment</w:t>
      </w:r>
      <w:r>
        <w:t xml:space="preserve">os autorizados a manter esses animais em conformidade com o artigo L. 413-3 do referido código. </w:t>
      </w:r>
    </w:p>
    <w:p w14:paraId="4BB23C95" w14:textId="77777777" w:rsidR="00BB5F5A" w:rsidRDefault="0066686B">
      <w:pPr>
        <w:spacing w:after="77"/>
        <w:ind w:left="-15"/>
      </w:pPr>
      <w:r>
        <w:t>«V. – É proibida qualquer promoção, direta ou indireta, dos seguintes produtos e serviços financeiros para pessoas que exerçam uma atividade de influência come</w:t>
      </w:r>
      <w:r>
        <w:t xml:space="preserve">rcial por via eletrónica:  </w:t>
      </w:r>
    </w:p>
    <w:p w14:paraId="0FCB0A4E" w14:textId="77777777" w:rsidR="00BB5F5A" w:rsidRDefault="0066686B">
      <w:pPr>
        <w:ind w:firstLine="0"/>
      </w:pPr>
      <w:r>
        <w:t>«1</w:t>
      </w:r>
      <w:r>
        <w:rPr>
          <w:sz w:val="17"/>
          <w:vertAlign w:val="superscript"/>
        </w:rPr>
        <w:t>o</w:t>
      </w:r>
      <w:r>
        <w:t xml:space="preserve"> Os contratos financeiros definidos no artigo L. 533-12-7 do Código Monetário e Financeiro; </w:t>
      </w:r>
    </w:p>
    <w:p w14:paraId="7B571492" w14:textId="77777777" w:rsidR="00BB5F5A" w:rsidRDefault="0066686B">
      <w:pPr>
        <w:spacing w:after="34"/>
        <w:ind w:left="-15"/>
      </w:pPr>
      <w:r>
        <w:t>«2</w:t>
      </w:r>
      <w:r>
        <w:rPr>
          <w:sz w:val="17"/>
          <w:vertAlign w:val="superscript"/>
        </w:rPr>
        <w:t xml:space="preserve">o </w:t>
      </w:r>
      <w:r>
        <w:t>A prestação de serviços de ativos digitais, na aceção do artigo L. 54-10-2 do referido código, com exceção daqueles para os quais o anunciante está registado nas condições previstas no artigo L. 54-10-3 do mesmo código ou autorizado nas condições previstas</w:t>
      </w:r>
      <w:r>
        <w:t xml:space="preserve"> no artigo L. 54-10-5 do presente código; </w:t>
      </w:r>
    </w:p>
    <w:p w14:paraId="56BD14C2" w14:textId="77777777" w:rsidR="00BB5F5A" w:rsidRDefault="0066686B">
      <w:pPr>
        <w:spacing w:after="31"/>
        <w:ind w:left="-15"/>
      </w:pPr>
      <w:r>
        <w:t>«3</w:t>
      </w:r>
      <w:r>
        <w:rPr>
          <w:sz w:val="17"/>
          <w:vertAlign w:val="superscript"/>
        </w:rPr>
        <w:t>o</w:t>
      </w:r>
      <w:r>
        <w:t xml:space="preserve"> Ofertas públicas de autenticação, na aceção do artigo L. 552-3 do mesmo código, exceto se o anunciante tiver obtido o visto previsto no artigo L. 552-4 do presente código; </w:t>
      </w:r>
    </w:p>
    <w:p w14:paraId="2ED229B9" w14:textId="77777777" w:rsidR="00BB5F5A" w:rsidRDefault="0066686B">
      <w:pPr>
        <w:ind w:left="-15"/>
      </w:pPr>
      <w:r>
        <w:t>«4</w:t>
      </w:r>
      <w:r>
        <w:rPr>
          <w:sz w:val="17"/>
          <w:vertAlign w:val="superscript"/>
        </w:rPr>
        <w:t>o</w:t>
      </w:r>
      <w:r>
        <w:t xml:space="preserve"> Ativos digitais, exceto os relac</w:t>
      </w:r>
      <w:r>
        <w:t>ionados com serviços para cuja prestação o anunciante está registado nas condições estabelecidas no artigo L. 54-10-3 do referido código ou aprovado nas condições previstas no artigo L. 54-10-5 do presente código, a saber, quando o anunciante não está abra</w:t>
      </w:r>
      <w:r>
        <w:t xml:space="preserve">ngido pelo âmbito de aplicação dos artigos L. 54-10-3 e L. 54-10-5 do mesmo código. </w:t>
      </w:r>
    </w:p>
    <w:p w14:paraId="4F97707A" w14:textId="77777777" w:rsidR="00BB5F5A" w:rsidRDefault="0066686B">
      <w:pPr>
        <w:ind w:left="-15"/>
      </w:pPr>
      <w:r>
        <w:t>» «As infrações ao disposto no presente V estão sujeitas às sanções previstas no quinto parágrafo do artigo L. 222-16-1 e no penúltimo parágrafo do artigo L. L. 222-16-2 d</w:t>
      </w:r>
      <w:r>
        <w:t xml:space="preserve">o Código do Consumo. </w:t>
      </w:r>
    </w:p>
    <w:p w14:paraId="7FC2E317" w14:textId="77777777" w:rsidR="00BB5F5A" w:rsidRDefault="0066686B">
      <w:pPr>
        <w:ind w:left="-15"/>
      </w:pPr>
      <w:r>
        <w:t xml:space="preserve">» VI. – É proibida qualquer promoção, direta ou indireta, de assinaturas de dicas ou apostas desportivas para pessoas que exerçam uma atividade de influência comercial por via eletrónica. </w:t>
      </w:r>
    </w:p>
    <w:p w14:paraId="728EE356" w14:textId="77777777" w:rsidR="00BB5F5A" w:rsidRDefault="0066686B">
      <w:pPr>
        <w:ind w:left="-15"/>
      </w:pPr>
      <w:r>
        <w:t>«VII. –  As comunicações comerciais por via e</w:t>
      </w:r>
      <w:r>
        <w:t>letrónica efetuadas pelas pessoas referidas no artigo 1.º da presente lei relativas aos jogos de azar, na aceção dos artigos L. 320-1 e L. 320-6 do Código da Segurança Interna, só são autorizadas nas plataformas em linha que ofereçam a possibilidade técnic</w:t>
      </w:r>
      <w:r>
        <w:t xml:space="preserve">a de excluir do público desses conteúdos todos os utilizadores com menos de dezoito anos de idade e se esse mecanismo de exclusão for efetivamente ativado por essas pessoas. </w:t>
      </w:r>
    </w:p>
    <w:p w14:paraId="6EB44F5A" w14:textId="77777777" w:rsidR="00BB5F5A" w:rsidRDefault="0066686B">
      <w:pPr>
        <w:ind w:left="-15"/>
      </w:pPr>
      <w:r>
        <w:t>«Essas comunicações comerciais devem ser acompanhadas de uma referência à proibiç</w:t>
      </w:r>
      <w:r>
        <w:t xml:space="preserve">ão de tais conteúdos para as pessoas com menos de 18 anos de idade.  Esta declaração deve ser clara, legível e compreensível em qualquer suporte utilizado. </w:t>
      </w:r>
    </w:p>
    <w:p w14:paraId="16552C4E" w14:textId="77777777" w:rsidR="00BB5F5A" w:rsidRDefault="0066686B">
      <w:pPr>
        <w:ind w:left="-15"/>
      </w:pPr>
      <w:r>
        <w:t>«Os mecanismos de exclusão previstos no presente VII devem respeitar um quadro de referência elabor</w:t>
      </w:r>
      <w:r>
        <w:t xml:space="preserve">ado pela Autoridade Reguladora da Comunicação Audiovisual e Digital, após consulta da Autoridade Nacional dos Jogos e da Comissão Nacional de Informática e Liberdades.  </w:t>
      </w:r>
    </w:p>
    <w:p w14:paraId="5C916282" w14:textId="77777777" w:rsidR="00BB5F5A" w:rsidRDefault="0066686B">
      <w:pPr>
        <w:ind w:left="-15"/>
      </w:pPr>
      <w:r>
        <w:t>«Os contratos de promoção celebrados com operadores de jogos de azar devem incluir uma</w:t>
      </w:r>
      <w:r>
        <w:t xml:space="preserve"> cláusula pela qual as pessoas definidas no artigo 1.º da presente lei certificam que se familiarizaram com as disposições legislativas e regulamentares aplicáveis às comunicações comerciais relativas aos jogos de fortuna ou azar e se comprometem a respeit</w:t>
      </w:r>
      <w:r>
        <w:t xml:space="preserve">á-las.  </w:t>
      </w:r>
    </w:p>
    <w:p w14:paraId="507CFB94" w14:textId="77777777" w:rsidR="00BB5F5A" w:rsidRDefault="0066686B">
      <w:pPr>
        <w:spacing w:after="122"/>
        <w:ind w:left="-15"/>
      </w:pPr>
      <w:r>
        <w:t xml:space="preserve">«As infrações às disposições do presente VII são punidas com a coima prevista no artigo L. 324-8-1 do Código da Segurança Interna.  </w:t>
      </w:r>
    </w:p>
    <w:p w14:paraId="65CC3B40" w14:textId="77777777" w:rsidR="00BB5F5A" w:rsidRDefault="0066686B">
      <w:pPr>
        <w:spacing w:after="93"/>
        <w:ind w:firstLine="0"/>
      </w:pPr>
      <w:r>
        <w:t>« VIII. – Após o ponto 2 do Artigo L. 6323-8-1, do Código do Trabalho, é inserido um parágrafo com a seguinte reda</w:t>
      </w:r>
      <w:r>
        <w:t xml:space="preserve">ção: </w:t>
      </w:r>
    </w:p>
    <w:p w14:paraId="6709E1F6" w14:textId="77777777" w:rsidR="00BB5F5A" w:rsidRDefault="0066686B">
      <w:pPr>
        <w:ind w:left="-15"/>
      </w:pPr>
      <w:r>
        <w:t xml:space="preserve">«É igualmente proibida a venda ou a oferta promocional de um produto ou qualquer pagamento em contrapartida da subscrição de programas referidos no mesmo artigo L. 6323-6.» </w:t>
      </w:r>
    </w:p>
    <w:p w14:paraId="012E80CC" w14:textId="77777777" w:rsidR="00BB5F5A" w:rsidRDefault="0066686B">
      <w:pPr>
        <w:ind w:left="-15"/>
      </w:pPr>
      <w:r>
        <w:t xml:space="preserve">« IX. – A violação das disposições I a IV e VI do presente artigo é punível </w:t>
      </w:r>
      <w:r>
        <w:t xml:space="preserve">com a sanção prevista no artigo L. 132-2 do Código do Consumidor. </w:t>
      </w:r>
    </w:p>
    <w:p w14:paraId="700FD132" w14:textId="77777777" w:rsidR="00BB5F5A" w:rsidRDefault="0066686B">
      <w:pPr>
        <w:spacing w:after="143"/>
        <w:ind w:left="-15"/>
      </w:pPr>
      <w:r>
        <w:t>« Relativamente a estas infrações e à infração prevista no ponto VII, o infrator pode igualmente ser proibido, a título definitivo ou temporário, de acordo com os procedimentos previstos no</w:t>
      </w:r>
      <w:r>
        <w:t xml:space="preserve"> artigo 131.º-27 do Código Penal, de exercer a atividade profissional ou social em cujo exercício o crime foi cometido ou a atividade de influência comercial por via eletrónica definida no artigo 1.º da presente lei. </w:t>
      </w:r>
    </w:p>
    <w:p w14:paraId="29D9691F" w14:textId="77777777" w:rsidR="00BB5F5A" w:rsidRDefault="0066686B">
      <w:pPr>
        <w:spacing w:after="81"/>
        <w:ind w:firstLine="0"/>
      </w:pPr>
      <w:r>
        <w:lastRenderedPageBreak/>
        <w:t xml:space="preserve">« X. – A seguir ao ponto 31 do artigo </w:t>
      </w:r>
      <w:r>
        <w:t xml:space="preserve">L. 511-7 do Código do Consumidor, ponto 32 é inserido o seguinte: </w:t>
      </w:r>
    </w:p>
    <w:p w14:paraId="14A29651" w14:textId="77777777" w:rsidR="00BB5F5A" w:rsidRDefault="0066686B">
      <w:pPr>
        <w:spacing w:after="0" w:line="302" w:lineRule="auto"/>
        <w:ind w:left="-15" w:right="-15"/>
        <w:jc w:val="left"/>
      </w:pPr>
      <w:r>
        <w:t>«ponto 32 Pelo V do artigo 4.º da Lei n.º 2023-451, de 9 de junho de 2023, destinada a regular a influência comercial e a combater os abusos dos influenciadores nas redes sociais.»; III. – </w:t>
      </w:r>
      <w:r>
        <w:t xml:space="preserve"> O artigo 5.º é substituído pelas disposições seguintes: </w:t>
      </w:r>
    </w:p>
    <w:p w14:paraId="3C6D62EA" w14:textId="77777777" w:rsidR="00BB5F5A" w:rsidRDefault="0066686B">
      <w:pPr>
        <w:ind w:left="-15"/>
      </w:pPr>
      <w:r>
        <w:t xml:space="preserve">« </w:t>
      </w:r>
      <w:r>
        <w:rPr>
          <w:i/>
        </w:rPr>
        <w:t xml:space="preserve">Artigo 5.º – </w:t>
      </w:r>
      <w:r>
        <w:t xml:space="preserve">I. – Conteúdos comunicados pelas pessoas referidas no artigo 1.º da presente lei, incluindo imagens que tenham sido sujeitas a: </w:t>
      </w:r>
    </w:p>
    <w:p w14:paraId="4B787B68" w14:textId="77777777" w:rsidR="00BB5F5A" w:rsidRDefault="0066686B">
      <w:pPr>
        <w:spacing w:after="31"/>
        <w:ind w:left="-15"/>
      </w:pPr>
      <w:r>
        <w:t>«1</w:t>
      </w:r>
      <w:r>
        <w:rPr>
          <w:sz w:val="17"/>
          <w:vertAlign w:val="superscript"/>
        </w:rPr>
        <w:t xml:space="preserve">o </w:t>
      </w:r>
      <w:r>
        <w:t xml:space="preserve">A modificação por qualquer processo de tratamento </w:t>
      </w:r>
      <w:r>
        <w:t xml:space="preserve">de imagens para afinar ou espessar a silhueta ou para alterar o aspeto da face deve ser acompanhada da seguinte menção: «Imagens editadas»; </w:t>
      </w:r>
    </w:p>
    <w:p w14:paraId="68231ACC" w14:textId="77777777" w:rsidR="00BB5F5A" w:rsidRDefault="0066686B">
      <w:pPr>
        <w:ind w:left="-15"/>
      </w:pPr>
      <w:r>
        <w:t>«2</w:t>
      </w:r>
      <w:r>
        <w:rPr>
          <w:sz w:val="17"/>
          <w:vertAlign w:val="superscript"/>
        </w:rPr>
        <w:t>o</w:t>
      </w:r>
      <w:r>
        <w:t xml:space="preserve"> A produção por qualquer processo de inteligência artificial para representar uma face ou uma silhueta deve ser </w:t>
      </w:r>
      <w:r>
        <w:t xml:space="preserve">acompanhada pelos termos: «Imagens virtuais». </w:t>
      </w:r>
    </w:p>
    <w:p w14:paraId="25C7F208" w14:textId="77777777" w:rsidR="00BB5F5A" w:rsidRDefault="0066686B">
      <w:pPr>
        <w:ind w:left="-15"/>
      </w:pPr>
      <w:r>
        <w:t xml:space="preserve">» </w:t>
      </w:r>
      <w:r>
        <w:t>Os termos previstos no presente ponto I devem ser claras, legíveis e compreensíveis em qualquer suporte utilizado. Podem ser substituídos por um termo equivalente adaptado às características da atividade de influência e ao formato do meio de comunicação ut</w:t>
      </w:r>
      <w:r>
        <w:t xml:space="preserve">ilizado. </w:t>
      </w:r>
    </w:p>
    <w:p w14:paraId="029CE24B" w14:textId="77777777" w:rsidR="00BB5F5A" w:rsidRDefault="0066686B">
      <w:pPr>
        <w:ind w:left="-15"/>
      </w:pPr>
      <w:r>
        <w:t>» II. – Quando a promoção for efetuada pelas pessoas a que se refere o artigo 1 da presente lei e diz respeito ao registo de uma atividade de formação profissional prevista no artigo L. 6313-1 do Código do Trabalho, financiada por uma das entidad</w:t>
      </w:r>
      <w:r>
        <w:t>es referidas no artigo L. 6316-1 do mesmo código, a referência constante do Artigo 5-2 desta Lei inclui a informação relativa ao respetivo financiamento, compromissos e regras de elegibilidade, a identificação do(s) prestador(es) responsável(eis) por esses</w:t>
      </w:r>
      <w:r>
        <w:t xml:space="preserve"> programas de formação e o prestador referenciado no serviço eletrónico referido no artigo L. 6323-9 do mesmo Código. </w:t>
      </w:r>
    </w:p>
    <w:p w14:paraId="57A2125D" w14:textId="77777777" w:rsidR="00BB5F5A" w:rsidRDefault="0066686B">
      <w:pPr>
        <w:ind w:left="-15"/>
      </w:pPr>
      <w:r>
        <w:t xml:space="preserve">» III. – A violação do disposto no presente artigo I e II é punível com pena de prisão de um ano e multa de 4 500 EUR. </w:t>
      </w:r>
    </w:p>
    <w:p w14:paraId="7FA75FB0" w14:textId="77777777" w:rsidR="00BB5F5A" w:rsidRDefault="0066686B">
      <w:pPr>
        <w:spacing w:after="143"/>
        <w:ind w:firstLine="0"/>
      </w:pPr>
      <w:r>
        <w:t>« IV. – As modali</w:t>
      </w:r>
      <w:r>
        <w:t xml:space="preserve">dades de aplicação dos pontos I e II do presente artigo são fixadas por decreto, ouvido o Conselho de Estado.» </w:t>
      </w:r>
    </w:p>
    <w:p w14:paraId="530ED4FA" w14:textId="77777777" w:rsidR="00BB5F5A" w:rsidRDefault="0066686B">
      <w:pPr>
        <w:spacing w:after="92"/>
        <w:ind w:firstLine="0"/>
      </w:pPr>
      <w:r>
        <w:t xml:space="preserve">IV. – Após o artigo 5.º, são inseridos dois artigos 5-1 e 5-2, com a seguinte redação: </w:t>
      </w:r>
    </w:p>
    <w:p w14:paraId="7B0D6657" w14:textId="77777777" w:rsidR="00BB5F5A" w:rsidRDefault="0066686B">
      <w:pPr>
        <w:ind w:left="-15"/>
      </w:pPr>
      <w:r>
        <w:t xml:space="preserve">« </w:t>
      </w:r>
      <w:r>
        <w:rPr>
          <w:i/>
        </w:rPr>
        <w:t xml:space="preserve">Artigo 5-1. – </w:t>
      </w:r>
      <w:r>
        <w:t>I. – O disposto nos pontos I a III do ar</w:t>
      </w:r>
      <w:r>
        <w:t xml:space="preserve">tigo 4.º não se aplica aos fornecedores de serviços de comunicação social, na aceção da Diretiva 2010/13/UE do Parlamento Europeu e do Conselho, de 10 de março de 2010, que sejam da competência de outro Estado-Membro do Espaço Económico Europeu, na aceção </w:t>
      </w:r>
      <w:r>
        <w:t xml:space="preserve">do n.º 2 do artigo 2.º dessa diretiva. Aplicam-se, por outro lado, a esses fornecedores quando são da competência da França. </w:t>
      </w:r>
    </w:p>
    <w:p w14:paraId="4C1C0A8C" w14:textId="77777777" w:rsidR="00BB5F5A" w:rsidRDefault="0066686B">
      <w:pPr>
        <w:ind w:left="-15"/>
      </w:pPr>
      <w:r>
        <w:t>« No entanto, se estiverem preenchidas as condições referidas no artigo 3.º, n.os 2 a 3, ou no artigo 4.º, n.os 2 a 5, da referida</w:t>
      </w:r>
      <w:r>
        <w:t xml:space="preserve"> diretiva, e no termo do procedimento previsto nessas disposições, a autoridade administrativa especifica ao interessado as disposições que lhe são aplicáveis, sob reserva das sanções aplicáveis, bem como o serviço em causa. </w:t>
      </w:r>
    </w:p>
    <w:p w14:paraId="6ACD68E9" w14:textId="77777777" w:rsidR="00BB5F5A" w:rsidRDefault="0066686B">
      <w:pPr>
        <w:ind w:left="-15"/>
      </w:pPr>
      <w:r>
        <w:t>» II. – Sem prejuízo do dispos</w:t>
      </w:r>
      <w:r>
        <w:t>to no ponto I, no que respeita à aplicação das disposições dos pontos I a III do artigo 4.º aos fornecedores de serviços de comunicação social, as disposições dos artigos 4.º e 5.º não são aplicáveis às pessoas estabelecidas noutro Estado parte no Espaço E</w:t>
      </w:r>
      <w:r>
        <w:t xml:space="preserve">conómico Europeu. </w:t>
      </w:r>
    </w:p>
    <w:p w14:paraId="653E9A7E" w14:textId="77777777" w:rsidR="00BB5F5A" w:rsidRDefault="0066686B">
      <w:pPr>
        <w:ind w:left="-15"/>
      </w:pPr>
      <w:r>
        <w:t>« No entanto, se estiverem preenchidas as condições referidas nos n.os 4 a 5 do artigo 3.º da Diretiva 2000/31/CE do Parlamento Europeu e do Conselho, de 8 de junho de 2000, e no termo do procedimento previsto nessas disposições, a autor</w:t>
      </w:r>
      <w:r>
        <w:t xml:space="preserve">idade administrativa especifica ao interessado as disposições que lhe são aplicáveis, sob reserva das sanções aplicáveis, bem como o serviço em causa. </w:t>
      </w:r>
    </w:p>
    <w:p w14:paraId="2DB9CAB0" w14:textId="77777777" w:rsidR="00BB5F5A" w:rsidRDefault="0066686B">
      <w:pPr>
        <w:spacing w:after="92"/>
        <w:ind w:firstLine="0"/>
      </w:pPr>
      <w:r>
        <w:t>« III. – As modalidades de aplicação do presente artigo são definidas por decreto do Conselho de Estado.</w:t>
      </w:r>
      <w:r>
        <w:t xml:space="preserve"> </w:t>
      </w:r>
    </w:p>
    <w:p w14:paraId="4BA17F87" w14:textId="77777777" w:rsidR="00BB5F5A" w:rsidRDefault="0066686B">
      <w:pPr>
        <w:ind w:left="-15"/>
      </w:pPr>
      <w:r>
        <w:t xml:space="preserve">« </w:t>
      </w:r>
      <w:r>
        <w:rPr>
          <w:i/>
        </w:rPr>
        <w:t xml:space="preserve">Artigo 5-2. – </w:t>
      </w:r>
      <w:r>
        <w:t>Constitui uma prática comercial enganosa na aceção do Artigo L. 121-3 do Código do Consumo e nas condições previstas nesse artigo, para que uma pessoa singular ou coletiva que exerça uma atividade de influência na aceção do artigo 1.º des</w:t>
      </w:r>
      <w:r>
        <w:t xml:space="preserve">ta lei não indique, de forma clara, legível e compreensível, em qualquer meio utilizado, a intenção comercial que tem, se essa intenção não resultar já do contexto. </w:t>
      </w:r>
    </w:p>
    <w:p w14:paraId="0DA643B9" w14:textId="77777777" w:rsidR="00BB5F5A" w:rsidRDefault="0066686B">
      <w:pPr>
        <w:spacing w:after="149"/>
        <w:ind w:left="-15"/>
      </w:pPr>
      <w:r>
        <w:t>« A intenção comercial pode ser explicitamente indicada pela utilização dos termos «public</w:t>
      </w:r>
      <w:r>
        <w:t xml:space="preserve">idade» ou «colaboração comercial» ou por um termo equivalente adaptado às características da atividade de influência e ao formato do suporte utilizado.»; </w:t>
      </w:r>
    </w:p>
    <w:p w14:paraId="3E80D657" w14:textId="77777777" w:rsidR="00BB5F5A" w:rsidRDefault="0066686B">
      <w:pPr>
        <w:spacing w:after="86"/>
        <w:ind w:firstLine="0"/>
      </w:pPr>
      <w:r>
        <w:t xml:space="preserve">V. – O artigo 9.º é substituído pelas disposições seguintes: </w:t>
      </w:r>
    </w:p>
    <w:p w14:paraId="6FABA20B" w14:textId="77777777" w:rsidR="00BB5F5A" w:rsidRDefault="0066686B">
      <w:pPr>
        <w:ind w:left="-15"/>
      </w:pPr>
      <w:r>
        <w:t xml:space="preserve">« </w:t>
      </w:r>
      <w:r>
        <w:rPr>
          <w:i/>
        </w:rPr>
        <w:t xml:space="preserve">Artigo 9.º – </w:t>
      </w:r>
      <w:r>
        <w:t>I. – Quando exerçam a at</w:t>
      </w:r>
      <w:r>
        <w:t>ividade definida no artigo 1.º não estejam estabelecidas no território de um Estado-Membro da União Europeia, na Confederação Suíça ou no Espaço Económico Europeu e visem um público em França, pessoas coletivas ou pessoas singulares que exerçam uma ativida</w:t>
      </w:r>
      <w:r>
        <w:t xml:space="preserve">de independente ao abrigo do estatuto definido nos artigos L. 526-6 a L. 526-21 do Código Comercial ou nos artigos L. 526-22 a L. 526-26 do referido código designam por escrito uma pessoa singular ou coletiva que assegure a sua representação no território </w:t>
      </w:r>
      <w:r>
        <w:t xml:space="preserve">da União Europeia. </w:t>
      </w:r>
    </w:p>
    <w:p w14:paraId="2674630E" w14:textId="77777777" w:rsidR="00BB5F5A" w:rsidRDefault="0066686B">
      <w:pPr>
        <w:ind w:left="-15"/>
      </w:pPr>
      <w:r>
        <w:lastRenderedPageBreak/>
        <w:t>« Esta representação destina-se a assegurar a conformidade dos contratos que tenham por objeto ou por efeito a realização de uma atividade de influência comercial por via eletrónica dirigida, nomeadamente, a um público estabelecido no t</w:t>
      </w:r>
      <w:r>
        <w:t>erritório francês. A representação designada é igualmente responsável por responder, em complemento ou em substituição das pessoas referidas no primeiro parágrafo do presente número, a todos os pedidos de cumprimento da presente lei apresentados pelas auto</w:t>
      </w:r>
      <w:r>
        <w:t xml:space="preserve">ridades administrativas ou judiciais competentes. </w:t>
      </w:r>
    </w:p>
    <w:p w14:paraId="5A08C8A8" w14:textId="77777777" w:rsidR="00BB5F5A" w:rsidRDefault="0066686B">
      <w:pPr>
        <w:ind w:left="-15"/>
      </w:pPr>
      <w:r>
        <w:t>« As pessoas a que se refere o primeiro parágrafo devem conferir à pessoa assim designada os poderes necessários e os recursos suficientes para assegurar uma cooperação efetiva com as autoridades competent</w:t>
      </w:r>
      <w:r>
        <w:t xml:space="preserve">es para dar cumprimento à presente lei. </w:t>
      </w:r>
    </w:p>
    <w:p w14:paraId="1E06B431" w14:textId="77777777" w:rsidR="00BB5F5A" w:rsidRDefault="0066686B">
      <w:pPr>
        <w:ind w:left="-15"/>
      </w:pPr>
      <w:r>
        <w:t>« As pessoas a que se refere o primeiro parágrafo comunicam às autoridades administrativas competentes, mediante pedido, o nome, o endereço postal, o endereço de correio eletrónico e o número de telefone da pessoa d</w:t>
      </w:r>
      <w:r>
        <w:t xml:space="preserve">esignada nos termos desse primeiro parágrafo. </w:t>
      </w:r>
    </w:p>
    <w:p w14:paraId="023B8981" w14:textId="77777777" w:rsidR="00BB5F5A" w:rsidRDefault="0066686B">
      <w:pPr>
        <w:ind w:firstLine="0"/>
      </w:pPr>
      <w:r>
        <w:t xml:space="preserve">«Esta designação não constitui um estabelecimento na União Europeia.  </w:t>
      </w:r>
    </w:p>
    <w:p w14:paraId="4116DB33" w14:textId="77777777" w:rsidR="00BB5F5A" w:rsidRDefault="0066686B">
      <w:pPr>
        <w:ind w:left="-15"/>
      </w:pPr>
      <w:r>
        <w:t>« II. – Uma pessoa que exerça a atividade definida no artigo 1.º e que esteja estabelecida fora da União Europeia, da Confederação Suíça o</w:t>
      </w:r>
      <w:r>
        <w:t>u do Espaço Económico Europeu é obrigada a subscrever um seguro civil junto de uma seguradora estabelecida na União Europeia, que garanta as consequências financeiras da sua responsabilidade profissional, sempre que essa atividade se destine, mesmo que a t</w:t>
      </w:r>
      <w:r>
        <w:t xml:space="preserve">ítulo acessório, a um público estabelecido no território francês. «III. –  As modalidades de aplicação do presente artigo são definidas por decreto adotado após consulta do Conselho de Estado.» </w:t>
      </w:r>
    </w:p>
    <w:p w14:paraId="24E41C5B" w14:textId="77777777" w:rsidR="00BB5F5A" w:rsidRDefault="0066686B">
      <w:pPr>
        <w:spacing w:after="45" w:line="259" w:lineRule="auto"/>
        <w:ind w:left="10" w:right="1" w:hanging="10"/>
        <w:jc w:val="center"/>
      </w:pPr>
      <w:r>
        <w:rPr>
          <w:rFonts w:ascii="Calibri" w:hAnsi="Calibri"/>
          <w:b/>
        </w:rPr>
        <w:t xml:space="preserve">Artigo 2.º </w:t>
      </w:r>
    </w:p>
    <w:p w14:paraId="5E209DF5" w14:textId="77777777" w:rsidR="00BB5F5A" w:rsidRDefault="0066686B">
      <w:pPr>
        <w:spacing w:after="76" w:line="216" w:lineRule="auto"/>
        <w:ind w:left="-15" w:right="-15"/>
        <w:jc w:val="left"/>
      </w:pPr>
      <w:r>
        <w:t xml:space="preserve">O Primeiro-Ministro e o Ministro da Economia, das Finanças e da Indústria são responsáveis, cada um no que lhe diz respeito, pela aplicação do presente decreto, que é publicado no </w:t>
      </w:r>
      <w:r>
        <w:rPr>
          <w:i/>
        </w:rPr>
        <w:t xml:space="preserve">Jornal Oficial </w:t>
      </w:r>
      <w:r>
        <w:t xml:space="preserve">da República Francesa. </w:t>
      </w:r>
    </w:p>
    <w:p w14:paraId="2458A41C" w14:textId="77777777" w:rsidR="00BB5F5A" w:rsidRDefault="0066686B">
      <w:pPr>
        <w:ind w:firstLine="0"/>
      </w:pPr>
      <w:r>
        <w:t xml:space="preserve">Feito em 6 de novembro de 2024 </w:t>
      </w:r>
    </w:p>
    <w:p w14:paraId="779C936B" w14:textId="77777777" w:rsidR="00BB5F5A" w:rsidRDefault="0066686B">
      <w:pPr>
        <w:spacing w:after="70" w:line="259" w:lineRule="auto"/>
        <w:ind w:left="10" w:right="416" w:hanging="10"/>
        <w:jc w:val="right"/>
      </w:pPr>
      <w:r>
        <w:t>E</w:t>
      </w:r>
      <w:r>
        <w:rPr>
          <w:sz w:val="15"/>
        </w:rPr>
        <w:t>MMAN</w:t>
      </w:r>
      <w:r>
        <w:rPr>
          <w:sz w:val="15"/>
        </w:rPr>
        <w:t xml:space="preserve">UEL </w:t>
      </w:r>
      <w:r>
        <w:t>M</w:t>
      </w:r>
      <w:r>
        <w:rPr>
          <w:sz w:val="15"/>
        </w:rPr>
        <w:t xml:space="preserve">ACRON </w:t>
      </w:r>
    </w:p>
    <w:p w14:paraId="4CD07A7D" w14:textId="77777777" w:rsidR="00BB5F5A" w:rsidRDefault="0066686B">
      <w:pPr>
        <w:spacing w:after="73" w:line="259" w:lineRule="auto"/>
        <w:ind w:left="544" w:firstLine="0"/>
        <w:jc w:val="left"/>
      </w:pPr>
      <w:r>
        <w:rPr>
          <w:sz w:val="18"/>
        </w:rPr>
        <w:t xml:space="preserve">Pelo Presidente da República: </w:t>
      </w:r>
    </w:p>
    <w:p w14:paraId="74F7E8BF" w14:textId="77777777" w:rsidR="00BB5F5A" w:rsidRDefault="0066686B" w:rsidP="00554149">
      <w:pPr>
        <w:spacing w:after="8" w:line="259" w:lineRule="auto"/>
        <w:ind w:left="0" w:firstLine="544"/>
        <w:jc w:val="left"/>
      </w:pPr>
      <w:r>
        <w:rPr>
          <w:i/>
        </w:rPr>
        <w:t xml:space="preserve">O primeiro-ministro, </w:t>
      </w:r>
    </w:p>
    <w:p w14:paraId="65A8D155" w14:textId="77777777" w:rsidR="00BB5F5A" w:rsidRDefault="0066686B" w:rsidP="00554149">
      <w:pPr>
        <w:pStyle w:val="Heading1"/>
        <w:spacing w:after="47"/>
        <w:ind w:left="206" w:right="0" w:firstLine="502"/>
      </w:pPr>
      <w:r>
        <w:rPr>
          <w:sz w:val="22"/>
        </w:rPr>
        <w:t>M</w:t>
      </w:r>
      <w:r>
        <w:t xml:space="preserve">ICHEL </w:t>
      </w:r>
      <w:r>
        <w:rPr>
          <w:sz w:val="22"/>
        </w:rPr>
        <w:t>B</w:t>
      </w:r>
      <w:r>
        <w:t xml:space="preserve">ARNIER </w:t>
      </w:r>
    </w:p>
    <w:p w14:paraId="1873A417" w14:textId="2CF6FE33" w:rsidR="00BB5F5A" w:rsidRDefault="0066686B">
      <w:pPr>
        <w:spacing w:after="54" w:line="216" w:lineRule="auto"/>
        <w:ind w:left="7307" w:firstLine="0"/>
        <w:jc w:val="center"/>
      </w:pPr>
      <w:r>
        <w:rPr>
          <w:i/>
        </w:rPr>
        <w:t xml:space="preserve">O Ministro da Economia, das Finanças e da Indústria, </w:t>
      </w:r>
    </w:p>
    <w:p w14:paraId="276AC3A6" w14:textId="23F96FBD" w:rsidR="00BB5F5A" w:rsidRDefault="0066686B">
      <w:pPr>
        <w:spacing w:after="70" w:line="259" w:lineRule="auto"/>
        <w:ind w:left="10" w:right="544" w:hanging="10"/>
        <w:jc w:val="right"/>
      </w:pPr>
      <w:r>
        <w:t>A</w:t>
      </w:r>
      <w:r>
        <w:rPr>
          <w:sz w:val="15"/>
        </w:rPr>
        <w:t xml:space="preserve">NTOINE </w:t>
      </w:r>
      <w:r>
        <w:t>A</w:t>
      </w:r>
      <w:r>
        <w:rPr>
          <w:sz w:val="15"/>
        </w:rPr>
        <w:t>RMAND</w:t>
      </w:r>
    </w:p>
    <w:sectPr w:rsidR="00BB5F5A">
      <w:headerReference w:type="even" r:id="rId7"/>
      <w:headerReference w:type="default" r:id="rId8"/>
      <w:headerReference w:type="first" r:id="rId9"/>
      <w:pgSz w:w="11906" w:h="16838"/>
      <w:pgMar w:top="1420" w:right="992" w:bottom="782" w:left="992" w:header="74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7D2FC" w14:textId="77777777" w:rsidR="0066686B" w:rsidRDefault="0066686B">
      <w:pPr>
        <w:spacing w:after="0" w:line="240" w:lineRule="auto"/>
      </w:pPr>
      <w:r>
        <w:separator/>
      </w:r>
    </w:p>
  </w:endnote>
  <w:endnote w:type="continuationSeparator" w:id="0">
    <w:p w14:paraId="337D4700" w14:textId="77777777" w:rsidR="0066686B" w:rsidRDefault="0066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DB315" w14:textId="77777777" w:rsidR="0066686B" w:rsidRDefault="0066686B">
      <w:pPr>
        <w:spacing w:after="0" w:line="240" w:lineRule="auto"/>
      </w:pPr>
      <w:r>
        <w:separator/>
      </w:r>
    </w:p>
  </w:footnote>
  <w:footnote w:type="continuationSeparator" w:id="0">
    <w:p w14:paraId="417C5564" w14:textId="77777777" w:rsidR="0066686B" w:rsidRDefault="00666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7C3" w14:textId="77777777" w:rsidR="00BB5F5A" w:rsidRDefault="0066686B">
    <w:pPr>
      <w:tabs>
        <w:tab w:val="center" w:pos="4818"/>
        <w:tab w:val="right" w:pos="9922"/>
      </w:tabs>
      <w:spacing w:after="0" w:line="259" w:lineRule="auto"/>
      <w:ind w:left="0" w:firstLine="0"/>
      <w:jc w:val="left"/>
    </w:pPr>
    <w:r>
      <w:rPr>
        <w:rFonts w:ascii="Calibri" w:hAnsi="Calibri"/>
        <w:sz w:val="16"/>
      </w:rPr>
      <w:t>07 Novembro de 2024</w:t>
    </w:r>
    <w:r>
      <w:rPr>
        <w:rFonts w:ascii="Calibri" w:hAnsi="Calibri"/>
        <w:sz w:val="16"/>
      </w:rPr>
      <w:t xml:space="preserve"> </w:t>
    </w:r>
    <w:r>
      <w:rPr>
        <w:rFonts w:ascii="Calibri" w:hAnsi="Calibri"/>
        <w:sz w:val="16"/>
      </w:rPr>
      <w:tab/>
    </w:r>
    <w:r>
      <w:rPr>
        <w:rFonts w:ascii="Calibri" w:hAnsi="Calibri"/>
        <w:color w:val="0060B0"/>
        <w:sz w:val="18"/>
      </w:rPr>
      <w:t>JORNAL OFICIAL DA REPÚBLICA FRANCESA</w:t>
    </w:r>
    <w:r>
      <w:rPr>
        <w:rFonts w:ascii="Calibri" w:hAnsi="Calibri"/>
        <w:color w:val="0060B0"/>
        <w:sz w:val="18"/>
      </w:rPr>
      <w:tab/>
    </w:r>
    <w:r>
      <w:rPr>
        <w:rFonts w:ascii="Calibri" w:hAnsi="Calibri"/>
        <w:sz w:val="16"/>
      </w:rPr>
      <w:t xml:space="preserve">Texto 18 de 120 </w:t>
    </w:r>
  </w:p>
  <w:p w14:paraId="7D2344F0" w14:textId="77777777" w:rsidR="00BB5F5A" w:rsidRDefault="0066686B">
    <w:r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2303E79" wp14:editId="7FD982B1">
              <wp:simplePos x="0" y="0"/>
              <wp:positionH relativeFrom="page">
                <wp:posOffset>0</wp:posOffset>
              </wp:positionH>
              <wp:positionV relativeFrom="page">
                <wp:posOffset>2</wp:posOffset>
              </wp:positionV>
              <wp:extent cx="7562164" cy="10694162"/>
              <wp:effectExtent l="0" t="0" r="0" b="0"/>
              <wp:wrapNone/>
              <wp:docPr id="6394" name="Group 63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164" cy="10694162"/>
                        <a:chOff x="0" y="0"/>
                        <a:chExt cx="7562164" cy="10694162"/>
                      </a:xfrm>
                    </wpg:grpSpPr>
                    <pic:pic xmlns:pic="http://schemas.openxmlformats.org/drawingml/2006/picture">
                      <pic:nvPicPr>
                        <pic:cNvPr id="6395" name="Picture 63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164" cy="106941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group id="Group 6394" style="width:595.446pt;height:842.06pt;position:absolute;z-index:-2147483648;mso-position-horizontal-relative:page;mso-position-horizontal:absolute;margin-left:0pt;mso-position-vertical-relative:page;margin-top:0.00012207pt;" coordsize="75621,106941">
              <v:shape id="Picture 6395" style="position:absolute;width:75621;height:106941;left:0;top:0;" filled="f">
                <v:imagedata r:id="rId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EF25" w14:textId="77777777" w:rsidR="00BB5F5A" w:rsidRDefault="0066686B">
    <w:pPr>
      <w:tabs>
        <w:tab w:val="center" w:pos="4818"/>
        <w:tab w:val="right" w:pos="9922"/>
      </w:tabs>
      <w:spacing w:after="0" w:line="259" w:lineRule="auto"/>
      <w:ind w:left="0" w:firstLine="0"/>
      <w:jc w:val="left"/>
    </w:pPr>
    <w:r>
      <w:rPr>
        <w:rFonts w:ascii="Calibri" w:hAnsi="Calibri"/>
        <w:sz w:val="16"/>
      </w:rPr>
      <w:t>07 Novembro de 2024</w:t>
    </w:r>
    <w:r>
      <w:rPr>
        <w:rFonts w:ascii="Calibri" w:hAnsi="Calibri"/>
        <w:sz w:val="16"/>
      </w:rPr>
      <w:t xml:space="preserve"> </w:t>
    </w:r>
    <w:r>
      <w:rPr>
        <w:rFonts w:ascii="Calibri" w:hAnsi="Calibri"/>
        <w:sz w:val="16"/>
      </w:rPr>
      <w:tab/>
    </w:r>
    <w:r>
      <w:rPr>
        <w:rFonts w:ascii="Calibri" w:hAnsi="Calibri"/>
        <w:color w:val="0060B0"/>
        <w:sz w:val="18"/>
      </w:rPr>
      <w:t>JORNAL OFICIAL DA REPÚBLICA FRANCESA</w:t>
    </w:r>
    <w:r>
      <w:rPr>
        <w:rFonts w:ascii="Calibri" w:hAnsi="Calibri"/>
        <w:color w:val="0060B0"/>
        <w:sz w:val="18"/>
      </w:rPr>
      <w:tab/>
    </w:r>
    <w:r>
      <w:rPr>
        <w:rFonts w:ascii="Calibri" w:hAnsi="Calibri"/>
        <w:sz w:val="16"/>
      </w:rPr>
      <w:t xml:space="preserve">Texto 18 de 120 </w:t>
    </w:r>
  </w:p>
  <w:p w14:paraId="03F43403" w14:textId="77777777" w:rsidR="00BB5F5A" w:rsidRDefault="0066686B">
    <w:r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677BF3A" wp14:editId="4AF008E2">
              <wp:simplePos x="0" y="0"/>
              <wp:positionH relativeFrom="page">
                <wp:posOffset>0</wp:posOffset>
              </wp:positionH>
              <wp:positionV relativeFrom="page">
                <wp:posOffset>2</wp:posOffset>
              </wp:positionV>
              <wp:extent cx="7562164" cy="10694162"/>
              <wp:effectExtent l="0" t="0" r="0" b="0"/>
              <wp:wrapNone/>
              <wp:docPr id="6375" name="Group 63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164" cy="10694162"/>
                        <a:chOff x="0" y="0"/>
                        <a:chExt cx="7562164" cy="10694162"/>
                      </a:xfrm>
                    </wpg:grpSpPr>
                    <pic:pic xmlns:pic="http://schemas.openxmlformats.org/drawingml/2006/picture">
                      <pic:nvPicPr>
                        <pic:cNvPr id="6376" name="Picture 63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164" cy="106941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group id="Group 6375" style="width:595.446pt;height:842.06pt;position:absolute;z-index:-2147483648;mso-position-horizontal-relative:page;mso-position-horizontal:absolute;margin-left:0pt;mso-position-vertical-relative:page;margin-top:0.00012207pt;" coordsize="75621,106941">
              <v:shape id="Picture 6376" style="position:absolute;width:75621;height:106941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51A4" w14:textId="77777777" w:rsidR="00BB5F5A" w:rsidRDefault="0066686B">
    <w:pPr>
      <w:tabs>
        <w:tab w:val="center" w:pos="4818"/>
        <w:tab w:val="right" w:pos="9922"/>
      </w:tabs>
      <w:spacing w:after="0" w:line="259" w:lineRule="auto"/>
      <w:ind w:left="0" w:firstLine="0"/>
      <w:jc w:val="left"/>
    </w:pPr>
    <w:r>
      <w:rPr>
        <w:rFonts w:ascii="Calibri" w:hAnsi="Calibri"/>
        <w:sz w:val="16"/>
      </w:rPr>
      <w:t xml:space="preserve">07 Novembro de 2024 </w:t>
    </w:r>
    <w:r>
      <w:rPr>
        <w:rFonts w:ascii="Calibri" w:hAnsi="Calibri"/>
        <w:sz w:val="16"/>
      </w:rPr>
      <w:tab/>
    </w:r>
    <w:r>
      <w:rPr>
        <w:rFonts w:ascii="Calibri" w:hAnsi="Calibri"/>
        <w:color w:val="0060B0"/>
        <w:sz w:val="18"/>
      </w:rPr>
      <w:t>JORNAL OFICIAL DA REPÚBLICA FRANCESA</w:t>
    </w:r>
    <w:r>
      <w:rPr>
        <w:rFonts w:ascii="Calibri" w:hAnsi="Calibri"/>
        <w:color w:val="0060B0"/>
        <w:sz w:val="18"/>
      </w:rPr>
      <w:tab/>
    </w:r>
    <w:r>
      <w:rPr>
        <w:rFonts w:ascii="Calibri" w:hAnsi="Calibri"/>
        <w:sz w:val="16"/>
      </w:rPr>
      <w:t xml:space="preserve">Texto 18 de 120 </w:t>
    </w:r>
  </w:p>
  <w:p w14:paraId="3D44B973" w14:textId="77777777" w:rsidR="00BB5F5A" w:rsidRDefault="0066686B">
    <w:r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591A6C2" wp14:editId="6FB74674">
              <wp:simplePos x="0" y="0"/>
              <wp:positionH relativeFrom="page">
                <wp:posOffset>0</wp:posOffset>
              </wp:positionH>
              <wp:positionV relativeFrom="page">
                <wp:posOffset>2</wp:posOffset>
              </wp:positionV>
              <wp:extent cx="7562164" cy="10694162"/>
              <wp:effectExtent l="0" t="0" r="0" b="0"/>
              <wp:wrapNone/>
              <wp:docPr id="6356" name="Group 63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164" cy="10694162"/>
                        <a:chOff x="0" y="0"/>
                        <a:chExt cx="7562164" cy="10694162"/>
                      </a:xfrm>
                    </wpg:grpSpPr>
                    <pic:pic xmlns:pic="http://schemas.openxmlformats.org/drawingml/2006/picture">
                      <pic:nvPicPr>
                        <pic:cNvPr id="6357" name="Picture 63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164" cy="106941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group id="Group 6356" style="width:595.446pt;height:842.06pt;position:absolute;z-index:-2147483648;mso-position-horizontal-relative:page;mso-position-horizontal:absolute;margin-left:0pt;mso-position-vertical-relative:page;margin-top:0.00012207pt;" coordsize="75621,106941">
              <v:shape id="Picture 6357" style="position:absolute;width:75621;height:106941;left:0;top:0;" filled="f">
                <v:imagedata r:id="rId4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60A7B"/>
    <w:multiLevelType w:val="hybridMultilevel"/>
    <w:tmpl w:val="81E49FE6"/>
    <w:lvl w:ilvl="0" w:tplc="AA867C62">
      <w:start w:val="1"/>
      <w:numFmt w:val="upperRoman"/>
      <w:lvlText w:val="%1.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204FD0">
      <w:start w:val="1"/>
      <w:numFmt w:val="lowerLetter"/>
      <w:lvlText w:val="%2"/>
      <w:lvlJc w:val="left"/>
      <w:pPr>
        <w:ind w:left="1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D000F2">
      <w:start w:val="1"/>
      <w:numFmt w:val="lowerRoman"/>
      <w:lvlText w:val="%3"/>
      <w:lvlJc w:val="left"/>
      <w:pPr>
        <w:ind w:left="2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CEAA90">
      <w:start w:val="1"/>
      <w:numFmt w:val="decimal"/>
      <w:lvlText w:val="%4"/>
      <w:lvlJc w:val="left"/>
      <w:pPr>
        <w:ind w:left="2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38C92A">
      <w:start w:val="1"/>
      <w:numFmt w:val="lowerLetter"/>
      <w:lvlText w:val="%5"/>
      <w:lvlJc w:val="left"/>
      <w:pPr>
        <w:ind w:left="3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54786A">
      <w:start w:val="1"/>
      <w:numFmt w:val="lowerRoman"/>
      <w:lvlText w:val="%6"/>
      <w:lvlJc w:val="left"/>
      <w:pPr>
        <w:ind w:left="4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4E6C7E">
      <w:start w:val="1"/>
      <w:numFmt w:val="decimal"/>
      <w:lvlText w:val="%7"/>
      <w:lvlJc w:val="left"/>
      <w:pPr>
        <w:ind w:left="4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E217EC">
      <w:start w:val="1"/>
      <w:numFmt w:val="lowerLetter"/>
      <w:lvlText w:val="%8"/>
      <w:lvlJc w:val="left"/>
      <w:pPr>
        <w:ind w:left="5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DEF09C">
      <w:start w:val="1"/>
      <w:numFmt w:val="lowerRoman"/>
      <w:lvlText w:val="%9"/>
      <w:lvlJc w:val="left"/>
      <w:pPr>
        <w:ind w:left="6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5A"/>
    <w:rsid w:val="00554149"/>
    <w:rsid w:val="0066686B"/>
    <w:rsid w:val="00AC55CF"/>
    <w:rsid w:val="00BB5F5A"/>
    <w:rsid w:val="00C256E0"/>
    <w:rsid w:val="00D1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05B5"/>
  <w15:docId w15:val="{9644DAF2-F404-4830-B1A9-A4FAC1D1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5" w:line="225" w:lineRule="auto"/>
      <w:ind w:left="215" w:firstLine="205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70"/>
      <w:ind w:right="431"/>
      <w:outlineLvl w:val="0"/>
    </w:pPr>
    <w:rPr>
      <w:rFonts w:ascii="Times New Roman" w:eastAsia="Times New Roman" w:hAnsi="Times New Roman" w:cs="Times New Roman"/>
      <w:color w:val="000000"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2453</Words>
  <Characters>13031</Characters>
  <Application>Microsoft Office Word</Application>
  <DocSecurity>0</DocSecurity>
  <Lines>188</Lines>
  <Paragraphs>90</Paragraphs>
  <ScaleCrop>false</ScaleCrop>
  <Company/>
  <LinksUpToDate>false</LinksUpToDate>
  <CharactersWithSpaces>15394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officiel de la République française - N° 264 du 7 novembre 2024</dc:title>
  <dc:subject>Lois et décrets</dc:subject>
  <dc:creator>Direction de l'information légale et administrative</dc:creator>
  <cp:keywords>ISSN:2261-5385;class='Internal'</cp:keywords>
  <cp:lastModifiedBy>Ragnhild Efraimsson</cp:lastModifiedBy>
  <cp:revision>2</cp:revision>
  <dcterms:created xsi:type="dcterms:W3CDTF">2024-12-17T14:45:00Z</dcterms:created>
  <dcterms:modified xsi:type="dcterms:W3CDTF">2024-12-17T14:45:00Z</dcterms:modified>
</cp:coreProperties>
</file>