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96E4DC" w14:textId="0F1C7FBE" w:rsidR="00C5116B" w:rsidRPr="00C47E0D" w:rsidRDefault="00C5116B" w:rsidP="00C5116B">
      <w:pPr>
        <w:keepNext/>
        <w:keepLines/>
        <w:spacing w:before="360" w:beforeAutospacing="1" w:after="80" w:afterAutospacing="1" w:line="240" w:lineRule="auto"/>
        <w:outlineLvl w:val="0"/>
        <w:rPr>
          <w:rFonts w:asciiTheme="majorHAnsi" w:eastAsiaTheme="majorEastAsia" w:hAnsiTheme="majorHAnsi" w:cstheme="majorBidi"/>
          <w:i/>
          <w:iCs/>
          <w:color w:val="0F4761" w:themeColor="accent1" w:themeShade="BF"/>
          <w:kern w:val="0"/>
          <w:sz w:val="40"/>
          <w:szCs w:val="40"/>
          <w14:ligatures w14:val="none"/>
        </w:rPr>
      </w:pPr>
      <w:r w:rsidRPr="00C47E0D">
        <w:rPr>
          <w:rFonts w:asciiTheme="majorHAnsi" w:eastAsiaTheme="majorEastAsia" w:hAnsiTheme="majorHAnsi" w:cstheme="majorBidi"/>
          <w:color w:val="0F4761" w:themeColor="accent1" w:themeShade="BF"/>
          <w:kern w:val="0"/>
          <w:sz w:val="40"/>
          <w:szCs w:val="40"/>
          <w14:ligatures w14:val="none"/>
        </w:rPr>
        <w:t xml:space="preserve">Reply from Nordic Nicotine Pouches Alliance (NNPA) Regarding TRIS Notification: </w:t>
      </w:r>
      <w:bookmarkStart w:id="0" w:name="_Hlk183786332"/>
      <w:r w:rsidRPr="00C5116B">
        <w:rPr>
          <w:rFonts w:asciiTheme="majorHAnsi" w:eastAsiaTheme="majorEastAsia" w:hAnsiTheme="majorHAnsi" w:cstheme="majorBidi"/>
          <w:color w:val="0F4761" w:themeColor="accent1" w:themeShade="BF"/>
          <w:kern w:val="0"/>
          <w:sz w:val="40"/>
          <w:szCs w:val="40"/>
          <w:lang w:val="en-GB"/>
          <w14:ligatures w14:val="none"/>
        </w:rPr>
        <w:t>2024/048</w:t>
      </w:r>
      <w:r>
        <w:rPr>
          <w:rFonts w:asciiTheme="majorHAnsi" w:eastAsiaTheme="majorEastAsia" w:hAnsiTheme="majorHAnsi" w:cstheme="majorBidi"/>
          <w:color w:val="0F4761" w:themeColor="accent1" w:themeShade="BF"/>
          <w:kern w:val="0"/>
          <w:sz w:val="40"/>
          <w:szCs w:val="40"/>
          <w:lang w:val="en-GB"/>
          <w14:ligatures w14:val="none"/>
        </w:rPr>
        <w:t>2</w:t>
      </w:r>
      <w:r w:rsidRPr="00C5116B">
        <w:rPr>
          <w:rFonts w:asciiTheme="majorHAnsi" w:eastAsiaTheme="majorEastAsia" w:hAnsiTheme="majorHAnsi" w:cstheme="majorBidi"/>
          <w:color w:val="0F4761" w:themeColor="accent1" w:themeShade="BF"/>
          <w:kern w:val="0"/>
          <w:sz w:val="40"/>
          <w:szCs w:val="40"/>
          <w:lang w:val="en-GB"/>
          <w14:ligatures w14:val="none"/>
        </w:rPr>
        <w:t xml:space="preserve">/DK </w:t>
      </w:r>
      <w:bookmarkEnd w:id="0"/>
      <w:r w:rsidRPr="00C5116B">
        <w:rPr>
          <w:rFonts w:asciiTheme="majorHAnsi" w:eastAsiaTheme="majorEastAsia" w:hAnsiTheme="majorHAnsi" w:cstheme="majorBidi"/>
          <w:color w:val="0F4761" w:themeColor="accent1" w:themeShade="BF"/>
          <w:kern w:val="0"/>
          <w:sz w:val="40"/>
          <w:szCs w:val="40"/>
          <w:lang w:val="en-GB"/>
          <w14:ligatures w14:val="none"/>
        </w:rPr>
        <w:t xml:space="preserve">(Denmark) </w:t>
      </w:r>
      <w:r w:rsidR="0019085A" w:rsidRPr="0019085A">
        <w:rPr>
          <w:rFonts w:asciiTheme="majorHAnsi" w:eastAsiaTheme="majorEastAsia" w:hAnsiTheme="majorHAnsi" w:cstheme="majorBidi"/>
          <w:i/>
          <w:iCs/>
          <w:color w:val="0F4761" w:themeColor="accent1" w:themeShade="BF"/>
          <w:kern w:val="0"/>
          <w:sz w:val="40"/>
          <w:szCs w:val="40"/>
          <w14:ligatures w14:val="none"/>
        </w:rPr>
        <w:t>Draft Order on the labelling of and health warnings on tobacco substitutes.</w:t>
      </w:r>
    </w:p>
    <w:p w14:paraId="6ED695B9" w14:textId="77777777" w:rsidR="00C5116B" w:rsidRPr="00C5116B" w:rsidRDefault="00C5116B" w:rsidP="00C5116B">
      <w:pPr>
        <w:keepNext/>
        <w:keepLines/>
        <w:spacing w:before="160" w:beforeAutospacing="1" w:after="80" w:afterAutospacing="1" w:line="240" w:lineRule="auto"/>
        <w:outlineLvl w:val="1"/>
        <w:rPr>
          <w:rFonts w:asciiTheme="majorHAnsi" w:eastAsiaTheme="majorEastAsia" w:hAnsiTheme="majorHAnsi" w:cstheme="majorBidi"/>
          <w:color w:val="0F4761" w:themeColor="accent1" w:themeShade="BF"/>
          <w:kern w:val="0"/>
          <w:sz w:val="32"/>
          <w:szCs w:val="32"/>
          <w:lang w:val="fr-CH"/>
          <w14:ligatures w14:val="none"/>
        </w:rPr>
      </w:pPr>
      <w:r w:rsidRPr="00C5116B">
        <w:rPr>
          <w:rFonts w:asciiTheme="majorHAnsi" w:eastAsiaTheme="majorEastAsia" w:hAnsiTheme="majorHAnsi" w:cstheme="majorBidi"/>
          <w:color w:val="0F4761" w:themeColor="accent1" w:themeShade="BF"/>
          <w:kern w:val="0"/>
          <w:sz w:val="32"/>
          <w:szCs w:val="32"/>
          <w:lang w:val="fr-CH"/>
          <w14:ligatures w14:val="none"/>
        </w:rPr>
        <w:t xml:space="preserve">Nordic Nicotine </w:t>
      </w:r>
      <w:proofErr w:type="spellStart"/>
      <w:r w:rsidRPr="00C5116B">
        <w:rPr>
          <w:rFonts w:asciiTheme="majorHAnsi" w:eastAsiaTheme="majorEastAsia" w:hAnsiTheme="majorHAnsi" w:cstheme="majorBidi"/>
          <w:color w:val="0F4761" w:themeColor="accent1" w:themeShade="BF"/>
          <w:kern w:val="0"/>
          <w:sz w:val="32"/>
          <w:szCs w:val="32"/>
          <w:lang w:val="fr-CH"/>
          <w14:ligatures w14:val="none"/>
        </w:rPr>
        <w:t>Pouches</w:t>
      </w:r>
      <w:proofErr w:type="spellEnd"/>
      <w:r w:rsidRPr="00C5116B">
        <w:rPr>
          <w:rFonts w:asciiTheme="majorHAnsi" w:eastAsiaTheme="majorEastAsia" w:hAnsiTheme="majorHAnsi" w:cstheme="majorBidi"/>
          <w:color w:val="0F4761" w:themeColor="accent1" w:themeShade="BF"/>
          <w:kern w:val="0"/>
          <w:sz w:val="32"/>
          <w:szCs w:val="32"/>
          <w:lang w:val="fr-CH"/>
          <w14:ligatures w14:val="none"/>
        </w:rPr>
        <w:t xml:space="preserve"> Alliance (NNPA)</w:t>
      </w:r>
    </w:p>
    <w:p w14:paraId="393AD730" w14:textId="77777777" w:rsidR="00C5116B" w:rsidRPr="00C5116B" w:rsidRDefault="00C5116B" w:rsidP="00C5116B">
      <w:pPr>
        <w:spacing w:before="100" w:beforeAutospacing="1" w:after="100" w:afterAutospacing="1" w:line="240" w:lineRule="auto"/>
        <w:jc w:val="both"/>
        <w:rPr>
          <w:rFonts w:ascii="Calibri Light" w:hAnsi="Calibri Light" w:cs="Calibri Light"/>
          <w:noProof/>
          <w:color w:val="000000" w:themeColor="text1"/>
          <w:kern w:val="0"/>
          <w:lang w:val="fr-CH"/>
          <w14:ligatures w14:val="none"/>
        </w:rPr>
      </w:pPr>
    </w:p>
    <w:p w14:paraId="215E2561" w14:textId="77777777" w:rsidR="00C5116B" w:rsidRPr="00C5116B" w:rsidRDefault="00C5116B" w:rsidP="00C5116B">
      <w:pPr>
        <w:spacing w:before="100" w:beforeAutospacing="1" w:after="100" w:afterAutospacing="1" w:line="240" w:lineRule="auto"/>
        <w:jc w:val="both"/>
        <w:rPr>
          <w:rFonts w:ascii="Calibri Light" w:hAnsi="Calibri Light" w:cs="Calibri Light"/>
          <w:color w:val="000000" w:themeColor="text1"/>
          <w:kern w:val="0"/>
          <w:lang w:val="en-GB"/>
          <w14:ligatures w14:val="none"/>
        </w:rPr>
      </w:pPr>
      <w:r w:rsidRPr="00C5116B">
        <w:rPr>
          <w:rFonts w:ascii="Calibri Light" w:hAnsi="Calibri Light" w:cs="Calibri Light"/>
          <w:noProof/>
          <w:color w:val="000000" w:themeColor="text1"/>
          <w:kern w:val="0"/>
          <w:lang w:val="en-GB"/>
          <w14:ligatures w14:val="none"/>
        </w:rPr>
        <w:drawing>
          <wp:inline distT="0" distB="0" distL="0" distR="0" wp14:anchorId="43DCB08E" wp14:editId="223D1F28">
            <wp:extent cx="2041872" cy="2047607"/>
            <wp:effectExtent l="0" t="0" r="0" b="0"/>
            <wp:docPr id="95727894" name="Picture 1" descr="A white circle with blue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27894" name="Picture 1" descr="A white circle with blue circles and black text&#10;&#10;Description automatically generated"/>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6247" t="15277" r="35943" b="35144"/>
                    <a:stretch/>
                  </pic:blipFill>
                  <pic:spPr bwMode="auto">
                    <a:xfrm>
                      <a:off x="0" y="0"/>
                      <a:ext cx="2052440" cy="2058205"/>
                    </a:xfrm>
                    <a:prstGeom prst="rect">
                      <a:avLst/>
                    </a:prstGeom>
                    <a:noFill/>
                    <a:ln>
                      <a:noFill/>
                    </a:ln>
                    <a:extLst>
                      <a:ext uri="{53640926-AAD7-44D8-BBD7-CCE9431645EC}">
                        <a14:shadowObscured xmlns:a14="http://schemas.microsoft.com/office/drawing/2010/main"/>
                      </a:ext>
                    </a:extLst>
                  </pic:spPr>
                </pic:pic>
              </a:graphicData>
            </a:graphic>
          </wp:inline>
        </w:drawing>
      </w:r>
      <w:r w:rsidRPr="00C5116B">
        <w:rPr>
          <w:rFonts w:ascii="Calibri Light" w:hAnsi="Calibri Light" w:cs="Calibri Light"/>
          <w:noProof/>
          <w:color w:val="000000" w:themeColor="text1"/>
          <w:kern w:val="0"/>
          <w:lang w:val="en-GB"/>
          <w14:ligatures w14:val="none"/>
        </w:rPr>
        <w:drawing>
          <wp:inline distT="0" distB="0" distL="0" distR="0" wp14:anchorId="0C1865DC" wp14:editId="1F087354">
            <wp:extent cx="3533140" cy="2076857"/>
            <wp:effectExtent l="0" t="0" r="0" b="0"/>
            <wp:docPr id="16303742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374245" name=""/>
                    <pic:cNvPicPr/>
                  </pic:nvPicPr>
                  <pic:blipFill>
                    <a:blip r:embed="rId11"/>
                    <a:stretch>
                      <a:fillRect/>
                    </a:stretch>
                  </pic:blipFill>
                  <pic:spPr>
                    <a:xfrm>
                      <a:off x="0" y="0"/>
                      <a:ext cx="3596747" cy="2114246"/>
                    </a:xfrm>
                    <a:prstGeom prst="rect">
                      <a:avLst/>
                    </a:prstGeom>
                  </pic:spPr>
                </pic:pic>
              </a:graphicData>
            </a:graphic>
          </wp:inline>
        </w:drawing>
      </w:r>
    </w:p>
    <w:p w14:paraId="33CCC505" w14:textId="77777777" w:rsidR="00C5116B" w:rsidRPr="00C5116B" w:rsidRDefault="00C5116B" w:rsidP="00C5116B">
      <w:pPr>
        <w:keepNext/>
        <w:keepLines/>
        <w:spacing w:before="160" w:beforeAutospacing="1" w:after="80" w:afterAutospacing="1" w:line="240" w:lineRule="auto"/>
        <w:outlineLvl w:val="1"/>
        <w:rPr>
          <w:rFonts w:ascii="Arial" w:eastAsiaTheme="majorEastAsia" w:hAnsi="Arial" w:cs="Arial"/>
          <w:color w:val="0F4761" w:themeColor="accent1" w:themeShade="BF"/>
          <w:kern w:val="0"/>
          <w:sz w:val="32"/>
          <w:szCs w:val="32"/>
          <w:lang w:val="en-GB"/>
          <w14:ligatures w14:val="none"/>
        </w:rPr>
      </w:pPr>
      <w:r w:rsidRPr="00C5116B">
        <w:rPr>
          <w:rFonts w:ascii="Arial" w:hAnsi="Arial" w:cs="Arial"/>
          <w:color w:val="000000" w:themeColor="text1"/>
          <w:kern w:val="0"/>
          <w:lang w:val="en-GB"/>
          <w14:ligatures w14:val="none"/>
        </w:rPr>
        <w:t xml:space="preserve">The Nordic Nicotine Pouches Alliance (NNPA) is a Brussels-based platform for stakeholders advocating for nicotine pouches as an essential part of harm reduction among adult nicotine users within the EU. We promote responsible, effective, and harmonised European legislation that establishes clear guidelines for this product category to achieve specific goals, such as banning extreme nicotine levels or reducing usage among minors. Our </w:t>
      </w:r>
      <w:proofErr w:type="gramStart"/>
      <w:r w:rsidRPr="00C5116B">
        <w:rPr>
          <w:rFonts w:ascii="Arial" w:hAnsi="Arial" w:cs="Arial"/>
          <w:color w:val="000000" w:themeColor="text1"/>
          <w:kern w:val="0"/>
          <w:lang w:val="en-GB"/>
          <w14:ligatures w14:val="none"/>
        </w:rPr>
        <w:t>main focus</w:t>
      </w:r>
      <w:proofErr w:type="gramEnd"/>
      <w:r w:rsidRPr="00C5116B">
        <w:rPr>
          <w:rFonts w:ascii="Arial" w:hAnsi="Arial" w:cs="Arial"/>
          <w:color w:val="000000" w:themeColor="text1"/>
          <w:kern w:val="0"/>
          <w:lang w:val="en-GB"/>
          <w14:ligatures w14:val="none"/>
        </w:rPr>
        <w:t xml:space="preserve"> is information dissemination, but we continuously work to build support for our position from stakeholders who are representatives of a responsible value chain. NNPA is funded by European industry actors.</w:t>
      </w:r>
    </w:p>
    <w:p w14:paraId="51AF0EEE" w14:textId="77777777" w:rsidR="00C5116B" w:rsidRPr="00C5116B" w:rsidRDefault="00C5116B" w:rsidP="00C5116B">
      <w:pPr>
        <w:keepNext/>
        <w:keepLines/>
        <w:spacing w:before="160" w:beforeAutospacing="1" w:after="80" w:afterAutospacing="1" w:line="240" w:lineRule="auto"/>
        <w:outlineLvl w:val="1"/>
        <w:rPr>
          <w:rFonts w:ascii="Arial" w:eastAsiaTheme="majorEastAsia" w:hAnsi="Arial" w:cs="Arial"/>
          <w:color w:val="0F4761" w:themeColor="accent1" w:themeShade="BF"/>
          <w:kern w:val="0"/>
          <w:sz w:val="32"/>
          <w:szCs w:val="32"/>
          <w:lang w:val="en-GB"/>
          <w14:ligatures w14:val="none"/>
        </w:rPr>
      </w:pPr>
      <w:r w:rsidRPr="00C5116B">
        <w:rPr>
          <w:rFonts w:ascii="Arial" w:eastAsiaTheme="majorEastAsia" w:hAnsi="Arial" w:cs="Arial"/>
          <w:color w:val="0F4761" w:themeColor="accent1" w:themeShade="BF"/>
          <w:kern w:val="0"/>
          <w:sz w:val="32"/>
          <w:szCs w:val="32"/>
          <w:lang w:val="en-GB"/>
          <w14:ligatures w14:val="none"/>
        </w:rPr>
        <w:t>Summary of our position:</w:t>
      </w:r>
    </w:p>
    <w:p w14:paraId="4B75DABC" w14:textId="531835C7" w:rsidR="005001C5" w:rsidRDefault="009563A0">
      <w:pPr>
        <w:rPr>
          <w:lang w:val="en-GB"/>
        </w:rPr>
      </w:pPr>
      <w:r>
        <w:rPr>
          <w:lang w:val="en-GB"/>
        </w:rPr>
        <w:t xml:space="preserve">NNPA welcomes </w:t>
      </w:r>
      <w:r w:rsidR="00DA3F08">
        <w:rPr>
          <w:lang w:val="en-GB"/>
        </w:rPr>
        <w:t xml:space="preserve">the demand </w:t>
      </w:r>
      <w:r w:rsidR="00B31CA5">
        <w:rPr>
          <w:lang w:val="en-GB"/>
        </w:rPr>
        <w:t xml:space="preserve">for consumer relevant information such as </w:t>
      </w:r>
      <w:r w:rsidR="004C06E3">
        <w:rPr>
          <w:lang w:val="en-GB"/>
        </w:rPr>
        <w:t xml:space="preserve">nicotine content per unit. </w:t>
      </w:r>
    </w:p>
    <w:p w14:paraId="03BF6BB0" w14:textId="77777777" w:rsidR="00930A4B" w:rsidRDefault="00065AD1">
      <w:pPr>
        <w:rPr>
          <w:lang w:val="en-GB"/>
        </w:rPr>
      </w:pPr>
      <w:r>
        <w:rPr>
          <w:lang w:val="en-GB"/>
        </w:rPr>
        <w:t xml:space="preserve">NNPA </w:t>
      </w:r>
      <w:r w:rsidR="00591414">
        <w:rPr>
          <w:lang w:val="en-GB"/>
        </w:rPr>
        <w:t xml:space="preserve">acknowledges the </w:t>
      </w:r>
      <w:r w:rsidR="00642716">
        <w:rPr>
          <w:lang w:val="en-GB"/>
        </w:rPr>
        <w:t>need</w:t>
      </w:r>
      <w:r w:rsidR="00B65C58">
        <w:rPr>
          <w:lang w:val="en-GB"/>
        </w:rPr>
        <w:t xml:space="preserve"> to regulate marketing, labelling, design and flavour descriptor</w:t>
      </w:r>
      <w:r w:rsidR="00E853BB">
        <w:rPr>
          <w:lang w:val="en-GB"/>
        </w:rPr>
        <w:t xml:space="preserve">s that </w:t>
      </w:r>
      <w:r w:rsidR="006B0ABA">
        <w:rPr>
          <w:lang w:val="en-GB"/>
        </w:rPr>
        <w:t xml:space="preserve">could be considered </w:t>
      </w:r>
      <w:r w:rsidR="00653662">
        <w:rPr>
          <w:lang w:val="en-GB"/>
        </w:rPr>
        <w:t>unduly attractive</w:t>
      </w:r>
      <w:r w:rsidR="006B0ABA">
        <w:rPr>
          <w:lang w:val="en-GB"/>
        </w:rPr>
        <w:t xml:space="preserve"> </w:t>
      </w:r>
      <w:r w:rsidR="006C00D6">
        <w:rPr>
          <w:lang w:val="en-GB"/>
        </w:rPr>
        <w:t xml:space="preserve">to underage </w:t>
      </w:r>
      <w:r w:rsidR="00444E1D">
        <w:rPr>
          <w:lang w:val="en-GB"/>
        </w:rPr>
        <w:t>persons;</w:t>
      </w:r>
      <w:r w:rsidR="00367FC9">
        <w:rPr>
          <w:lang w:val="en-GB"/>
        </w:rPr>
        <w:t xml:space="preserve"> however, </w:t>
      </w:r>
      <w:r w:rsidR="00691C88">
        <w:rPr>
          <w:lang w:val="en-GB"/>
        </w:rPr>
        <w:t xml:space="preserve">such restrictions must be balanced </w:t>
      </w:r>
      <w:r w:rsidR="00481245">
        <w:rPr>
          <w:lang w:val="en-GB"/>
        </w:rPr>
        <w:t xml:space="preserve">and proportional. </w:t>
      </w:r>
      <w:r w:rsidR="001F4CF8">
        <w:rPr>
          <w:lang w:val="en-GB"/>
        </w:rPr>
        <w:t xml:space="preserve">A blanket ban on </w:t>
      </w:r>
      <w:r w:rsidR="008F39E9">
        <w:rPr>
          <w:lang w:val="en-GB"/>
        </w:rPr>
        <w:t>all descriptors</w:t>
      </w:r>
      <w:r w:rsidR="007A385F">
        <w:rPr>
          <w:lang w:val="en-GB"/>
        </w:rPr>
        <w:t xml:space="preserve"> (except two)</w:t>
      </w:r>
      <w:r w:rsidR="008F39E9">
        <w:rPr>
          <w:lang w:val="en-GB"/>
        </w:rPr>
        <w:t xml:space="preserve"> of a product with no natural flavou</w:t>
      </w:r>
      <w:r w:rsidR="00444E1D">
        <w:rPr>
          <w:lang w:val="en-GB"/>
        </w:rPr>
        <w:t xml:space="preserve">rs </w:t>
      </w:r>
      <w:r w:rsidR="00B176D3">
        <w:rPr>
          <w:lang w:val="en-GB"/>
        </w:rPr>
        <w:t>cannot be motivated</w:t>
      </w:r>
      <w:r w:rsidR="007A385F">
        <w:rPr>
          <w:lang w:val="en-GB"/>
        </w:rPr>
        <w:t xml:space="preserve">. </w:t>
      </w:r>
    </w:p>
    <w:p w14:paraId="0C9C2EFB" w14:textId="6A9981D3" w:rsidR="00065AD1" w:rsidRDefault="00930A4B">
      <w:pPr>
        <w:rPr>
          <w:lang w:val="en-GB"/>
        </w:rPr>
      </w:pPr>
      <w:r w:rsidRPr="00930A4B">
        <w:rPr>
          <w:lang w:val="en-GB"/>
        </w:rPr>
        <w:t xml:space="preserve">We consider that the proposed restrictions </w:t>
      </w:r>
      <w:r w:rsidR="00142ADA" w:rsidRPr="00930A4B">
        <w:rPr>
          <w:lang w:val="en-GB"/>
        </w:rPr>
        <w:t>pre-empt</w:t>
      </w:r>
      <w:r w:rsidRPr="00930A4B">
        <w:rPr>
          <w:lang w:val="en-GB"/>
        </w:rPr>
        <w:t xml:space="preserve"> the revision of the Tobacco Products Directive, violate the principle of non-discrimination and the freedom of trade and industry (Article 36 TFEU</w:t>
      </w:r>
      <w:r w:rsidR="00B333F3">
        <w:rPr>
          <w:lang w:val="en-GB"/>
        </w:rPr>
        <w:t>)</w:t>
      </w:r>
    </w:p>
    <w:p w14:paraId="3F59BB31" w14:textId="6FDDC5F4" w:rsidR="003545FB" w:rsidRDefault="00C36817">
      <w:pPr>
        <w:rPr>
          <w:lang w:val="en-GB"/>
        </w:rPr>
      </w:pPr>
      <w:r w:rsidRPr="00D45CBB">
        <w:rPr>
          <w:lang w:val="en-GB"/>
        </w:rPr>
        <w:t>NNPA objects t</w:t>
      </w:r>
      <w:r w:rsidR="0090196E" w:rsidRPr="00D45CBB">
        <w:rPr>
          <w:lang w:val="en-GB"/>
        </w:rPr>
        <w:t>o</w:t>
      </w:r>
      <w:r w:rsidR="0090196E">
        <w:rPr>
          <w:lang w:val="en-GB"/>
        </w:rPr>
        <w:t xml:space="preserve"> broad restrictions of nicotine pouches </w:t>
      </w:r>
      <w:r w:rsidR="00BD6CF7">
        <w:rPr>
          <w:lang w:val="en-GB"/>
        </w:rPr>
        <w:t>since</w:t>
      </w:r>
      <w:r w:rsidR="00BD6CF7" w:rsidRPr="00BD6CF7">
        <w:rPr>
          <w:lang w:val="en-GB"/>
        </w:rPr>
        <w:t xml:space="preserve"> </w:t>
      </w:r>
      <w:r w:rsidR="00BD6CF7" w:rsidRPr="00451E14">
        <w:rPr>
          <w:lang w:val="en-GB"/>
        </w:rPr>
        <w:t xml:space="preserve">such restrictions are likely to have </w:t>
      </w:r>
      <w:r w:rsidR="00D45CBB">
        <w:rPr>
          <w:lang w:val="en-GB"/>
        </w:rPr>
        <w:t>a negative</w:t>
      </w:r>
      <w:r w:rsidR="00BD6CF7" w:rsidRPr="00451E14">
        <w:rPr>
          <w:lang w:val="en-GB"/>
        </w:rPr>
        <w:t xml:space="preserve"> effect</w:t>
      </w:r>
      <w:r w:rsidR="00D45CBB">
        <w:rPr>
          <w:lang w:val="en-GB"/>
        </w:rPr>
        <w:t xml:space="preserve"> on public health</w:t>
      </w:r>
      <w:r w:rsidR="00BD6CF7" w:rsidRPr="00451E14">
        <w:rPr>
          <w:lang w:val="en-GB"/>
        </w:rPr>
        <w:t xml:space="preserve"> by reducing access to reduced risk alternatives beneficial to smokers as recognized by </w:t>
      </w:r>
      <w:proofErr w:type="spellStart"/>
      <w:r w:rsidR="00BD6CF7" w:rsidRPr="00451E14">
        <w:rPr>
          <w:lang w:val="en-GB"/>
        </w:rPr>
        <w:t>Bfr</w:t>
      </w:r>
      <w:proofErr w:type="spellEnd"/>
      <w:r w:rsidR="00BD6CF7" w:rsidRPr="00451E14">
        <w:rPr>
          <w:lang w:val="en-GB"/>
        </w:rPr>
        <w:t>, COT</w:t>
      </w:r>
      <w:r w:rsidR="00FF3D6E">
        <w:rPr>
          <w:lang w:val="en-GB"/>
        </w:rPr>
        <w:t xml:space="preserve"> </w:t>
      </w:r>
      <w:r w:rsidR="00BD6CF7" w:rsidRPr="00451E14">
        <w:rPr>
          <w:lang w:val="en-GB"/>
        </w:rPr>
        <w:t>and RIVM</w:t>
      </w:r>
    </w:p>
    <w:p w14:paraId="60B2B04D" w14:textId="0A578717" w:rsidR="00746228" w:rsidRDefault="00E74575" w:rsidP="00E74575">
      <w:pPr>
        <w:pStyle w:val="Heading1"/>
      </w:pPr>
      <w:r w:rsidRPr="003F70D6">
        <w:lastRenderedPageBreak/>
        <w:t>NNPA</w:t>
      </w:r>
      <w:r>
        <w:t>’</w:t>
      </w:r>
      <w:r w:rsidRPr="003F70D6">
        <w:t>s</w:t>
      </w:r>
      <w:r>
        <w:t xml:space="preserve"> opinion</w:t>
      </w:r>
      <w:r w:rsidR="000C7B11">
        <w:t xml:space="preserve"> and objections</w:t>
      </w:r>
      <w:r>
        <w:t xml:space="preserve"> on</w:t>
      </w:r>
      <w:r w:rsidR="003545FB" w:rsidRPr="003545FB">
        <w:t xml:space="preserve"> </w:t>
      </w:r>
      <w:r w:rsidR="000C7B11" w:rsidRPr="000C7B11">
        <w:t>2024/0482/DK</w:t>
      </w:r>
    </w:p>
    <w:p w14:paraId="7514855E" w14:textId="5EAEE352" w:rsidR="00251CA8" w:rsidRDefault="0067194F" w:rsidP="001347C4">
      <w:r w:rsidRPr="0067194F">
        <w:t xml:space="preserve">The Danish government is updating </w:t>
      </w:r>
      <w:r w:rsidR="00225DB3">
        <w:t>the country’s</w:t>
      </w:r>
      <w:r w:rsidR="00225DB3" w:rsidRPr="0067194F">
        <w:t xml:space="preserve"> </w:t>
      </w:r>
      <w:r w:rsidRPr="0067194F">
        <w:t>law</w:t>
      </w:r>
      <w:r w:rsidR="00225DB3">
        <w:t>s</w:t>
      </w:r>
      <w:r w:rsidRPr="0067194F">
        <w:t xml:space="preserve"> on tobacco control and has notified the European Commission of the proposed changes.</w:t>
      </w:r>
      <w:r w:rsidR="001347C4" w:rsidRPr="001347C4">
        <w:t xml:space="preserve"> </w:t>
      </w:r>
      <w:r w:rsidR="001347C4">
        <w:t>The amendments to the Order concern:</w:t>
      </w:r>
      <w:r w:rsidR="008A24A6">
        <w:t xml:space="preserve"> </w:t>
      </w:r>
      <w:r w:rsidR="0019085A">
        <w:t xml:space="preserve">information about </w:t>
      </w:r>
      <w:r w:rsidR="001347C4">
        <w:t xml:space="preserve">nicotine content per </w:t>
      </w:r>
      <w:r w:rsidR="008A24A6">
        <w:t>nicotine pouch,</w:t>
      </w:r>
      <w:r w:rsidR="001347C4">
        <w:t xml:space="preserve"> nicotine cessation information</w:t>
      </w:r>
      <w:r w:rsidR="00E50B71">
        <w:t xml:space="preserve"> and that </w:t>
      </w:r>
      <w:r w:rsidR="001347C4">
        <w:t xml:space="preserve">any outer packaging </w:t>
      </w:r>
      <w:r w:rsidR="009F2EF9">
        <w:t xml:space="preserve">should </w:t>
      </w:r>
      <w:r w:rsidR="001347C4">
        <w:t xml:space="preserve">not contain elements or features which refer to taste, smell, </w:t>
      </w:r>
      <w:r w:rsidR="00A6418B">
        <w:t>flavorings</w:t>
      </w:r>
      <w:r w:rsidR="001347C4">
        <w:t xml:space="preserve"> or other additives or state</w:t>
      </w:r>
      <w:r w:rsidR="00E50B71">
        <w:t>ments</w:t>
      </w:r>
      <w:r w:rsidR="001347C4">
        <w:t xml:space="preserve">, </w:t>
      </w:r>
      <w:proofErr w:type="gramStart"/>
      <w:r w:rsidR="001347C4">
        <w:t>with the exception of</w:t>
      </w:r>
      <w:proofErr w:type="gramEnd"/>
      <w:r w:rsidR="001347C4">
        <w:t xml:space="preserve"> the words ‘with a tobacco taste’ or ‘with a menthol taste’.</w:t>
      </w:r>
    </w:p>
    <w:p w14:paraId="72FEEB06" w14:textId="284C4774" w:rsidR="00673F35" w:rsidRDefault="000C1AE2" w:rsidP="001347C4">
      <w:pPr>
        <w:rPr>
          <w:lang w:val="en-GB"/>
        </w:rPr>
      </w:pPr>
      <w:r>
        <w:t xml:space="preserve">The </w:t>
      </w:r>
      <w:r>
        <w:rPr>
          <w:lang w:val="en-GB"/>
        </w:rPr>
        <w:t xml:space="preserve">NNPA </w:t>
      </w:r>
      <w:r w:rsidR="00BB3F5A">
        <w:rPr>
          <w:lang w:val="en-GB"/>
        </w:rPr>
        <w:t xml:space="preserve">considers the </w:t>
      </w:r>
      <w:r w:rsidR="002B2A78">
        <w:rPr>
          <w:lang w:val="en-GB"/>
        </w:rPr>
        <w:t xml:space="preserve">proposed restrictions to pre-empt the revision of the Tobacco </w:t>
      </w:r>
      <w:r w:rsidR="0065071E">
        <w:rPr>
          <w:lang w:val="en-GB"/>
        </w:rPr>
        <w:t xml:space="preserve">Products Directive </w:t>
      </w:r>
      <w:r w:rsidR="002B2A78">
        <w:rPr>
          <w:lang w:val="en-GB"/>
        </w:rPr>
        <w:t xml:space="preserve">but </w:t>
      </w:r>
      <w:r w:rsidR="009F30F2">
        <w:rPr>
          <w:lang w:val="en-GB"/>
        </w:rPr>
        <w:t xml:space="preserve">while </w:t>
      </w:r>
      <w:r w:rsidR="0040553F">
        <w:rPr>
          <w:lang w:val="en-GB"/>
        </w:rPr>
        <w:t xml:space="preserve">voicing this concern, on a more general note </w:t>
      </w:r>
      <w:r>
        <w:rPr>
          <w:lang w:val="en-GB"/>
        </w:rPr>
        <w:t>welcomes the demand for consumer relevant information such as nicotine content per unit</w:t>
      </w:r>
      <w:r w:rsidR="00683EB5">
        <w:rPr>
          <w:lang w:val="en-GB"/>
        </w:rPr>
        <w:t xml:space="preserve"> and nicotine cessation information</w:t>
      </w:r>
      <w:r w:rsidR="004F495A">
        <w:rPr>
          <w:lang w:val="en-GB"/>
        </w:rPr>
        <w:t>.</w:t>
      </w:r>
    </w:p>
    <w:p w14:paraId="77780186" w14:textId="77777777" w:rsidR="00890503" w:rsidRDefault="002E0C50" w:rsidP="00890503">
      <w:pPr>
        <w:rPr>
          <w:lang w:val="en-GB"/>
        </w:rPr>
      </w:pPr>
      <w:r>
        <w:rPr>
          <w:lang w:val="en-GB"/>
        </w:rPr>
        <w:t>NNPA acknowledges the need to regulate marketing, labelling, design and flavour descriptors that could be considered unduly attractive to underage persons; however, such restrictions must be balanced and proportional</w:t>
      </w:r>
      <w:r w:rsidR="00C21F9B">
        <w:rPr>
          <w:lang w:val="en-GB"/>
        </w:rPr>
        <w:t xml:space="preserve"> which is not the case for the Danish </w:t>
      </w:r>
      <w:r w:rsidR="00445DAD">
        <w:rPr>
          <w:lang w:val="en-GB"/>
        </w:rPr>
        <w:t xml:space="preserve">proposal. </w:t>
      </w:r>
    </w:p>
    <w:p w14:paraId="79F7CDC3" w14:textId="77777777" w:rsidR="00B81570" w:rsidRDefault="000A210E" w:rsidP="001347C4">
      <w:r>
        <w:t>Underage persons are not the intended target audience for nicotine pouches and t</w:t>
      </w:r>
      <w:r w:rsidR="007D5C42" w:rsidRPr="007D3550">
        <w:t xml:space="preserve">he broader Danish prevention package already contain </w:t>
      </w:r>
      <w:proofErr w:type="gramStart"/>
      <w:r w:rsidR="007D5C42" w:rsidRPr="007D3550">
        <w:t>a number of</w:t>
      </w:r>
      <w:proofErr w:type="gramEnd"/>
      <w:r w:rsidR="007D5C42" w:rsidRPr="007D3550">
        <w:t xml:space="preserve"> far more effective and specific measures such as improved age verification and supervision that does not have an undue effect outside the intended target group i.e. underage persons.</w:t>
      </w:r>
    </w:p>
    <w:p w14:paraId="439E7ADF" w14:textId="2BD90719" w:rsidR="00C21F9B" w:rsidRPr="00B81570" w:rsidRDefault="00B81570" w:rsidP="001347C4">
      <w:r>
        <w:t xml:space="preserve">While </w:t>
      </w:r>
      <w:r w:rsidR="009159FC">
        <w:t xml:space="preserve">measures that are targeted at underage use </w:t>
      </w:r>
      <w:r w:rsidR="00FB2FCE">
        <w:t>can be necessary t</w:t>
      </w:r>
      <w:r w:rsidR="00890503" w:rsidRPr="00451E14">
        <w:rPr>
          <w:lang w:val="en-GB"/>
        </w:rPr>
        <w:t xml:space="preserve">here are no public health risks that could justify </w:t>
      </w:r>
      <w:r w:rsidR="00890503">
        <w:rPr>
          <w:lang w:val="en-GB"/>
        </w:rPr>
        <w:t xml:space="preserve">broad </w:t>
      </w:r>
      <w:r w:rsidR="00890503" w:rsidRPr="00451E14">
        <w:rPr>
          <w:lang w:val="en-GB"/>
        </w:rPr>
        <w:t xml:space="preserve">restrictions on nicotine pouches. On the contrary, such restrictions are likely to have the opposite effect by reducing access to reduced risk alternatives beneficial to smokers as recognized by </w:t>
      </w:r>
      <w:proofErr w:type="spellStart"/>
      <w:r w:rsidR="00890503" w:rsidRPr="00451E14">
        <w:rPr>
          <w:lang w:val="en-GB"/>
        </w:rPr>
        <w:t>Bfr</w:t>
      </w:r>
      <w:proofErr w:type="spellEnd"/>
      <w:r w:rsidR="00890503" w:rsidRPr="00451E14">
        <w:rPr>
          <w:lang w:val="en-GB"/>
        </w:rPr>
        <w:t>,</w:t>
      </w:r>
      <w:r w:rsidR="00890503">
        <w:rPr>
          <w:rStyle w:val="FootnoteReference"/>
          <w:lang w:val="en-GB"/>
        </w:rPr>
        <w:footnoteReference w:id="2"/>
      </w:r>
      <w:r w:rsidR="00890503" w:rsidRPr="00451E14">
        <w:rPr>
          <w:lang w:val="en-GB"/>
        </w:rPr>
        <w:t xml:space="preserve"> COT</w:t>
      </w:r>
      <w:r w:rsidR="00890503">
        <w:rPr>
          <w:rStyle w:val="FootnoteReference"/>
          <w:lang w:val="en-GB"/>
        </w:rPr>
        <w:footnoteReference w:id="3"/>
      </w:r>
      <w:r w:rsidR="00890503" w:rsidRPr="00451E14">
        <w:rPr>
          <w:lang w:val="en-GB"/>
        </w:rPr>
        <w:t xml:space="preserve"> and RIVM</w:t>
      </w:r>
      <w:r w:rsidR="00890503">
        <w:rPr>
          <w:rStyle w:val="FootnoteReference"/>
          <w:lang w:val="en-GB"/>
        </w:rPr>
        <w:footnoteReference w:id="4"/>
      </w:r>
      <w:r w:rsidR="00007092">
        <w:rPr>
          <w:lang w:val="en-GB"/>
        </w:rPr>
        <w:t xml:space="preserve">. </w:t>
      </w:r>
    </w:p>
    <w:p w14:paraId="73239309" w14:textId="67B234C7" w:rsidR="00276ECD" w:rsidRPr="00B819C3" w:rsidRDefault="00CF3CE5" w:rsidP="001347C4">
      <w:pPr>
        <w:rPr>
          <w:lang w:val="en-GB"/>
        </w:rPr>
      </w:pPr>
      <w:r w:rsidRPr="00CF3CE5">
        <w:rPr>
          <w:lang w:val="en-GB"/>
        </w:rPr>
        <w:t>We find the proposed restrictions to be unjustified and in violation of the principle of free movement of goods</w:t>
      </w:r>
      <w:r w:rsidR="00B819C3">
        <w:rPr>
          <w:lang w:val="en-GB"/>
        </w:rPr>
        <w:t xml:space="preserve"> and to </w:t>
      </w:r>
      <w:r w:rsidR="00B819C3" w:rsidRPr="00930A4B">
        <w:rPr>
          <w:lang w:val="en-GB"/>
        </w:rPr>
        <w:t>violate the principle of non-discrimination and the freedom of trade and industry (Article 36 TFEU</w:t>
      </w:r>
      <w:r w:rsidR="00B819C3">
        <w:rPr>
          <w:lang w:val="en-GB"/>
        </w:rPr>
        <w:t xml:space="preserve">). </w:t>
      </w:r>
      <w:r w:rsidRPr="00CF3CE5">
        <w:rPr>
          <w:lang w:val="en-GB"/>
        </w:rPr>
        <w:t xml:space="preserve">Nicotine pouches are consumed daily by around 1.4 million citizens across 25 EU Member States. The overwhelming majority of these consumers are adults that have switched away from smoking traditional tobacco cigarettes as pouches offer an alternative and </w:t>
      </w:r>
      <w:r w:rsidR="009361B5">
        <w:rPr>
          <w:lang w:val="en-GB"/>
        </w:rPr>
        <w:t xml:space="preserve">significantly </w:t>
      </w:r>
      <w:r w:rsidRPr="00CF3CE5">
        <w:rPr>
          <w:lang w:val="en-GB"/>
        </w:rPr>
        <w:t>less risky way of consuming nicotine.</w:t>
      </w:r>
      <w:r w:rsidR="00276ECD" w:rsidRPr="00276ECD">
        <w:t xml:space="preserve"> </w:t>
      </w:r>
    </w:p>
    <w:p w14:paraId="743486F5" w14:textId="5197C048" w:rsidR="00613808" w:rsidRDefault="00276ECD" w:rsidP="001347C4">
      <w:pPr>
        <w:rPr>
          <w:lang w:val="en-GB"/>
        </w:rPr>
      </w:pPr>
      <w:r w:rsidRPr="00276ECD">
        <w:rPr>
          <w:lang w:val="en-GB"/>
        </w:rPr>
        <w:t xml:space="preserve">The ban is not proportionate since there is no scientific evidence or even statistical indications that suggests that nicotine users would be exposed to higher risk by placing nicotine pouches with flavour and attached descriptors on the market. </w:t>
      </w:r>
      <w:r w:rsidR="009D3657">
        <w:rPr>
          <w:lang w:val="en-GB"/>
        </w:rPr>
        <w:t xml:space="preserve">Claiming that this </w:t>
      </w:r>
      <w:r w:rsidR="002C3D8B">
        <w:rPr>
          <w:lang w:val="en-GB"/>
        </w:rPr>
        <w:t>very broad</w:t>
      </w:r>
      <w:r w:rsidR="0037168C">
        <w:rPr>
          <w:lang w:val="en-GB"/>
        </w:rPr>
        <w:t xml:space="preserve"> and unspecific</w:t>
      </w:r>
      <w:r w:rsidR="002C3D8B">
        <w:rPr>
          <w:lang w:val="en-GB"/>
        </w:rPr>
        <w:t xml:space="preserve"> </w:t>
      </w:r>
      <w:r w:rsidR="009D3657">
        <w:rPr>
          <w:lang w:val="en-GB"/>
        </w:rPr>
        <w:t xml:space="preserve">measure is </w:t>
      </w:r>
      <w:r w:rsidR="00AD6252">
        <w:rPr>
          <w:lang w:val="en-GB"/>
        </w:rPr>
        <w:t xml:space="preserve">put in place to protect underage persons </w:t>
      </w:r>
      <w:r w:rsidR="002C3D8B">
        <w:rPr>
          <w:lang w:val="en-GB"/>
        </w:rPr>
        <w:t>does not make it</w:t>
      </w:r>
      <w:r w:rsidR="0037168C">
        <w:rPr>
          <w:lang w:val="en-GB"/>
        </w:rPr>
        <w:t xml:space="preserve"> proportional nor motivated.</w:t>
      </w:r>
      <w:r w:rsidR="002C3D8B">
        <w:rPr>
          <w:lang w:val="en-GB"/>
        </w:rPr>
        <w:t xml:space="preserve"> </w:t>
      </w:r>
      <w:r w:rsidRPr="00276ECD">
        <w:rPr>
          <w:lang w:val="en-GB"/>
        </w:rPr>
        <w:t>The Member State that clearly excel at reducing tobacco harm</w:t>
      </w:r>
      <w:r w:rsidR="0019085A">
        <w:rPr>
          <w:lang w:val="en-GB"/>
        </w:rPr>
        <w:t>, Sweden,</w:t>
      </w:r>
      <w:r w:rsidRPr="00276ECD">
        <w:rPr>
          <w:lang w:val="en-GB"/>
        </w:rPr>
        <w:t xml:space="preserve"> ha</w:t>
      </w:r>
      <w:r w:rsidR="0019085A">
        <w:rPr>
          <w:lang w:val="en-GB"/>
        </w:rPr>
        <w:t xml:space="preserve">s </w:t>
      </w:r>
      <w:r w:rsidRPr="00276ECD">
        <w:rPr>
          <w:lang w:val="en-GB"/>
        </w:rPr>
        <w:t>a general rule against marketing to persons below a certain age</w:t>
      </w:r>
      <w:r w:rsidR="0019085A">
        <w:rPr>
          <w:lang w:val="en-GB"/>
        </w:rPr>
        <w:t xml:space="preserve"> instead of a specific ban on descriptors </w:t>
      </w:r>
      <w:r w:rsidRPr="00276ECD">
        <w:rPr>
          <w:lang w:val="en-GB"/>
        </w:rPr>
        <w:t xml:space="preserve">showing that Denmark could achieve even more ambitious health objectives </w:t>
      </w:r>
      <w:r w:rsidRPr="00276ECD">
        <w:rPr>
          <w:lang w:val="en-GB"/>
        </w:rPr>
        <w:lastRenderedPageBreak/>
        <w:t>without this unwarranted and arbitrary limit</w:t>
      </w:r>
      <w:r w:rsidR="00A6418B">
        <w:rPr>
          <w:lang w:val="en-GB"/>
        </w:rPr>
        <w:t xml:space="preserve"> of relevant consumer information on the package. Denmark will also reinforce for example age control and supervision which should be far more effective tools to curb underage use</w:t>
      </w:r>
      <w:r w:rsidRPr="00276ECD">
        <w:rPr>
          <w:lang w:val="en-GB"/>
        </w:rPr>
        <w:t>.</w:t>
      </w:r>
    </w:p>
    <w:p w14:paraId="4A9FFDC0" w14:textId="4716D455" w:rsidR="00FE25E5" w:rsidRPr="00FE25E5" w:rsidRDefault="00FE25E5" w:rsidP="00FE25E5">
      <w:pPr>
        <w:rPr>
          <w:lang w:val="en-GB"/>
        </w:rPr>
      </w:pPr>
      <w:r w:rsidRPr="00FE25E5">
        <w:rPr>
          <w:lang w:val="en-GB"/>
        </w:rPr>
        <w:t>Flavour diversity is integral to the acceptance of nicotine pouches among adult smokers. Instead of outright</w:t>
      </w:r>
      <w:r w:rsidR="00011D0F">
        <w:rPr>
          <w:lang w:val="en-GB"/>
        </w:rPr>
        <w:t xml:space="preserve"> ban</w:t>
      </w:r>
      <w:r w:rsidR="000B7ACE">
        <w:rPr>
          <w:lang w:val="en-GB"/>
        </w:rPr>
        <w:t>s on consumer relevant information or</w:t>
      </w:r>
      <w:r w:rsidRPr="00FE25E5">
        <w:rPr>
          <w:lang w:val="en-GB"/>
        </w:rPr>
        <w:t xml:space="preserve"> flavour restrictions, NNPA suggests regulating</w:t>
      </w:r>
      <w:r w:rsidR="006C3FE4">
        <w:rPr>
          <w:lang w:val="en-GB"/>
        </w:rPr>
        <w:t xml:space="preserve"> unsuitable</w:t>
      </w:r>
      <w:r w:rsidRPr="00FE25E5">
        <w:rPr>
          <w:lang w:val="en-GB"/>
        </w:rPr>
        <w:t xml:space="preserve"> flavour descriptors and marketing to mitigate potential appeal to youth. </w:t>
      </w:r>
    </w:p>
    <w:p w14:paraId="19739953" w14:textId="0B285F83" w:rsidR="00751701" w:rsidRPr="00751701" w:rsidRDefault="00751701" w:rsidP="00751701">
      <w:pPr>
        <w:spacing w:before="100" w:beforeAutospacing="1" w:after="100" w:afterAutospacing="1" w:line="240" w:lineRule="auto"/>
        <w:rPr>
          <w:rFonts w:ascii="Arial" w:hAnsi="Arial" w:cs="Arial"/>
          <w:kern w:val="0"/>
          <w:lang w:eastAsia="en-GB"/>
          <w14:ligatures w14:val="none"/>
        </w:rPr>
      </w:pPr>
      <w:r w:rsidRPr="00751701">
        <w:rPr>
          <w:rFonts w:ascii="Arial" w:hAnsi="Arial" w:cs="Arial"/>
          <w:kern w:val="0"/>
          <w:lang w:eastAsia="en-GB"/>
          <w14:ligatures w14:val="none"/>
        </w:rPr>
        <w:t>In conclusion, we strongly oppose the proposed restrictions</w:t>
      </w:r>
      <w:r w:rsidR="00BB64FC" w:rsidRPr="00751701">
        <w:rPr>
          <w:rFonts w:ascii="Arial" w:hAnsi="Arial" w:cs="Arial"/>
          <w:kern w:val="0"/>
          <w:lang w:eastAsia="en-GB"/>
          <w14:ligatures w14:val="none"/>
        </w:rPr>
        <w:t xml:space="preserve"> </w:t>
      </w:r>
      <w:r w:rsidR="0B7A85AB" w:rsidRPr="00751701">
        <w:rPr>
          <w:rFonts w:ascii="Arial" w:hAnsi="Arial" w:cs="Arial"/>
          <w:kern w:val="0"/>
          <w:lang w:eastAsia="en-GB"/>
          <w14:ligatures w14:val="none"/>
        </w:rPr>
        <w:t xml:space="preserve">on </w:t>
      </w:r>
      <w:r w:rsidR="00A6418B">
        <w:rPr>
          <w:rFonts w:ascii="Arial" w:hAnsi="Arial" w:cs="Arial"/>
          <w:kern w:val="0"/>
          <w:lang w:eastAsia="en-GB"/>
          <w14:ligatures w14:val="none"/>
        </w:rPr>
        <w:t xml:space="preserve">flavor </w:t>
      </w:r>
      <w:r w:rsidR="0B7A85AB" w:rsidRPr="00751701">
        <w:rPr>
          <w:rFonts w:ascii="Arial" w:hAnsi="Arial" w:cs="Arial"/>
          <w:kern w:val="0"/>
          <w:lang w:eastAsia="en-GB"/>
          <w14:ligatures w14:val="none"/>
        </w:rPr>
        <w:t>descriptors</w:t>
      </w:r>
    </w:p>
    <w:p w14:paraId="02CDD208" w14:textId="77777777" w:rsidR="00751701" w:rsidRPr="00751701" w:rsidRDefault="00751701" w:rsidP="00751701">
      <w:pPr>
        <w:spacing w:before="100" w:beforeAutospacing="1" w:after="100" w:afterAutospacing="1" w:line="240" w:lineRule="auto"/>
        <w:rPr>
          <w:rFonts w:ascii="Arial" w:hAnsi="Arial" w:cs="Arial"/>
          <w:kern w:val="0"/>
          <w:lang w:eastAsia="en-GB"/>
          <w14:ligatures w14:val="none"/>
        </w:rPr>
      </w:pPr>
      <w:r w:rsidRPr="00751701">
        <w:rPr>
          <w:rFonts w:ascii="Arial" w:hAnsi="Arial" w:cs="Arial"/>
          <w:kern w:val="0"/>
          <w:lang w:eastAsia="en-GB"/>
          <w14:ligatures w14:val="none"/>
        </w:rPr>
        <w:t>För NNPA, Robert Casinge</w:t>
      </w:r>
    </w:p>
    <w:p w14:paraId="2CFF3E52" w14:textId="77777777" w:rsidR="00751701" w:rsidRPr="00751701" w:rsidRDefault="00751701" w:rsidP="00751701">
      <w:pPr>
        <w:spacing w:before="100" w:beforeAutospacing="1" w:after="100" w:afterAutospacing="1" w:line="240" w:lineRule="auto"/>
        <w:rPr>
          <w:rFonts w:ascii="Arial" w:hAnsi="Arial" w:cs="Arial"/>
          <w:b/>
          <w:bCs/>
          <w:kern w:val="0"/>
          <w:lang w:val="en-GB"/>
          <w14:ligatures w14:val="none"/>
        </w:rPr>
      </w:pPr>
      <w:r w:rsidRPr="00751701">
        <w:rPr>
          <w:rFonts w:ascii="Arial" w:hAnsi="Arial" w:cs="Arial"/>
          <w:kern w:val="0"/>
          <w:lang w:val="en-GB" w:eastAsia="en-GB"/>
          <w14:ligatures w14:val="none"/>
        </w:rPr>
        <w:t>Senior partner, regulatory affairs</w:t>
      </w:r>
      <w:r w:rsidRPr="00751701">
        <w:rPr>
          <w:rFonts w:ascii="Arial" w:hAnsi="Arial" w:cs="Arial"/>
          <w:b/>
          <w:bCs/>
          <w:kern w:val="0"/>
          <w:lang w:val="en-GB"/>
          <w14:ligatures w14:val="none"/>
        </w:rPr>
        <w:t xml:space="preserve"> </w:t>
      </w:r>
    </w:p>
    <w:p w14:paraId="57069938" w14:textId="50F7FEBC" w:rsidR="00751701" w:rsidRPr="00751701" w:rsidRDefault="00751701" w:rsidP="00751701">
      <w:pPr>
        <w:spacing w:before="100" w:beforeAutospacing="1" w:after="100" w:afterAutospacing="1" w:line="240" w:lineRule="auto"/>
        <w:rPr>
          <w:rFonts w:ascii="Arial" w:hAnsi="Arial" w:cs="Arial"/>
          <w:kern w:val="0"/>
          <w:lang w:val="en-GB" w:eastAsia="en-GB"/>
          <w14:ligatures w14:val="none"/>
        </w:rPr>
      </w:pPr>
      <w:r w:rsidRPr="00751701">
        <w:rPr>
          <w:rFonts w:ascii="Arial" w:hAnsi="Arial" w:cs="Arial"/>
          <w:b/>
          <w:bCs/>
          <w:kern w:val="0"/>
          <w:lang w:val="en-GB"/>
          <w14:ligatures w14:val="none"/>
        </w:rPr>
        <w:t>Brussels 2024-</w:t>
      </w:r>
      <w:r w:rsidR="00A6418B">
        <w:rPr>
          <w:rFonts w:ascii="Arial" w:hAnsi="Arial" w:cs="Arial"/>
          <w:b/>
          <w:bCs/>
          <w:kern w:val="0"/>
          <w:lang w:val="en-GB"/>
          <w14:ligatures w14:val="none"/>
        </w:rPr>
        <w:t>12-02</w:t>
      </w:r>
    </w:p>
    <w:p w14:paraId="48D2A95E" w14:textId="77777777" w:rsidR="006301FF" w:rsidRPr="007D3550" w:rsidRDefault="006301FF"/>
    <w:sectPr w:rsidR="006301FF" w:rsidRPr="007D35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9B97" w14:textId="77777777" w:rsidR="006D6215" w:rsidRDefault="006D6215" w:rsidP="00A1264C">
      <w:pPr>
        <w:spacing w:after="0" w:line="240" w:lineRule="auto"/>
      </w:pPr>
      <w:r>
        <w:separator/>
      </w:r>
    </w:p>
  </w:endnote>
  <w:endnote w:type="continuationSeparator" w:id="0">
    <w:p w14:paraId="01033296" w14:textId="77777777" w:rsidR="006D6215" w:rsidRDefault="006D6215" w:rsidP="00A1264C">
      <w:pPr>
        <w:spacing w:after="0" w:line="240" w:lineRule="auto"/>
      </w:pPr>
      <w:r>
        <w:continuationSeparator/>
      </w:r>
    </w:p>
  </w:endnote>
  <w:endnote w:type="continuationNotice" w:id="1">
    <w:p w14:paraId="22283865" w14:textId="77777777" w:rsidR="006D6215" w:rsidRDefault="006D621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B77EE" w14:textId="77777777" w:rsidR="006D6215" w:rsidRDefault="006D6215" w:rsidP="00A1264C">
      <w:pPr>
        <w:spacing w:after="0" w:line="240" w:lineRule="auto"/>
      </w:pPr>
      <w:r>
        <w:separator/>
      </w:r>
    </w:p>
  </w:footnote>
  <w:footnote w:type="continuationSeparator" w:id="0">
    <w:p w14:paraId="7C658ED3" w14:textId="77777777" w:rsidR="006D6215" w:rsidRDefault="006D6215" w:rsidP="00A1264C">
      <w:pPr>
        <w:spacing w:after="0" w:line="240" w:lineRule="auto"/>
      </w:pPr>
      <w:r>
        <w:continuationSeparator/>
      </w:r>
    </w:p>
  </w:footnote>
  <w:footnote w:type="continuationNotice" w:id="1">
    <w:p w14:paraId="2F13A235" w14:textId="77777777" w:rsidR="006D6215" w:rsidRDefault="006D6215">
      <w:pPr>
        <w:spacing w:after="0" w:line="240" w:lineRule="auto"/>
      </w:pPr>
    </w:p>
  </w:footnote>
  <w:footnote w:id="2">
    <w:p w14:paraId="5AE344A0" w14:textId="77777777" w:rsidR="00890503" w:rsidRPr="00C53B62" w:rsidRDefault="00890503" w:rsidP="00890503">
      <w:pPr>
        <w:pStyle w:val="FootnoteText"/>
      </w:pPr>
      <w:r>
        <w:rPr>
          <w:rStyle w:val="FootnoteReference"/>
        </w:rPr>
        <w:footnoteRef/>
      </w:r>
      <w:r>
        <w:t xml:space="preserve"> </w:t>
      </w:r>
      <w:hyperlink r:id="rId1" w:history="1">
        <w:r w:rsidRPr="005311AB">
          <w:rPr>
            <w:rStyle w:val="Hyperlink"/>
          </w:rPr>
          <w:t>https://www.bfr.bund.de/cm/349/health-risk-assessment-of-nicotine-pouches.pdf</w:t>
        </w:r>
      </w:hyperlink>
      <w:r>
        <w:t xml:space="preserve"> </w:t>
      </w:r>
    </w:p>
  </w:footnote>
  <w:footnote w:id="3">
    <w:p w14:paraId="5BCC9021" w14:textId="77777777" w:rsidR="00890503" w:rsidRPr="000C76D1" w:rsidRDefault="00890503" w:rsidP="00890503">
      <w:pPr>
        <w:pStyle w:val="FootnoteText"/>
      </w:pPr>
      <w:r>
        <w:rPr>
          <w:rStyle w:val="FootnoteReference"/>
        </w:rPr>
        <w:footnoteRef/>
      </w:r>
      <w:r>
        <w:t xml:space="preserve"> </w:t>
      </w:r>
      <w:hyperlink r:id="rId2" w:history="1">
        <w:r w:rsidRPr="005311AB">
          <w:rPr>
            <w:rStyle w:val="Hyperlink"/>
          </w:rPr>
          <w:t>https://cot.food.gov.uk/sites/default/files/2023-04/Publishable%20%20COT%20Oral%20nicotine%20pouches%20-%20final%20v1-0%20Acc%20V.pdf</w:t>
        </w:r>
      </w:hyperlink>
    </w:p>
  </w:footnote>
  <w:footnote w:id="4">
    <w:p w14:paraId="51C2324E" w14:textId="77777777" w:rsidR="00890503" w:rsidRPr="00C53B62" w:rsidRDefault="00890503" w:rsidP="00890503">
      <w:pPr>
        <w:pStyle w:val="FootnoteText"/>
      </w:pPr>
      <w:r>
        <w:rPr>
          <w:rStyle w:val="FootnoteReference"/>
        </w:rPr>
        <w:footnoteRef/>
      </w:r>
      <w:r>
        <w:t xml:space="preserve"> </w:t>
      </w:r>
      <w:hyperlink r:id="rId3" w:history="1">
        <w:r w:rsidRPr="005311AB">
          <w:rPr>
            <w:rStyle w:val="Hyperlink"/>
          </w:rPr>
          <w:t>https://www.rivm.nl/publicaties/nicotineproducten-zonder-tabak-voor-recreatief-gebruik</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5222B"/>
    <w:multiLevelType w:val="hybridMultilevel"/>
    <w:tmpl w:val="1988F9A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307827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16B"/>
    <w:rsid w:val="00007092"/>
    <w:rsid w:val="00011D0F"/>
    <w:rsid w:val="00015E22"/>
    <w:rsid w:val="00037B78"/>
    <w:rsid w:val="00047FBA"/>
    <w:rsid w:val="0005238C"/>
    <w:rsid w:val="00054D3C"/>
    <w:rsid w:val="00065AD1"/>
    <w:rsid w:val="000975AC"/>
    <w:rsid w:val="000A210E"/>
    <w:rsid w:val="000B7ACE"/>
    <w:rsid w:val="000C1AE2"/>
    <w:rsid w:val="000C76D1"/>
    <w:rsid w:val="000C7B11"/>
    <w:rsid w:val="000F71DC"/>
    <w:rsid w:val="001347C4"/>
    <w:rsid w:val="00142ADA"/>
    <w:rsid w:val="00174DB9"/>
    <w:rsid w:val="0019085A"/>
    <w:rsid w:val="001A03C9"/>
    <w:rsid w:val="001B4AD9"/>
    <w:rsid w:val="001B5783"/>
    <w:rsid w:val="001D130F"/>
    <w:rsid w:val="001F3EDF"/>
    <w:rsid w:val="001F4CF8"/>
    <w:rsid w:val="00214AC4"/>
    <w:rsid w:val="00225DB3"/>
    <w:rsid w:val="00251CA8"/>
    <w:rsid w:val="00276ECD"/>
    <w:rsid w:val="002825A6"/>
    <w:rsid w:val="0029588E"/>
    <w:rsid w:val="002B2449"/>
    <w:rsid w:val="002B2A78"/>
    <w:rsid w:val="002C3D8B"/>
    <w:rsid w:val="002E0C50"/>
    <w:rsid w:val="00313AA4"/>
    <w:rsid w:val="003545FB"/>
    <w:rsid w:val="00367FC9"/>
    <w:rsid w:val="0037168C"/>
    <w:rsid w:val="003A6008"/>
    <w:rsid w:val="0040553F"/>
    <w:rsid w:val="004332EA"/>
    <w:rsid w:val="00444E1D"/>
    <w:rsid w:val="00445DAD"/>
    <w:rsid w:val="00451E14"/>
    <w:rsid w:val="0046758D"/>
    <w:rsid w:val="00481245"/>
    <w:rsid w:val="00492D9E"/>
    <w:rsid w:val="004B5F6F"/>
    <w:rsid w:val="004C06E3"/>
    <w:rsid w:val="004E0907"/>
    <w:rsid w:val="004F2AAA"/>
    <w:rsid w:val="004F495A"/>
    <w:rsid w:val="005001C5"/>
    <w:rsid w:val="00515FCB"/>
    <w:rsid w:val="00533BA7"/>
    <w:rsid w:val="00562D0C"/>
    <w:rsid w:val="00591414"/>
    <w:rsid w:val="005D0C25"/>
    <w:rsid w:val="005E67F1"/>
    <w:rsid w:val="006007C1"/>
    <w:rsid w:val="006048E3"/>
    <w:rsid w:val="00613808"/>
    <w:rsid w:val="00621878"/>
    <w:rsid w:val="006301FF"/>
    <w:rsid w:val="00642716"/>
    <w:rsid w:val="0065071E"/>
    <w:rsid w:val="00653662"/>
    <w:rsid w:val="0067194F"/>
    <w:rsid w:val="00671CDF"/>
    <w:rsid w:val="00673F35"/>
    <w:rsid w:val="00683EB5"/>
    <w:rsid w:val="00691C88"/>
    <w:rsid w:val="006B0ABA"/>
    <w:rsid w:val="006C00D6"/>
    <w:rsid w:val="006C3FE4"/>
    <w:rsid w:val="006D6215"/>
    <w:rsid w:val="006F4C44"/>
    <w:rsid w:val="0074296D"/>
    <w:rsid w:val="00746228"/>
    <w:rsid w:val="00751701"/>
    <w:rsid w:val="00766F35"/>
    <w:rsid w:val="007A385F"/>
    <w:rsid w:val="007D3550"/>
    <w:rsid w:val="007D5C42"/>
    <w:rsid w:val="007D7887"/>
    <w:rsid w:val="007E09C7"/>
    <w:rsid w:val="0087235A"/>
    <w:rsid w:val="00890503"/>
    <w:rsid w:val="00893951"/>
    <w:rsid w:val="008A24A6"/>
    <w:rsid w:val="008B2E91"/>
    <w:rsid w:val="008E1BE3"/>
    <w:rsid w:val="008F39E9"/>
    <w:rsid w:val="0090196E"/>
    <w:rsid w:val="0090286F"/>
    <w:rsid w:val="009159FC"/>
    <w:rsid w:val="00930A4B"/>
    <w:rsid w:val="009361B5"/>
    <w:rsid w:val="009563A0"/>
    <w:rsid w:val="009C3E37"/>
    <w:rsid w:val="009D3657"/>
    <w:rsid w:val="009F2EF9"/>
    <w:rsid w:val="009F30F2"/>
    <w:rsid w:val="00A1264C"/>
    <w:rsid w:val="00A20980"/>
    <w:rsid w:val="00A44295"/>
    <w:rsid w:val="00A6418B"/>
    <w:rsid w:val="00AD6252"/>
    <w:rsid w:val="00AF2D62"/>
    <w:rsid w:val="00AF42B9"/>
    <w:rsid w:val="00B176D3"/>
    <w:rsid w:val="00B31CA5"/>
    <w:rsid w:val="00B333F3"/>
    <w:rsid w:val="00B34E43"/>
    <w:rsid w:val="00B43051"/>
    <w:rsid w:val="00B45748"/>
    <w:rsid w:val="00B53181"/>
    <w:rsid w:val="00B56BEE"/>
    <w:rsid w:val="00B60DA1"/>
    <w:rsid w:val="00B65C58"/>
    <w:rsid w:val="00B81570"/>
    <w:rsid w:val="00B819C3"/>
    <w:rsid w:val="00BB3F5A"/>
    <w:rsid w:val="00BB64A2"/>
    <w:rsid w:val="00BB64FC"/>
    <w:rsid w:val="00BC28DC"/>
    <w:rsid w:val="00BC62E4"/>
    <w:rsid w:val="00BD6CF7"/>
    <w:rsid w:val="00C21F9B"/>
    <w:rsid w:val="00C36817"/>
    <w:rsid w:val="00C47E0D"/>
    <w:rsid w:val="00C5116B"/>
    <w:rsid w:val="00C53B62"/>
    <w:rsid w:val="00C70FE9"/>
    <w:rsid w:val="00C8320B"/>
    <w:rsid w:val="00CB5501"/>
    <w:rsid w:val="00CD21C0"/>
    <w:rsid w:val="00CF12BB"/>
    <w:rsid w:val="00CF3CE5"/>
    <w:rsid w:val="00D45CBB"/>
    <w:rsid w:val="00D760F8"/>
    <w:rsid w:val="00DA3F08"/>
    <w:rsid w:val="00DB3C85"/>
    <w:rsid w:val="00DD51CF"/>
    <w:rsid w:val="00DF2A3C"/>
    <w:rsid w:val="00E01E7E"/>
    <w:rsid w:val="00E43E19"/>
    <w:rsid w:val="00E50B71"/>
    <w:rsid w:val="00E72418"/>
    <w:rsid w:val="00E74575"/>
    <w:rsid w:val="00E84C33"/>
    <w:rsid w:val="00E853BB"/>
    <w:rsid w:val="00EA028A"/>
    <w:rsid w:val="00EA7F89"/>
    <w:rsid w:val="00EE2288"/>
    <w:rsid w:val="00F02382"/>
    <w:rsid w:val="00F269A5"/>
    <w:rsid w:val="00FB2FCE"/>
    <w:rsid w:val="00FD67F9"/>
    <w:rsid w:val="00FE09C4"/>
    <w:rsid w:val="00FE25E5"/>
    <w:rsid w:val="00FF3D6E"/>
    <w:rsid w:val="0B7A85AB"/>
    <w:rsid w:val="2A32765F"/>
    <w:rsid w:val="2EBA3314"/>
    <w:rsid w:val="318EE165"/>
    <w:rsid w:val="553B2BFA"/>
    <w:rsid w:val="68C863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CA259"/>
  <w15:chartTrackingRefBased/>
  <w15:docId w15:val="{3810913B-3E87-4DF9-9B24-5BCA60F73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11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511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11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11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11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11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11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11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11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11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511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11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11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11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11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11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11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116B"/>
    <w:rPr>
      <w:rFonts w:eastAsiaTheme="majorEastAsia" w:cstheme="majorBidi"/>
      <w:color w:val="272727" w:themeColor="text1" w:themeTint="D8"/>
    </w:rPr>
  </w:style>
  <w:style w:type="paragraph" w:styleId="Title">
    <w:name w:val="Title"/>
    <w:basedOn w:val="Normal"/>
    <w:next w:val="Normal"/>
    <w:link w:val="TitleChar"/>
    <w:uiPriority w:val="10"/>
    <w:qFormat/>
    <w:rsid w:val="00C511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11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11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11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116B"/>
    <w:pPr>
      <w:spacing w:before="160"/>
      <w:jc w:val="center"/>
    </w:pPr>
    <w:rPr>
      <w:i/>
      <w:iCs/>
      <w:color w:val="404040" w:themeColor="text1" w:themeTint="BF"/>
    </w:rPr>
  </w:style>
  <w:style w:type="character" w:customStyle="1" w:styleId="QuoteChar">
    <w:name w:val="Quote Char"/>
    <w:basedOn w:val="DefaultParagraphFont"/>
    <w:link w:val="Quote"/>
    <w:uiPriority w:val="29"/>
    <w:rsid w:val="00C5116B"/>
    <w:rPr>
      <w:i/>
      <w:iCs/>
      <w:color w:val="404040" w:themeColor="text1" w:themeTint="BF"/>
    </w:rPr>
  </w:style>
  <w:style w:type="paragraph" w:styleId="ListParagraph">
    <w:name w:val="List Paragraph"/>
    <w:basedOn w:val="Normal"/>
    <w:uiPriority w:val="34"/>
    <w:qFormat/>
    <w:rsid w:val="00C5116B"/>
    <w:pPr>
      <w:ind w:left="720"/>
      <w:contextualSpacing/>
    </w:pPr>
  </w:style>
  <w:style w:type="character" w:styleId="IntenseEmphasis">
    <w:name w:val="Intense Emphasis"/>
    <w:basedOn w:val="DefaultParagraphFont"/>
    <w:uiPriority w:val="21"/>
    <w:qFormat/>
    <w:rsid w:val="00C5116B"/>
    <w:rPr>
      <w:i/>
      <w:iCs/>
      <w:color w:val="0F4761" w:themeColor="accent1" w:themeShade="BF"/>
    </w:rPr>
  </w:style>
  <w:style w:type="paragraph" w:styleId="IntenseQuote">
    <w:name w:val="Intense Quote"/>
    <w:basedOn w:val="Normal"/>
    <w:next w:val="Normal"/>
    <w:link w:val="IntenseQuoteChar"/>
    <w:uiPriority w:val="30"/>
    <w:qFormat/>
    <w:rsid w:val="00C511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116B"/>
    <w:rPr>
      <w:i/>
      <w:iCs/>
      <w:color w:val="0F4761" w:themeColor="accent1" w:themeShade="BF"/>
    </w:rPr>
  </w:style>
  <w:style w:type="character" w:styleId="IntenseReference">
    <w:name w:val="Intense Reference"/>
    <w:basedOn w:val="DefaultParagraphFont"/>
    <w:uiPriority w:val="32"/>
    <w:qFormat/>
    <w:rsid w:val="00C5116B"/>
    <w:rPr>
      <w:b/>
      <w:bCs/>
      <w:smallCaps/>
      <w:color w:val="0F4761" w:themeColor="accent1" w:themeShade="BF"/>
      <w:spacing w:val="5"/>
    </w:rPr>
  </w:style>
  <w:style w:type="character" w:styleId="Hyperlink">
    <w:name w:val="Hyperlink"/>
    <w:basedOn w:val="DefaultParagraphFont"/>
    <w:uiPriority w:val="99"/>
    <w:unhideWhenUsed/>
    <w:rsid w:val="00A1264C"/>
    <w:rPr>
      <w:color w:val="467886" w:themeColor="hyperlink"/>
      <w:u w:val="single"/>
    </w:rPr>
  </w:style>
  <w:style w:type="paragraph" w:styleId="FootnoteText">
    <w:name w:val="footnote text"/>
    <w:basedOn w:val="Normal"/>
    <w:link w:val="FootnoteTextChar"/>
    <w:uiPriority w:val="99"/>
    <w:semiHidden/>
    <w:unhideWhenUsed/>
    <w:rsid w:val="00A1264C"/>
    <w:pPr>
      <w:spacing w:beforeAutospacing="1" w:after="0" w:afterAutospacing="1" w:line="240" w:lineRule="auto"/>
    </w:pPr>
    <w:rPr>
      <w:rFonts w:ascii="Arial" w:hAnsi="Arial"/>
      <w:kern w:val="0"/>
      <w:sz w:val="20"/>
      <w:szCs w:val="20"/>
      <w:lang w:val="en-GB"/>
      <w14:ligatures w14:val="none"/>
    </w:rPr>
  </w:style>
  <w:style w:type="character" w:customStyle="1" w:styleId="FootnoteTextChar">
    <w:name w:val="Footnote Text Char"/>
    <w:basedOn w:val="DefaultParagraphFont"/>
    <w:link w:val="FootnoteText"/>
    <w:uiPriority w:val="99"/>
    <w:semiHidden/>
    <w:rsid w:val="00A1264C"/>
    <w:rPr>
      <w:rFonts w:ascii="Arial" w:hAnsi="Arial"/>
      <w:kern w:val="0"/>
      <w:sz w:val="20"/>
      <w:szCs w:val="20"/>
      <w:lang w:val="en-GB"/>
      <w14:ligatures w14:val="none"/>
    </w:rPr>
  </w:style>
  <w:style w:type="character" w:styleId="FootnoteReference">
    <w:name w:val="footnote reference"/>
    <w:basedOn w:val="DefaultParagraphFont"/>
    <w:uiPriority w:val="99"/>
    <w:semiHidden/>
    <w:unhideWhenUsed/>
    <w:rsid w:val="00A1264C"/>
    <w:rPr>
      <w:vertAlign w:val="superscript"/>
    </w:rPr>
  </w:style>
  <w:style w:type="character" w:styleId="UnresolvedMention">
    <w:name w:val="Unresolved Mention"/>
    <w:basedOn w:val="DefaultParagraphFont"/>
    <w:uiPriority w:val="99"/>
    <w:semiHidden/>
    <w:unhideWhenUsed/>
    <w:rsid w:val="000C76D1"/>
    <w:rPr>
      <w:color w:val="605E5C"/>
      <w:shd w:val="clear" w:color="auto" w:fill="E1DFDD"/>
    </w:rPr>
  </w:style>
  <w:style w:type="paragraph" w:styleId="Revision">
    <w:name w:val="Revision"/>
    <w:hidden/>
    <w:uiPriority w:val="99"/>
    <w:semiHidden/>
    <w:rsid w:val="00225DB3"/>
    <w:pPr>
      <w:spacing w:after="0" w:line="240" w:lineRule="auto"/>
    </w:pPr>
  </w:style>
  <w:style w:type="character" w:styleId="CommentReference">
    <w:name w:val="annotation reference"/>
    <w:basedOn w:val="DefaultParagraphFont"/>
    <w:uiPriority w:val="99"/>
    <w:semiHidden/>
    <w:unhideWhenUsed/>
    <w:rsid w:val="001F3EDF"/>
    <w:rPr>
      <w:sz w:val="16"/>
      <w:szCs w:val="16"/>
    </w:rPr>
  </w:style>
  <w:style w:type="paragraph" w:styleId="CommentText">
    <w:name w:val="annotation text"/>
    <w:basedOn w:val="Normal"/>
    <w:link w:val="CommentTextChar"/>
    <w:uiPriority w:val="99"/>
    <w:unhideWhenUsed/>
    <w:rsid w:val="001F3EDF"/>
    <w:pPr>
      <w:spacing w:line="240" w:lineRule="auto"/>
    </w:pPr>
    <w:rPr>
      <w:sz w:val="20"/>
      <w:szCs w:val="20"/>
    </w:rPr>
  </w:style>
  <w:style w:type="character" w:customStyle="1" w:styleId="CommentTextChar">
    <w:name w:val="Comment Text Char"/>
    <w:basedOn w:val="DefaultParagraphFont"/>
    <w:link w:val="CommentText"/>
    <w:uiPriority w:val="99"/>
    <w:rsid w:val="001F3EDF"/>
    <w:rPr>
      <w:sz w:val="20"/>
      <w:szCs w:val="20"/>
    </w:rPr>
  </w:style>
  <w:style w:type="paragraph" w:styleId="CommentSubject">
    <w:name w:val="annotation subject"/>
    <w:basedOn w:val="CommentText"/>
    <w:next w:val="CommentText"/>
    <w:link w:val="CommentSubjectChar"/>
    <w:uiPriority w:val="99"/>
    <w:semiHidden/>
    <w:unhideWhenUsed/>
    <w:rsid w:val="001F3EDF"/>
    <w:rPr>
      <w:b/>
      <w:bCs/>
    </w:rPr>
  </w:style>
  <w:style w:type="character" w:customStyle="1" w:styleId="CommentSubjectChar">
    <w:name w:val="Comment Subject Char"/>
    <w:basedOn w:val="CommentTextChar"/>
    <w:link w:val="CommentSubject"/>
    <w:uiPriority w:val="99"/>
    <w:semiHidden/>
    <w:rsid w:val="001F3EDF"/>
    <w:rPr>
      <w:b/>
      <w:bCs/>
      <w:sz w:val="20"/>
      <w:szCs w:val="20"/>
    </w:rPr>
  </w:style>
  <w:style w:type="paragraph" w:styleId="Header">
    <w:name w:val="header"/>
    <w:basedOn w:val="Normal"/>
    <w:link w:val="HeaderChar"/>
    <w:uiPriority w:val="99"/>
    <w:semiHidden/>
    <w:unhideWhenUsed/>
    <w:rsid w:val="0090286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0286F"/>
  </w:style>
  <w:style w:type="paragraph" w:styleId="Footer">
    <w:name w:val="footer"/>
    <w:basedOn w:val="Normal"/>
    <w:link w:val="FooterChar"/>
    <w:uiPriority w:val="99"/>
    <w:semiHidden/>
    <w:unhideWhenUsed/>
    <w:rsid w:val="0090286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02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rivm.nl/publicaties/nicotineproducten-zonder-tabak-voor-recreatief-gebruik" TargetMode="External"/><Relationship Id="rId2" Type="http://schemas.openxmlformats.org/officeDocument/2006/relationships/hyperlink" Target="https://cot.food.gov.uk/sites/default/files/2023-04/Publishable%20%20COT%20Oral%20nicotine%20pouches%20-%20final%20v1-0%20Acc%20V.pdf" TargetMode="External"/><Relationship Id="rId1" Type="http://schemas.openxmlformats.org/officeDocument/2006/relationships/hyperlink" Target="https://www.bfr.bund.de/cm/349/health-risk-assessment-of-nicotine-pouche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6a3c2f0-8e04-4728-a282-4f6d649480ce" xsi:nil="true"/>
    <lcf76f155ced4ddcb4097134ff3c332f xmlns="1a108f4e-c297-4235-86f7-5984d4569d0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AD17561885014498CDD94894BF3948" ma:contentTypeVersion="14" ma:contentTypeDescription="Create a new document." ma:contentTypeScope="" ma:versionID="be1478cf074ce1744bec7f1f5115711d">
  <xsd:schema xmlns:xsd="http://www.w3.org/2001/XMLSchema" xmlns:xs="http://www.w3.org/2001/XMLSchema" xmlns:p="http://schemas.microsoft.com/office/2006/metadata/properties" xmlns:ns2="1a108f4e-c297-4235-86f7-5984d4569d02" xmlns:ns3="a6a3c2f0-8e04-4728-a282-4f6d649480ce" targetNamespace="http://schemas.microsoft.com/office/2006/metadata/properties" ma:root="true" ma:fieldsID="67c57c75db21d8bf65f12b0a4a82d7a7" ns2:_="" ns3:_="">
    <xsd:import namespace="1a108f4e-c297-4235-86f7-5984d4569d02"/>
    <xsd:import namespace="a6a3c2f0-8e04-4728-a282-4f6d649480c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08f4e-c297-4235-86f7-5984d4569d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3dfe741-475c-44cf-bcd4-46bfd3fd0691"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a3c2f0-8e04-4728-a282-4f6d649480c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68056ee-24b0-4fee-abf5-cf35ddd2ff57}" ma:internalName="TaxCatchAll" ma:showField="CatchAllData" ma:web="a6a3c2f0-8e04-4728-a282-4f6d649480c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D914A-4CC1-42AC-AF1A-681BCB5329E1}">
  <ds:schemaRefs>
    <ds:schemaRef ds:uri="http://schemas.microsoft.com/office/2006/metadata/properties"/>
    <ds:schemaRef ds:uri="http://schemas.microsoft.com/office/infopath/2007/PartnerControls"/>
    <ds:schemaRef ds:uri="a6a3c2f0-8e04-4728-a282-4f6d649480ce"/>
    <ds:schemaRef ds:uri="1a108f4e-c297-4235-86f7-5984d4569d02"/>
  </ds:schemaRefs>
</ds:datastoreItem>
</file>

<file path=customXml/itemProps2.xml><?xml version="1.0" encoding="utf-8"?>
<ds:datastoreItem xmlns:ds="http://schemas.openxmlformats.org/officeDocument/2006/customXml" ds:itemID="{D0EB8B84-E3E6-461B-864F-7D7A7ABE88FA}">
  <ds:schemaRefs>
    <ds:schemaRef ds:uri="http://schemas.microsoft.com/sharepoint/v3/contenttype/forms"/>
  </ds:schemaRefs>
</ds:datastoreItem>
</file>

<file path=customXml/itemProps3.xml><?xml version="1.0" encoding="utf-8"?>
<ds:datastoreItem xmlns:ds="http://schemas.openxmlformats.org/officeDocument/2006/customXml" ds:itemID="{3A314A74-9D62-4EE6-97E4-EE94247C5E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08f4e-c297-4235-86f7-5984d4569d02"/>
    <ds:schemaRef ds:uri="a6a3c2f0-8e04-4728-a282-4f6d64948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b020b37f-db72-473e-ae54-fb16df408069}" enabled="1" method="Standard" siteId="{705d07a3-2eea-4f3b-ab59-65ca29abeb26}" removed="0"/>
</clbl:labelList>
</file>

<file path=docProps/app.xml><?xml version="1.0" encoding="utf-8"?>
<Properties xmlns="http://schemas.openxmlformats.org/officeDocument/2006/extended-properties" xmlns:vt="http://schemas.openxmlformats.org/officeDocument/2006/docPropsVTypes">
  <Template>Normal</Template>
  <TotalTime>2</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Casinge</dc:creator>
  <cp:keywords/>
  <dc:description/>
  <cp:lastModifiedBy>Robert Casinge</cp:lastModifiedBy>
  <cp:revision>4</cp:revision>
  <dcterms:created xsi:type="dcterms:W3CDTF">2024-12-02T15:58:00Z</dcterms:created>
  <dcterms:modified xsi:type="dcterms:W3CDTF">2024-12-02T16:01:00Z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0x010100C1AD17561885014498CDD94894BF3948</vt:lpwstr>
  </property>
  <property fmtid="{D5CDD505-2E9C-101B-9397-08002B2CF9AE}" pid="3" name="MediaServiceImageTags">
    <vt:lpwstr/>
  </property>
</Properties>
</file>