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962FAD">
      <w:pPr>
        <w:jc w:val="center"/>
        <w:rPr>
          <w:rFonts w:eastAsia="Calibri"/>
          <w:b/>
          <w:bCs/>
          <w:sz w:val="32"/>
          <w:szCs w:val="32"/>
          <w:u w:val="single"/>
        </w:rPr>
      </w:pPr>
      <w:r>
        <w:rPr>
          <w:b/>
          <w:bCs/>
          <w:sz w:val="32"/>
          <w:szCs w:val="32"/>
          <w:u w:val="single"/>
        </w:rPr>
        <w:t>Retspraksis vedrørende direktiv (EU) 2015/1535</w:t>
      </w:r>
    </w:p>
    <w:p w:rsidR="00794472" w:rsidRDefault="00794472" w:rsidP="00962FAD">
      <w:pPr>
        <w:jc w:val="both"/>
        <w:rPr>
          <w:lang w:val="en-US"/>
        </w:rPr>
      </w:pPr>
    </w:p>
    <w:p w:rsidR="008F01F8" w:rsidRDefault="00794472" w:rsidP="00962FAD">
      <w:pPr>
        <w:jc w:val="both"/>
      </w:pPr>
      <w:r>
        <w:t xml:space="preserve">Dokumentet er en sammenfatning af Domstolens mest relevante sager vedrørende anvendelsesområdet for og anvendeligheden af Europa-Parlamentets og Rådets direktiv (EU) 2015/1535 om en informationsprocedure med hensyn til tekniske forskrifter samt forskrifter for informationssamfundets tjenester. Det er en vejledning for medlemsstaternes repræsentanter, industri og borgere. Dokumentet er ikke udtømmende, og der kan være andre sager, der har relevans inden for dette område. Dokumentet består af tre hovedafsnit, og de relevante sager er anført i omvendt kronologisk rækkefølge. </w:t>
      </w:r>
    </w:p>
    <w:p w:rsidR="008F01F8" w:rsidRDefault="008F01F8" w:rsidP="00962FAD">
      <w:pPr>
        <w:jc w:val="both"/>
        <w:rPr>
          <w:lang w:val="en-US"/>
        </w:rPr>
      </w:pPr>
    </w:p>
    <w:p w:rsidR="008F01F8" w:rsidRPr="006255E9" w:rsidRDefault="007F65CE" w:rsidP="00AD5C70">
      <w:pPr>
        <w:pStyle w:val="ListParagraph"/>
        <w:numPr>
          <w:ilvl w:val="0"/>
          <w:numId w:val="18"/>
        </w:numPr>
        <w:jc w:val="both"/>
        <w:rPr>
          <w:color w:val="000000" w:themeColor="text1"/>
        </w:rPr>
      </w:pPr>
      <w:hyperlink w:anchor="First_heading" w:history="1">
        <w:r w:rsidR="00DE29F5">
          <w:rPr>
            <w:rStyle w:val="Hyperlink"/>
            <w:color w:val="000000" w:themeColor="text1"/>
          </w:rPr>
          <w:t>Anvendelsesområdet for direktiv (EU) 2015/1535</w:t>
        </w:r>
      </w:hyperlink>
    </w:p>
    <w:p w:rsidR="008F01F8" w:rsidRPr="006A4C68" w:rsidRDefault="006A4C68" w:rsidP="00AD5C70">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Tekniske forskrifter</w:t>
      </w:r>
    </w:p>
    <w:p w:rsidR="008F01F8" w:rsidRDefault="006A4C68" w:rsidP="00AD5C70">
      <w:pPr>
        <w:pStyle w:val="ListParagraph"/>
        <w:numPr>
          <w:ilvl w:val="1"/>
          <w:numId w:val="18"/>
        </w:numPr>
        <w:jc w:val="both"/>
      </w:pPr>
      <w:r>
        <w:fldChar w:fldCharType="end"/>
      </w:r>
      <w:hyperlink w:anchor="b_heading" w:history="1">
        <w:r>
          <w:rPr>
            <w:rStyle w:val="Hyperlink"/>
          </w:rPr>
          <w:t>Informationssamfundets tjenester</w:t>
        </w:r>
      </w:hyperlink>
    </w:p>
    <w:p w:rsidR="008F01F8" w:rsidRDefault="007F65CE" w:rsidP="00AD5C70">
      <w:pPr>
        <w:pStyle w:val="ListParagraph"/>
        <w:numPr>
          <w:ilvl w:val="1"/>
          <w:numId w:val="18"/>
        </w:numPr>
        <w:jc w:val="both"/>
      </w:pPr>
      <w:hyperlink w:anchor="c_heading" w:history="1">
        <w:r w:rsidR="00DE29F5">
          <w:rPr>
            <w:rStyle w:val="Hyperlink"/>
          </w:rPr>
          <w:t>Skattemæssige foranstaltninger</w:t>
        </w:r>
      </w:hyperlink>
    </w:p>
    <w:p w:rsidR="008F01F8" w:rsidRDefault="007F65CE" w:rsidP="00AD5C70">
      <w:pPr>
        <w:pStyle w:val="ListParagraph"/>
        <w:numPr>
          <w:ilvl w:val="1"/>
          <w:numId w:val="18"/>
        </w:numPr>
        <w:jc w:val="both"/>
      </w:pPr>
      <w:hyperlink w:anchor="d_heading" w:history="1">
        <w:r w:rsidR="00DE29F5">
          <w:rPr>
            <w:rStyle w:val="Hyperlink"/>
          </w:rPr>
          <w:t>Forpligtelse til indsendelse af ny meddelelse</w:t>
        </w:r>
      </w:hyperlink>
    </w:p>
    <w:p w:rsidR="00AE51A7" w:rsidRPr="00AE51A7" w:rsidRDefault="00AE51A7" w:rsidP="00962FAD">
      <w:pPr>
        <w:jc w:val="both"/>
        <w:rPr>
          <w:lang w:val="en-US"/>
        </w:rPr>
      </w:pPr>
    </w:p>
    <w:p w:rsidR="008F01F8" w:rsidRDefault="007F65CE" w:rsidP="00AD5C70">
      <w:pPr>
        <w:pStyle w:val="ListParagraph"/>
        <w:numPr>
          <w:ilvl w:val="0"/>
          <w:numId w:val="18"/>
        </w:numPr>
        <w:jc w:val="both"/>
      </w:pPr>
      <w:hyperlink w:anchor="Second_heading" w:history="1">
        <w:r w:rsidR="00DE29F5">
          <w:rPr>
            <w:rStyle w:val="Hyperlink"/>
          </w:rPr>
          <w:t>Sager vedrørende manglende meddelelse eller vedtagelse inden udløbet af status quo-perioden</w:t>
        </w:r>
      </w:hyperlink>
      <w:r w:rsidR="00DE29F5">
        <w:rPr>
          <w:rStyle w:val="Hyperlink"/>
        </w:rPr>
        <w:t xml:space="preserve"> (uanvendelighed)</w:t>
      </w:r>
    </w:p>
    <w:p w:rsidR="00AE51A7" w:rsidRPr="00AE51A7" w:rsidRDefault="00AE51A7" w:rsidP="00962FAD">
      <w:pPr>
        <w:jc w:val="both"/>
        <w:rPr>
          <w:lang w:val="en-US"/>
        </w:rPr>
      </w:pPr>
    </w:p>
    <w:p w:rsidR="008F01F8" w:rsidRPr="008F01F8" w:rsidRDefault="007F65CE" w:rsidP="00AD5C70">
      <w:pPr>
        <w:pStyle w:val="ListParagraph"/>
        <w:numPr>
          <w:ilvl w:val="0"/>
          <w:numId w:val="18"/>
        </w:numPr>
        <w:jc w:val="both"/>
      </w:pPr>
      <w:hyperlink w:anchor="Third_heading" w:history="1">
        <w:r w:rsidR="00DE29F5">
          <w:rPr>
            <w:rStyle w:val="Hyperlink"/>
          </w:rPr>
          <w:t>En medl</w:t>
        </w:r>
        <w:bookmarkStart w:id="0" w:name="_GoBack"/>
        <w:bookmarkEnd w:id="0"/>
        <w:r w:rsidR="00DE29F5">
          <w:rPr>
            <w:rStyle w:val="Hyperlink"/>
          </w:rPr>
          <w:t>emsstats manglende opfyldelse af forpligtelserne</w:t>
        </w:r>
      </w:hyperlink>
    </w:p>
    <w:p w:rsidR="00794472" w:rsidRDefault="00794472" w:rsidP="00962FAD">
      <w:pPr>
        <w:jc w:val="both"/>
      </w:pPr>
      <w:r>
        <w:t xml:space="preserve"> </w:t>
      </w:r>
    </w:p>
    <w:p w:rsidR="00794472" w:rsidRPr="00287FFE" w:rsidRDefault="00794472" w:rsidP="00962FAD">
      <w:pPr>
        <w:jc w:val="both"/>
        <w:rPr>
          <w:lang w:val="en-US"/>
        </w:rPr>
      </w:pPr>
    </w:p>
    <w:p w:rsidR="006255E9" w:rsidRDefault="006255E9" w:rsidP="00962FAD">
      <w:pPr>
        <w:pStyle w:val="Style1"/>
        <w:jc w:val="left"/>
      </w:pPr>
      <w:r>
        <w:br w:type="page"/>
      </w:r>
    </w:p>
    <w:p w:rsidR="00DE6496" w:rsidRPr="00287FFE" w:rsidRDefault="008F01F8" w:rsidP="00962FAD">
      <w:pPr>
        <w:pStyle w:val="Style1"/>
      </w:pPr>
      <w:bookmarkStart w:id="1" w:name="First_heading"/>
      <w:r>
        <w:lastRenderedPageBreak/>
        <w:t>I. Anvendelsesområdet for direktiv (EU) 2015/1535</w:t>
      </w:r>
    </w:p>
    <w:bookmarkEnd w:id="1"/>
    <w:p w:rsidR="00B65378" w:rsidRPr="00287FFE" w:rsidRDefault="00B65378" w:rsidP="00962FAD">
      <w:pPr>
        <w:jc w:val="both"/>
        <w:rPr>
          <w:rFonts w:eastAsia="Calibri"/>
          <w:b/>
          <w:lang w:eastAsia="en-US"/>
        </w:rPr>
      </w:pPr>
    </w:p>
    <w:p w:rsidR="00600D1E" w:rsidRPr="00160B40" w:rsidRDefault="008F01F8" w:rsidP="00962FAD">
      <w:pPr>
        <w:jc w:val="both"/>
        <w:rPr>
          <w:rFonts w:eastAsia="Calibri"/>
          <w:b/>
          <w:u w:val="single"/>
        </w:rPr>
      </w:pPr>
      <w:r>
        <w:rPr>
          <w:b/>
          <w:u w:val="single"/>
        </w:rPr>
        <w:t>a. Tekniske forskrifter</w:t>
      </w:r>
    </w:p>
    <w:p w:rsidR="00600D1E" w:rsidRPr="00287FFE" w:rsidRDefault="00600D1E" w:rsidP="00962FAD">
      <w:pPr>
        <w:jc w:val="both"/>
        <w:rPr>
          <w:rFonts w:eastAsia="Calibri"/>
          <w:b/>
          <w:i/>
          <w:lang w:eastAsia="en-US"/>
        </w:rPr>
      </w:pPr>
    </w:p>
    <w:p w:rsidR="00B83CD6" w:rsidRDefault="00B83CD6" w:rsidP="00962FAD">
      <w:pPr>
        <w:jc w:val="both"/>
        <w:rPr>
          <w:rFonts w:eastAsia="Calibri"/>
          <w:b/>
          <w:i/>
        </w:rPr>
      </w:pPr>
      <w:r>
        <w:rPr>
          <w:b/>
          <w:i/>
        </w:rPr>
        <w:t>Dom af 26. september 2018, Van Gennip m.fl., sag C-137/17, EU:C: 2018:771</w:t>
      </w:r>
    </w:p>
    <w:p w:rsidR="00B83CD6" w:rsidRPr="00B83CD6" w:rsidRDefault="00160B40" w:rsidP="00962FAD">
      <w:pPr>
        <w:jc w:val="both"/>
        <w:rPr>
          <w:rFonts w:eastAsia="Calibri"/>
        </w:rPr>
      </w:pPr>
      <w:r>
        <w:t>- Nationale bestemmelser, der gør markedsføring af produkter betinget af, at køberen har en tilladelse, er ikke omfattet af begrebet "teknisk forskrift" som omhandlet i direktiv (EU) 2015/1535.</w:t>
      </w:r>
    </w:p>
    <w:p w:rsidR="00B83CD6" w:rsidRDefault="00B83CD6" w:rsidP="00962FAD">
      <w:pPr>
        <w:jc w:val="both"/>
        <w:rPr>
          <w:rFonts w:eastAsia="Calibri"/>
          <w:b/>
          <w:i/>
          <w:lang w:val="pt-BR" w:eastAsia="en-US"/>
        </w:rPr>
      </w:pPr>
    </w:p>
    <w:p w:rsidR="00600D1E" w:rsidRPr="009613F1" w:rsidRDefault="00600D1E" w:rsidP="00962FAD">
      <w:pPr>
        <w:jc w:val="both"/>
        <w:rPr>
          <w:rFonts w:eastAsia="Calibri"/>
          <w:b/>
          <w:i/>
        </w:rPr>
      </w:pPr>
      <w:r>
        <w:rPr>
          <w:b/>
          <w:i/>
        </w:rPr>
        <w:t>Dom af 1. februar 2017, Município de Palmela, sag C-144/16, EU:C:2017:76, præmis 23</w:t>
      </w:r>
    </w:p>
    <w:p w:rsidR="00600D1E" w:rsidRPr="00287FFE" w:rsidRDefault="00B15802" w:rsidP="00962FAD">
      <w:pPr>
        <w:jc w:val="both"/>
      </w:pPr>
      <w:r>
        <w:t>- En bestemmelse, der fastsætter sikkerhedskrav, der pålægges et produkt af forbrugerbeskyttelseshensyn, der vedrører produktets livscyklus efter markedsføring, og som influerer betydeligt på sammensætningen og afsætningen af et sådant produkt, udgør en teknisk forskrift som omhandlet i direktiv 98/34. Følgelig er disse bestemmelser omfattet af kategorien "andet krav" som omhandlet såvel i artikel 1, nr. 3), i direktiv 83/189 som artikel 1, nr. 4), i direktiv 98/34.</w:t>
      </w:r>
    </w:p>
    <w:p w:rsidR="00600D1E" w:rsidRPr="00287FFE" w:rsidRDefault="00B15802" w:rsidP="00962FAD">
      <w:pPr>
        <w:jc w:val="both"/>
      </w:pPr>
      <w:r>
        <w:t>- En bestemmelse, der har gjort det obligatorisk at opslå oplysningen om det maksimale antal personer, der kan benytte legepladsen og det rekreative område, flere steder på det nævnte område, henhører ikke under kategorien tekniske specifikationer som omhandlet i direktiv 98/34.</w:t>
      </w:r>
    </w:p>
    <w:p w:rsidR="00600D1E" w:rsidRPr="00287FFE" w:rsidRDefault="00600D1E" w:rsidP="00962FAD">
      <w:pPr>
        <w:jc w:val="both"/>
        <w:rPr>
          <w:lang w:val="en-US"/>
        </w:rPr>
      </w:pPr>
    </w:p>
    <w:p w:rsidR="00600D1E" w:rsidRPr="00287FFE" w:rsidRDefault="00600D1E" w:rsidP="00962FAD">
      <w:pPr>
        <w:jc w:val="both"/>
        <w:rPr>
          <w:rFonts w:eastAsia="Calibri"/>
          <w:b/>
          <w:i/>
        </w:rPr>
      </w:pPr>
      <w:r>
        <w:rPr>
          <w:b/>
          <w:i/>
        </w:rPr>
        <w:t>Dom af 27. oktober 2016, James Elliott Construction, sag C-613/14, EU:C:2016:821, præmis 72</w:t>
      </w:r>
    </w:p>
    <w:p w:rsidR="00600D1E" w:rsidRPr="00287FFE" w:rsidRDefault="00600D1E" w:rsidP="00962FAD">
      <w:pPr>
        <w:jc w:val="both"/>
        <w:rPr>
          <w:rFonts w:eastAsia="Calibri"/>
          <w:lang w:eastAsia="en-US"/>
        </w:rPr>
      </w:pPr>
    </w:p>
    <w:p w:rsidR="00600D1E" w:rsidRPr="00287FFE" w:rsidRDefault="00160B40" w:rsidP="00962FAD">
      <w:pPr>
        <w:jc w:val="both"/>
        <w:rPr>
          <w:rFonts w:eastAsia="Calibri"/>
        </w:rPr>
      </w:pPr>
      <w:r>
        <w:t>- Nationale bestemmelser, der fastlægger, medmindre parterne har aftalt andet, implicitte aftalemæssige krav til handelsmæssig kvalitet og egnethed til formålet for de solgte varer, udgør ikke "tekniske forskrifter" som omhandlet i artikel 1, stk. 11, i direktiv 98/34.</w:t>
      </w:r>
    </w:p>
    <w:p w:rsidR="00600D1E" w:rsidRPr="00287FFE" w:rsidRDefault="00600D1E" w:rsidP="00962FAD">
      <w:pPr>
        <w:jc w:val="both"/>
        <w:rPr>
          <w:rFonts w:eastAsia="Calibri"/>
          <w:highlight w:val="green"/>
          <w:lang w:val="en-US" w:eastAsia="en-US"/>
        </w:rPr>
      </w:pPr>
    </w:p>
    <w:p w:rsidR="00600D1E" w:rsidRPr="00287FFE" w:rsidRDefault="00600D1E" w:rsidP="00962FAD">
      <w:pPr>
        <w:jc w:val="both"/>
        <w:rPr>
          <w:rFonts w:eastAsia="Calibri"/>
          <w:b/>
          <w:i/>
        </w:rPr>
      </w:pPr>
      <w:r>
        <w:rPr>
          <w:b/>
          <w:i/>
        </w:rPr>
        <w:t>Dom af 13. oktober 2016, M. og S., sag C-303/15, EU:C:2016:771, præmis 23 til 31</w:t>
      </w:r>
    </w:p>
    <w:p w:rsidR="00600D1E" w:rsidRPr="00287FFE" w:rsidRDefault="00600D1E" w:rsidP="00962FAD">
      <w:pPr>
        <w:jc w:val="both"/>
        <w:rPr>
          <w:lang w:val="en-US"/>
        </w:rPr>
      </w:pPr>
    </w:p>
    <w:p w:rsidR="00600D1E" w:rsidRPr="00287FFE" w:rsidRDefault="00B15802" w:rsidP="00962FAD">
      <w:pPr>
        <w:jc w:val="both"/>
      </w:pPr>
      <w:r>
        <w:t xml:space="preserve">- Nationale bestemmelser, der begrænser sig til at fastlægge betingelserne for oprettelse af virksomheder eller disses levering af tjenesteydelser, såsom bestemmelser, der underlægger udøvelsen af en erhvervsmæssig virksomhed en forudgående godkendelse, udgør ikke tekniske specifikationer som omhandlet i artikel 1, stk. 11, i direktiv 98/34. </w:t>
      </w:r>
    </w:p>
    <w:p w:rsidR="00600D1E" w:rsidRPr="00287FFE" w:rsidRDefault="00B15802" w:rsidP="00962FAD">
      <w:pPr>
        <w:jc w:val="both"/>
      </w:pPr>
      <w:r>
        <w:t xml:space="preserve">- En national foranstaltning, der forbeholder afvikling af visse hasardspil til kasinoerne alene, udgør en "teknisk forskrift" i den forstand, hvori udtrykket er anvendt i artikel 1, nr. 11), i direktiv 98/34, for så vidt som den kan influere betydeligt på arten eller afsætningen af de i denne sammenhæng anvendte produkter, og for så vidt som et forbud mod at udbyde visse produkter uden for kasinoer kan influere betydeligt på afsætningen af disse produkter ved at nedbringe antallet af kanaler for drift heraf. En bestemmelse, som betinger udøvelsen af virksomhed med roulettespil, kortspil, terningespil og automatspil af en driftstilladelse til spillekasino, udgør ikke en "teknisk specifikation" som omhandlet i artikel 1, nr. 3), i direktiv 98/34, idet den ikke vedrører produktet eller dets emballering som sådan og ikke fastsætter et af de kendetegn, der kræves af et produkt. Den nævnte bestemmelse er endvidere ikke omfattet af kategorien "forskrifter vedrørende tjenester" i [informationssamfundet] som omhandlet i artikel 1, nr. 5), i direktiv 98/34, idet den ikke vedrører "informationssamfundets tjenester" som omhandlet i dette direktivs artikel 1, nr. 2). </w:t>
      </w:r>
    </w:p>
    <w:p w:rsidR="00295CA4" w:rsidRDefault="00295CA4" w:rsidP="00962FAD">
      <w:pPr>
        <w:jc w:val="both"/>
      </w:pPr>
    </w:p>
    <w:p w:rsidR="00295CA4" w:rsidRPr="00287FFE" w:rsidRDefault="00295CA4" w:rsidP="00962FAD">
      <w:pPr>
        <w:jc w:val="both"/>
        <w:rPr>
          <w:rFonts w:eastAsia="Calibri"/>
          <w:b/>
          <w:i/>
        </w:rPr>
      </w:pPr>
      <w:r>
        <w:rPr>
          <w:b/>
          <w:i/>
        </w:rPr>
        <w:t>Dom af 11. juni 2015, Berlington Hungary m.fl., sag C-98/14, EU:C:2015:386, præmis 42 og 98-99</w:t>
      </w:r>
    </w:p>
    <w:p w:rsidR="00295CA4" w:rsidRPr="00287FFE" w:rsidRDefault="00295CA4" w:rsidP="00962FAD">
      <w:pPr>
        <w:jc w:val="both"/>
        <w:rPr>
          <w:rFonts w:eastAsia="Calibri"/>
          <w:lang w:eastAsia="en-US"/>
        </w:rPr>
      </w:pPr>
    </w:p>
    <w:p w:rsidR="00295CA4" w:rsidRPr="00287FFE" w:rsidRDefault="00B15802" w:rsidP="00962FAD">
      <w:pPr>
        <w:jc w:val="both"/>
        <w:rPr>
          <w:rFonts w:eastAsia="Calibri"/>
        </w:rPr>
      </w:pPr>
      <w:r>
        <w:lastRenderedPageBreak/>
        <w:t>- Bestemmelserne i en national lovgivning, hvorved der foretages en femdobling af en fast afgift på driften af spilleautomater i spillehallerne, og hvorved der desuden indføres en proportional afgift på samme virksomhed, udgør ikke "tekniske forskrifter" i direktiv 98/34's forstand.</w:t>
      </w:r>
    </w:p>
    <w:p w:rsidR="00295CA4" w:rsidRPr="00287FFE" w:rsidRDefault="00B15802" w:rsidP="00962FAD">
      <w:pPr>
        <w:jc w:val="both"/>
      </w:pPr>
      <w:r>
        <w:t>- Bestemmelserne i en national lovgivning, hvorved der er indført et forbud mod drift af spilleautomater uden for kasinoerne, udgør "tekniske forskrifter" i direktiv 98/34's forstand, for så vidt som de kan influere betydeligt på de pågældende maskiners art eller afsætning.</w:t>
      </w:r>
    </w:p>
    <w:p w:rsidR="00295CA4" w:rsidRPr="00287FFE" w:rsidRDefault="00295CA4" w:rsidP="00962FAD">
      <w:pPr>
        <w:jc w:val="both"/>
        <w:rPr>
          <w:lang w:val="en-US"/>
        </w:rPr>
      </w:pPr>
    </w:p>
    <w:p w:rsidR="00B15802" w:rsidRPr="00287FFE" w:rsidRDefault="00B15802" w:rsidP="00962FAD">
      <w:pPr>
        <w:jc w:val="both"/>
        <w:rPr>
          <w:rFonts w:eastAsia="Calibri"/>
          <w:b/>
          <w:i/>
        </w:rPr>
      </w:pPr>
      <w:r>
        <w:rPr>
          <w:b/>
          <w:i/>
        </w:rPr>
        <w:t>Dom af 10. juli 2014, Ivansson m.fl., sag C</w:t>
      </w:r>
      <w:r>
        <w:rPr>
          <w:rFonts w:ascii="MS Gothic" w:hAnsi="MS Gothic"/>
          <w:b/>
          <w:i/>
        </w:rPr>
        <w:t>-</w:t>
      </w:r>
      <w:r>
        <w:rPr>
          <w:b/>
          <w:i/>
        </w:rPr>
        <w:t>307/13, EU:C:2014:2058, præmis 30-31, 46 til 50</w:t>
      </w:r>
    </w:p>
    <w:p w:rsidR="00B15802" w:rsidRPr="00287FFE" w:rsidRDefault="00B15802" w:rsidP="00962FAD">
      <w:pPr>
        <w:jc w:val="both"/>
        <w:rPr>
          <w:rFonts w:eastAsia="Calibri"/>
          <w:lang w:eastAsia="en-US"/>
        </w:rPr>
      </w:pPr>
    </w:p>
    <w:p w:rsidR="00B15802" w:rsidRPr="00287FFE" w:rsidRDefault="00B15802" w:rsidP="00962FAD">
      <w:pPr>
        <w:jc w:val="both"/>
        <w:rPr>
          <w:rFonts w:eastAsia="Calibri"/>
        </w:rPr>
      </w:pPr>
      <w:r>
        <w:t>- En henvisning til nærmere administrative regler, der udgør "tekniske specifikationer" eller "andre krav", ville kunne tillægge udkastet til meddelelse karakter af en "teknisk forskrift, der faktisk skal overholdes".</w:t>
      </w:r>
    </w:p>
    <w:p w:rsidR="00B15802" w:rsidRPr="00287FFE" w:rsidRDefault="00B15802" w:rsidP="00962FAD">
      <w:pPr>
        <w:jc w:val="both"/>
        <w:rPr>
          <w:rFonts w:eastAsia="Calibri"/>
        </w:rPr>
      </w:pPr>
      <w:r>
        <w:t xml:space="preserve">- Den ikrafttrædelsesdato, som i sidste ende bliver fastsat af de nationale myndigheder for en national bestemmelse, er omfattet af forpligtelsen til at give Kommissionen meddelelse, som fastsat i artikel 8, stk. 1, tredje afsnit, i direktiv 98/34, når en ændring af anvendelsesfristen for den pågældende nationale bestemmelse faktisk har fundet sted, og denne ændring er væsentlig, hvilket det påhviler den foreliggende ret at undersøge. </w:t>
      </w:r>
    </w:p>
    <w:p w:rsidR="00B15802" w:rsidRPr="00287FFE" w:rsidRDefault="00B15802" w:rsidP="00962FAD">
      <w:pPr>
        <w:jc w:val="both"/>
        <w:rPr>
          <w:rFonts w:eastAsia="Calibri"/>
        </w:rPr>
      </w:pPr>
      <w:r>
        <w:t>- En "væsentlig" afkortning af anvendelsesfristen, som oprindeligt blev valgt af de nationale myndigheder for den tekniske forskrifts ikrafttræden og gennemførelse, er omfattet af forpligtelsen til at give Kommissionen meddelelse, som fastsat i artikel 8, stk. 1, tredje afsnit, i direktiv 98/34. Undladelse af at fremsende en sådan meddelelse vil medføre, at den pågældende nationale bestemmelse ikke kan finde anvendelse, således at den ikke kan gøres gældende over for borgerne.</w:t>
      </w:r>
    </w:p>
    <w:p w:rsidR="00B15802" w:rsidRPr="00287FFE" w:rsidRDefault="00B15802" w:rsidP="00962FAD">
      <w:pPr>
        <w:jc w:val="both"/>
        <w:rPr>
          <w:rFonts w:eastAsia="Calibri"/>
          <w:b/>
          <w:i/>
          <w:highlight w:val="green"/>
          <w:lang w:eastAsia="en-US"/>
        </w:rPr>
      </w:pPr>
    </w:p>
    <w:p w:rsidR="00295CA4" w:rsidRPr="00287FFE" w:rsidRDefault="00295CA4" w:rsidP="00962FAD">
      <w:pPr>
        <w:jc w:val="both"/>
        <w:rPr>
          <w:rFonts w:eastAsia="Calibri"/>
          <w:b/>
          <w:i/>
        </w:rPr>
      </w:pPr>
      <w:r>
        <w:rPr>
          <w:b/>
          <w:i/>
        </w:rPr>
        <w:t>Dom af 19. juli 2012, Fortuna m.fl., sag C-213/11 og C-217/11, EU:C:2012:495, præmis 25 og 40</w:t>
      </w:r>
    </w:p>
    <w:p w:rsidR="00295CA4" w:rsidRPr="00287FFE" w:rsidRDefault="00295CA4" w:rsidP="00962FAD">
      <w:pPr>
        <w:jc w:val="both"/>
      </w:pPr>
    </w:p>
    <w:p w:rsidR="00DB04B3" w:rsidRPr="00287FFE" w:rsidRDefault="00160B40" w:rsidP="00962FAD">
      <w:pPr>
        <w:jc w:val="both"/>
      </w:pPr>
      <w:r>
        <w:t xml:space="preserve">- Nationale bestemmelser, der kan begrænse og endog gradvist gøre det umuligt at udbyde automatspil med mindre gevinster andre steder end i kasinoer og i spillehaller, kan udgøre "tekniske forskrifter", forudsat at det godtgøres, at de nævnte bestemmelser udgør betingelser, der kan influere betydeligt på det pågældende produkts natur eller afsætning. </w:t>
      </w:r>
    </w:p>
    <w:p w:rsidR="00295CA4" w:rsidRPr="00287FFE" w:rsidRDefault="00160B40" w:rsidP="00962FAD">
      <w:pPr>
        <w:jc w:val="both"/>
      </w:pPr>
      <w:r>
        <w:t>- En foranstaltning, hvorefter det kun er spillekasinoer, som kan udbyde automatspil, anses for en "teknisk forskrift" som omhandlet i artikel 1, nr. 11), i direktiv 98/34.</w:t>
      </w:r>
    </w:p>
    <w:p w:rsidR="00295CA4" w:rsidRPr="00287FFE" w:rsidRDefault="00295CA4" w:rsidP="00962FAD">
      <w:pPr>
        <w:jc w:val="both"/>
        <w:rPr>
          <w:rFonts w:eastAsia="Calibri"/>
          <w:b/>
          <w:i/>
          <w:highlight w:val="green"/>
          <w:lang w:eastAsia="en-US"/>
        </w:rPr>
      </w:pPr>
    </w:p>
    <w:p w:rsidR="00295CA4" w:rsidRPr="00287FFE" w:rsidRDefault="00295CA4" w:rsidP="00962FAD">
      <w:pPr>
        <w:jc w:val="both"/>
        <w:rPr>
          <w:rFonts w:eastAsia="Calibri"/>
          <w:b/>
          <w:i/>
        </w:rPr>
      </w:pPr>
      <w:r>
        <w:rPr>
          <w:b/>
          <w:i/>
        </w:rPr>
        <w:t xml:space="preserve">Dom af 14. april 2011, Vlaamse Dierenartsenvereniging VZW og Janssens, forenede sager C-42/10, C-45/10 og C-57/10, EU:C:2011:253, præmis 69 og 70 </w:t>
      </w:r>
    </w:p>
    <w:p w:rsidR="00295CA4" w:rsidRPr="00287FFE" w:rsidRDefault="00295CA4" w:rsidP="00962FAD">
      <w:pPr>
        <w:jc w:val="both"/>
        <w:rPr>
          <w:rFonts w:eastAsia="Calibri"/>
          <w:lang w:val="en-US" w:eastAsia="en-US"/>
        </w:rPr>
      </w:pPr>
    </w:p>
    <w:p w:rsidR="00295CA4" w:rsidRPr="00287FFE" w:rsidRDefault="00160B40" w:rsidP="00962FAD">
      <w:pPr>
        <w:jc w:val="both"/>
        <w:rPr>
          <w:rFonts w:eastAsia="Calibri"/>
        </w:rPr>
      </w:pPr>
      <w:r>
        <w:t>- Direktiv 98/34 finder ikke anvendelse på pas for selskabsdyr, som ikke kan klassificeres som "varer" (det kan ikke gøres til genstand for forretningsmæssige transaktioner).</w:t>
      </w:r>
    </w:p>
    <w:p w:rsidR="00295CA4" w:rsidRPr="00287FFE" w:rsidRDefault="00160B40" w:rsidP="00962FAD">
      <w:pPr>
        <w:jc w:val="both"/>
        <w:rPr>
          <w:rFonts w:eastAsia="Calibri"/>
        </w:rPr>
      </w:pPr>
      <w:r>
        <w:t>- Nationale bestemmelser omhandlende pas for selskabsdyr, og som omhandler dels anvendelsen af disse som bevis for identifikation og indregistrering af hunde, såvel som anvendelsen af selvklæbende mærkater til ændring af identifikationen af ejeren og dyret, dels reglerne om fastsættelse af et entydigt nummer for katte og fritter, skal ikke anses for tekniske forskrifter som omhandlet i artikel 1 i direktiv 98/34, der i henhold til direktivets artikel 8 forud skal meddeles Kommissionen.</w:t>
      </w:r>
    </w:p>
    <w:p w:rsidR="00295CA4" w:rsidRPr="00287FFE" w:rsidRDefault="00295CA4" w:rsidP="00962FAD">
      <w:pPr>
        <w:jc w:val="both"/>
        <w:rPr>
          <w:lang w:val="en-US"/>
        </w:rPr>
      </w:pPr>
    </w:p>
    <w:p w:rsidR="00295CA4" w:rsidRPr="00287FFE" w:rsidRDefault="00295CA4" w:rsidP="00962FAD">
      <w:pPr>
        <w:jc w:val="both"/>
        <w:rPr>
          <w:rFonts w:eastAsia="Calibri"/>
          <w:b/>
          <w:i/>
        </w:rPr>
      </w:pPr>
      <w:r>
        <w:rPr>
          <w:b/>
          <w:i/>
        </w:rPr>
        <w:t xml:space="preserve">Dom af 8. november 2007, Schwibbert, sag C-20/05, EU:C:2007:652, præmis 45 </w:t>
      </w:r>
    </w:p>
    <w:p w:rsidR="00295CA4" w:rsidRPr="00287FFE" w:rsidRDefault="00295CA4" w:rsidP="00962FAD">
      <w:pPr>
        <w:jc w:val="both"/>
        <w:rPr>
          <w:lang w:val="en-US"/>
        </w:rPr>
      </w:pPr>
    </w:p>
    <w:p w:rsidR="00295CA4" w:rsidRPr="00287FFE" w:rsidRDefault="00160B40" w:rsidP="00962FAD">
      <w:pPr>
        <w:jc w:val="both"/>
      </w:pPr>
      <w:r>
        <w:lastRenderedPageBreak/>
        <w:t>- Nationale bestemmelser om at indføre pligten til at påføre et kendemærke på produkter med henblik på deres markedsføring i den pågældende medlemsstat udgør en teknisk forskrift, som ikke kan påberåbes over for en borger, hvis ikke den er blevet meddelt Kommissionen.</w:t>
      </w:r>
    </w:p>
    <w:p w:rsidR="00295CA4" w:rsidRPr="00287FFE" w:rsidRDefault="00295CA4" w:rsidP="00962FAD">
      <w:pPr>
        <w:jc w:val="center"/>
        <w:rPr>
          <w:rFonts w:eastAsia="Calibri"/>
          <w:b/>
          <w:i/>
          <w:lang w:eastAsia="en-US"/>
        </w:rPr>
      </w:pPr>
    </w:p>
    <w:p w:rsidR="00295CA4" w:rsidRPr="00287FFE" w:rsidRDefault="00295CA4" w:rsidP="00962FAD">
      <w:pPr>
        <w:jc w:val="both"/>
        <w:rPr>
          <w:rFonts w:eastAsia="Calibri"/>
          <w:b/>
          <w:i/>
        </w:rPr>
      </w:pPr>
      <w:r>
        <w:rPr>
          <w:b/>
          <w:i/>
        </w:rPr>
        <w:t>Dom af 26. oktober 2006, Kommissionen mod Grækenland, sag C-65/05, EU:C:2006:673, præmis 11</w:t>
      </w:r>
    </w:p>
    <w:p w:rsidR="00295CA4" w:rsidRPr="00287FFE" w:rsidRDefault="00295CA4" w:rsidP="00962FAD">
      <w:pPr>
        <w:jc w:val="both"/>
      </w:pPr>
    </w:p>
    <w:p w:rsidR="00295CA4" w:rsidRPr="00287FFE" w:rsidRDefault="00160B40" w:rsidP="00962FAD">
      <w:pPr>
        <w:jc w:val="both"/>
      </w:pPr>
      <w:r>
        <w:t>- Bestemmelser, der forbyder installation af alle elektriske, elektromekaniske og elektroniske spil, herunder alle computerspil, på alle offentlige og private steder bortset fra kasinoer, samt anvendelsen af spil på computere i virksomheder, der udbyder internettjenester, og som gør driften af sådanne virksomheder betinget af en særlig tilladelse, skal betragtes som tekniske forskrifter i henhold til artikel 1, nr. 11, i direktiv 98/34.</w:t>
      </w:r>
    </w:p>
    <w:p w:rsidR="00295CA4" w:rsidRPr="00287FFE" w:rsidRDefault="00295CA4" w:rsidP="00962FAD">
      <w:pPr>
        <w:jc w:val="both"/>
        <w:rPr>
          <w:rFonts w:eastAsia="Calibri"/>
          <w:b/>
          <w:i/>
          <w:lang w:eastAsia="en-US"/>
        </w:rPr>
      </w:pPr>
    </w:p>
    <w:p w:rsidR="00295CA4" w:rsidRPr="00287FFE" w:rsidRDefault="00295CA4" w:rsidP="00962FAD">
      <w:pPr>
        <w:jc w:val="both"/>
        <w:rPr>
          <w:rFonts w:eastAsia="Calibri"/>
          <w:b/>
          <w:i/>
        </w:rPr>
      </w:pPr>
      <w:r>
        <w:rPr>
          <w:b/>
          <w:i/>
        </w:rPr>
        <w:t>Dom af 8. september 2005, Lidl Italia, sag C-303/04, EU:C:2005:528, præmis 14</w:t>
      </w:r>
    </w:p>
    <w:p w:rsidR="00295CA4" w:rsidRPr="00287FFE" w:rsidRDefault="00295CA4" w:rsidP="00962FAD"/>
    <w:p w:rsidR="00295CA4" w:rsidRPr="00287FFE" w:rsidRDefault="00160B40" w:rsidP="00962FAD">
      <w:r>
        <w:t>- En bestemmelse i national lovgivning, der indeholder et forbud mod markedsføring af produkter, der ikke er fremstillet af visse materialer, udgør en teknisk forskrift.</w:t>
      </w:r>
    </w:p>
    <w:p w:rsidR="00CE6151" w:rsidRPr="00287FFE" w:rsidRDefault="00CE6151" w:rsidP="00962FAD"/>
    <w:p w:rsidR="00B15802" w:rsidRPr="00287FFE" w:rsidRDefault="00B15802" w:rsidP="00962FAD">
      <w:pPr>
        <w:jc w:val="both"/>
        <w:rPr>
          <w:rFonts w:eastAsia="Calibri"/>
          <w:b/>
          <w:i/>
        </w:rPr>
      </w:pPr>
      <w:r>
        <w:rPr>
          <w:b/>
          <w:i/>
        </w:rPr>
        <w:t>Dom af 21. april 2005, Lindberg, sag C</w:t>
      </w:r>
      <w:r>
        <w:rPr>
          <w:b/>
          <w:i/>
        </w:rPr>
        <w:noBreakHyphen/>
        <w:t>267/03, EU:C:2005:246, præmis 80, 85, 95</w:t>
      </w:r>
    </w:p>
    <w:p w:rsidR="00B15802" w:rsidRPr="00287FFE" w:rsidRDefault="00B15802" w:rsidP="00962FAD">
      <w:pPr>
        <w:jc w:val="both"/>
      </w:pPr>
    </w:p>
    <w:p w:rsidR="00B15802" w:rsidRPr="00287FFE" w:rsidRDefault="00DB04B3" w:rsidP="00962FAD">
      <w:pPr>
        <w:jc w:val="both"/>
      </w:pPr>
      <w:r>
        <w:t>- En omdefinering i national ret af en tjenesteydelse, der er forbundet med fremstillingen af et produkt, udgør en teknisk forskrift, der skal meddeles, hvis denne nye bestemmelse ikke begrænser sig til at gengive eller erstatte eksisterende tekniske forskrifter uden tilføjelse af nye eller supplerende specifikationer, hvilke forskrifter behørigt skal være blevet meddelt, såfremt de blev vedtaget, efter at direktiv 83/189 trådte i kraft i den pågældende medlemsstat.</w:t>
      </w:r>
    </w:p>
    <w:p w:rsidR="00B15802" w:rsidRPr="00287FFE" w:rsidRDefault="00DB04B3" w:rsidP="00962FAD">
      <w:pPr>
        <w:jc w:val="both"/>
      </w:pPr>
      <w:r>
        <w:t>- Overgangen i national lovgivning fra et krav om tilladelse til et forbud kan være en væsentlig faktor i relation til meddelelsespligten.</w:t>
      </w:r>
    </w:p>
    <w:p w:rsidR="00B15802" w:rsidRPr="00287FFE" w:rsidRDefault="00DB04B3" w:rsidP="00962FAD">
      <w:pPr>
        <w:jc w:val="both"/>
        <w:rPr>
          <w:rFonts w:eastAsia="Calibri"/>
          <w:b/>
          <w:i/>
        </w:rPr>
      </w:pPr>
      <w:r>
        <w:t>- Faktorer såsom den større eller mindre værdi af produktet eller tjenesteydelsen eller størrelsen af markedet for produktet eller tjenesteydelsen er ikke relevante i forhold til meddelelsespligten i medfør af direktivet.</w:t>
      </w:r>
      <w:r>
        <w:rPr>
          <w:b/>
          <w:i/>
        </w:rPr>
        <w:t xml:space="preserve"> </w:t>
      </w:r>
    </w:p>
    <w:p w:rsidR="00B15802" w:rsidRPr="00287FFE" w:rsidRDefault="00DB04B3" w:rsidP="00962FAD">
      <w:pPr>
        <w:jc w:val="both"/>
      </w:pPr>
      <w:r>
        <w:t>- Nationale bestemmelser, der indeholder et forbud mod foranstaltning af hasardspil ved drift af visse spilleautomater, kan udgøre en teknisk forskrift i henhold til direktiv 83/189, for så vidt som det fastslås, at det pågældende forbud er af et sådant omfang, at det ikke giver mulighed for former for brug af det pågældende produkt, som det med rimelighed kunne forventes anvendt til, men derimod kun for rent marginale former for brug, eller, såfremt dette ikke er tilfældet, det fastslås, at dette forbud betydeligt kan influere på sammensætningen af produktet, dets natur eller afsætningen af det.</w:t>
      </w:r>
    </w:p>
    <w:p w:rsidR="00CE6151" w:rsidRPr="00287FFE" w:rsidRDefault="00CE6151" w:rsidP="00962FAD"/>
    <w:p w:rsidR="00CE6151" w:rsidRPr="00287FFE" w:rsidRDefault="00CE6151" w:rsidP="00962FAD">
      <w:pPr>
        <w:rPr>
          <w:rFonts w:eastAsia="Calibri"/>
          <w:b/>
          <w:i/>
        </w:rPr>
      </w:pPr>
      <w:r>
        <w:rPr>
          <w:b/>
          <w:i/>
        </w:rPr>
        <w:t>Dom af 6. juni 2002, Sapod Audic, sag C-159/00, EU:C:2002:343, præmis 30 og 39</w:t>
      </w:r>
    </w:p>
    <w:p w:rsidR="00CE6151" w:rsidRPr="00287FFE" w:rsidRDefault="00CE6151" w:rsidP="00962FAD">
      <w:pPr>
        <w:jc w:val="both"/>
      </w:pPr>
    </w:p>
    <w:p w:rsidR="00CE6151" w:rsidRPr="00B010E1" w:rsidRDefault="00160B40" w:rsidP="00962FAD">
      <w:pPr>
        <w:jc w:val="both"/>
      </w:pPr>
      <w:r>
        <w:t>- En bestemmelse i national ret, som foreskriver en forpligtelse til at identificere emballage, udgør en teknisk forskrift, der skal meddeles, for så vidt det indebærer en forpligtelse til at foretage mærkning eller etikettering af emballagen.</w:t>
      </w:r>
    </w:p>
    <w:p w:rsidR="00CE6151" w:rsidRPr="00287FFE" w:rsidRDefault="00CE6151" w:rsidP="00962FAD"/>
    <w:p w:rsidR="00B15802" w:rsidRPr="00287FFE" w:rsidRDefault="00B15802" w:rsidP="00962FAD">
      <w:pPr>
        <w:rPr>
          <w:rFonts w:eastAsia="Calibri"/>
          <w:b/>
          <w:i/>
        </w:rPr>
      </w:pPr>
      <w:r>
        <w:rPr>
          <w:b/>
          <w:i/>
        </w:rPr>
        <w:t>Dom af 8. marts 2001, Van der Burg, sag C-278/99, EU:C:2001:143, præmis 20</w:t>
      </w:r>
    </w:p>
    <w:p w:rsidR="00B15802" w:rsidRPr="00287FFE" w:rsidRDefault="00B15802" w:rsidP="00962FAD"/>
    <w:p w:rsidR="00B15802" w:rsidRPr="00287FFE" w:rsidRDefault="00160B40" w:rsidP="00962FAD">
      <w:pPr>
        <w:jc w:val="both"/>
      </w:pPr>
      <w:r>
        <w:t xml:space="preserve">- En bekendtgørelse, der udelukkende forbyder kommercielle reklamer og ikke fastlægger karakteristika for et produkt, udgør ikke en teknisk specifikation som omhandlet i direktiv 83/189, og kan derfor ikke kvalificeres som en teknisk forskrift, der er omfattet af direktivets anvendelsesområde. </w:t>
      </w:r>
    </w:p>
    <w:p w:rsidR="00B15802" w:rsidRPr="00287FFE" w:rsidRDefault="00B15802" w:rsidP="00962FAD">
      <w:pPr>
        <w:jc w:val="both"/>
        <w:rPr>
          <w:b/>
          <w:i/>
          <w:highlight w:val="green"/>
        </w:rPr>
      </w:pPr>
    </w:p>
    <w:p w:rsidR="00B15802" w:rsidRPr="00287FFE" w:rsidRDefault="00B15802" w:rsidP="00962FAD">
      <w:pPr>
        <w:jc w:val="both"/>
        <w:rPr>
          <w:rFonts w:eastAsia="Calibri"/>
          <w:b/>
          <w:i/>
        </w:rPr>
      </w:pPr>
      <w:r>
        <w:rPr>
          <w:b/>
          <w:i/>
        </w:rPr>
        <w:t>Dom af 22. januar 2001, Canal Satélite Digital, sag C-390/99, EU:C:2002:34, præmis 47 og 48</w:t>
      </w:r>
    </w:p>
    <w:p w:rsidR="00B15802" w:rsidRPr="00287FFE" w:rsidRDefault="00B15802" w:rsidP="00962FAD">
      <w:pPr>
        <w:jc w:val="both"/>
        <w:rPr>
          <w:rFonts w:ascii="Helvetica" w:hAnsi="Helvetica" w:cs="Helvetica"/>
          <w:sz w:val="21"/>
          <w:szCs w:val="21"/>
        </w:rPr>
      </w:pPr>
    </w:p>
    <w:p w:rsidR="00B15802" w:rsidRPr="00287FFE" w:rsidRDefault="00DB04B3" w:rsidP="00962FAD">
      <w:pPr>
        <w:jc w:val="both"/>
      </w:pPr>
      <w:r>
        <w:t>- En national bestemmelse, der pålægger operatører af adgangsstyringstjenester en forpligtelse til at lade apparater, udstyr, dekodere eller systemer til digital transmission eller modtagelse af tv-signaler via satellit, som de har til hensigt at markedsføre, indføre i et register og opnå en forudgående attest for disse produkter, inden de kan markedsføres, udgør en teknisk forskrift.</w:t>
      </w:r>
    </w:p>
    <w:p w:rsidR="00B15802" w:rsidRDefault="00DB04B3" w:rsidP="00962FAD">
      <w:pPr>
        <w:jc w:val="both"/>
      </w:pPr>
      <w:r>
        <w:t>- For nationale bestemmelser, hvorved medlemsstaterne opfylder bindende fællesskabsretsakter, der tager sigter på vedtagelse af tekniske specifikationer, er der ikke nogen forpligtelse til at give meddelelse i henhold til direktiv 83/189, men kun i det omfang de nationale bestemmelser, der er omtvistet i hovedsagen, gennemfører bindende fællesskabsretsakter.</w:t>
      </w:r>
    </w:p>
    <w:p w:rsidR="00403A6E" w:rsidRDefault="00403A6E" w:rsidP="00962FAD">
      <w:pPr>
        <w:jc w:val="both"/>
      </w:pPr>
    </w:p>
    <w:p w:rsidR="0017652C" w:rsidRPr="0017652C" w:rsidRDefault="0017652C" w:rsidP="00962FAD">
      <w:pPr>
        <w:jc w:val="both"/>
        <w:rPr>
          <w:rFonts w:eastAsia="Calibri"/>
          <w:b/>
          <w:i/>
        </w:rPr>
      </w:pPr>
      <w:r>
        <w:rPr>
          <w:b/>
          <w:i/>
        </w:rPr>
        <w:t>Dom af 16. november 2000, Donkersteeg, sag C-37/99, EU:C:2000:636, præmis 21, 30 til 34</w:t>
      </w:r>
    </w:p>
    <w:p w:rsidR="0017652C" w:rsidRPr="0017652C" w:rsidRDefault="0017652C" w:rsidP="00962FAD">
      <w:pPr>
        <w:jc w:val="both"/>
      </w:pPr>
    </w:p>
    <w:p w:rsidR="0017652C" w:rsidRPr="0017652C" w:rsidRDefault="0017652C" w:rsidP="00962FAD">
      <w:pPr>
        <w:jc w:val="both"/>
      </w:pPr>
      <w:r>
        <w:t>- Med hensyn til landbrugsprodukter er en teknisk specifikation en specifikation, der indeholdes i et dokument, som fastlægger karakteristika for et produkt eller fremstillingsmetoder og -processer for dette.</w:t>
      </w:r>
    </w:p>
    <w:p w:rsidR="0017652C" w:rsidRPr="0017652C" w:rsidRDefault="0017652C" w:rsidP="00962FAD">
      <w:pPr>
        <w:jc w:val="both"/>
      </w:pPr>
      <w:r>
        <w:t>- En national bestemmelse, der ikke indeholder nogen bestemmelse, som "fastlægger karakteristika" for de pågældende produkter eller en fremstillingsmetode eller -proces for disse landbrugsprodukter, er ikke en teknisk specifikation som omhandlet i direktiv 83/189 og kan ikke anses for en teknisk forskrift i direktivets forstand.</w:t>
      </w:r>
    </w:p>
    <w:p w:rsidR="0017652C" w:rsidRPr="0017652C" w:rsidRDefault="0017652C" w:rsidP="00962FAD">
      <w:pPr>
        <w:jc w:val="both"/>
      </w:pPr>
      <w:r>
        <w:t>- En bestemmelse i national ret, der blot kræver, at der skal findes desinfektionskar eller passende vaskeudstyr til desinfektion af fodtøj på svineproduktionsbedriften, vedrører ikke den egentlige produktion af det pågældende landbrugsprodukt og er ikke en teknisk forskrift.</w:t>
      </w:r>
    </w:p>
    <w:p w:rsidR="0017652C" w:rsidRDefault="0017652C" w:rsidP="00962FAD">
      <w:pPr>
        <w:jc w:val="both"/>
      </w:pPr>
      <w:r>
        <w:t>- Bestemmelsen om præcise og detaljerede regler for vaccination er en teknisk specifikation, da reglerne om vaccination er knyttet til den egentlige produktion af det pågældende landbrugsprodukt. Hvis bestemmelsen imidlertid ikke fastsætter restriktioner for markedsføringen eller anvendelsen af de produkter, der ikke overholder reglerne om vaccination, udgør den ikke en teknisk forskrift, der skal meddeles, inden den udstedes.</w:t>
      </w:r>
    </w:p>
    <w:p w:rsidR="0017652C" w:rsidRDefault="0017652C" w:rsidP="00962FAD">
      <w:pPr>
        <w:jc w:val="both"/>
      </w:pPr>
    </w:p>
    <w:p w:rsidR="0017652C" w:rsidRPr="00287FFE" w:rsidRDefault="0017652C" w:rsidP="00962FAD">
      <w:pPr>
        <w:rPr>
          <w:rFonts w:eastAsia="Calibri"/>
          <w:b/>
          <w:i/>
        </w:rPr>
      </w:pPr>
      <w:r>
        <w:rPr>
          <w:b/>
          <w:i/>
        </w:rPr>
        <w:t>Dom af 12. oktober 2000, Snellers, sag C-314/98, EU:C:2000:557, præmis 37 til 40</w:t>
      </w:r>
    </w:p>
    <w:p w:rsidR="0017652C" w:rsidRPr="00287FFE" w:rsidRDefault="0017652C" w:rsidP="00962FAD">
      <w:pPr>
        <w:rPr>
          <w:rFonts w:ascii="Helvetica" w:hAnsi="Helvetica" w:cs="Helvetica"/>
          <w:sz w:val="21"/>
          <w:szCs w:val="21"/>
          <w:highlight w:val="yellow"/>
        </w:rPr>
      </w:pPr>
    </w:p>
    <w:p w:rsidR="0017652C" w:rsidRPr="00287FFE" w:rsidRDefault="0017652C" w:rsidP="00962FAD">
      <w:pPr>
        <w:jc w:val="both"/>
      </w:pPr>
      <w:r>
        <w:t>- Tekniske specifikationer som omhandlet i direktiv 83/189 skal derfor referere sig til et produkt som sådan. En forskrift, der fastsætter kriterier for fastlæggelse af den dato, hvor et motorkøretøj anses for at være godkendt til færdsel på offentlig vej, definerer med henblik på udfærdigelsen af en registreringsattest ingen karakteristika krævet for produktet som sådant og kan derfor ikke klassificeres som tekniske forskrifter, der falder inden for dette direktivs anvendelsesområde, og skal ikke meddeles.</w:t>
      </w:r>
    </w:p>
    <w:p w:rsidR="0017652C" w:rsidRPr="00287FFE" w:rsidRDefault="0017652C" w:rsidP="00962FAD">
      <w:pPr>
        <w:jc w:val="both"/>
      </w:pPr>
    </w:p>
    <w:p w:rsidR="0017652C" w:rsidRPr="00287FFE" w:rsidRDefault="0017652C" w:rsidP="00962FAD">
      <w:pPr>
        <w:rPr>
          <w:rFonts w:eastAsia="Calibri"/>
          <w:b/>
          <w:i/>
        </w:rPr>
      </w:pPr>
      <w:r>
        <w:rPr>
          <w:b/>
          <w:i/>
        </w:rPr>
        <w:t>Dom af 26. september 2000, Unilever, sag C-443/98, EU:C:2000:496, præmis 26 til 30</w:t>
      </w:r>
    </w:p>
    <w:p w:rsidR="0017652C" w:rsidRPr="00287FFE" w:rsidRDefault="0017652C" w:rsidP="00962FAD">
      <w:pPr>
        <w:rPr>
          <w:rFonts w:ascii="Helvetica" w:hAnsi="Helvetica" w:cs="Helvetica"/>
          <w:sz w:val="21"/>
          <w:szCs w:val="21"/>
        </w:rPr>
      </w:pPr>
    </w:p>
    <w:p w:rsidR="0017652C" w:rsidRPr="00287FFE" w:rsidRDefault="0017652C" w:rsidP="00962FAD">
      <w:pPr>
        <w:jc w:val="both"/>
      </w:pPr>
      <w:r>
        <w:t xml:space="preserve">- En bestemmelse, som regulerer etiketteringen vedrørende oprindelsen for olivenolie, indeholder regler, der må kvalificeres som "tekniske specifikationer" som omhandlet i direktiv 98/34. </w:t>
      </w:r>
    </w:p>
    <w:p w:rsidR="0017652C" w:rsidRPr="00287FFE" w:rsidRDefault="0017652C" w:rsidP="00962FAD">
      <w:pPr>
        <w:jc w:val="both"/>
      </w:pPr>
      <w:r>
        <w:t xml:space="preserve">- Når EU-direktivet tillægger medlemsstaterne et tilstrækkeligt vidt skøn til, at det kan udelukkes, at nationale foranstaltninger, der vedtages på grundlag af et sådant direktiv, kan kvalificeres som nationale bestemmelser, hvorved medlemsstaterne opfylder bindende fællesskabsretsakter, jf. artikel 10, stk. 1, første led, i direktiv 83/189. </w:t>
      </w:r>
    </w:p>
    <w:p w:rsidR="0017652C" w:rsidRPr="00287FFE" w:rsidRDefault="0017652C" w:rsidP="00962FAD">
      <w:pPr>
        <w:jc w:val="both"/>
      </w:pPr>
    </w:p>
    <w:p w:rsidR="0017652C" w:rsidRPr="00287FFE" w:rsidRDefault="0017652C" w:rsidP="00962FAD">
      <w:pPr>
        <w:ind w:right="-86"/>
        <w:rPr>
          <w:rFonts w:eastAsia="Calibri"/>
          <w:b/>
          <w:i/>
        </w:rPr>
      </w:pPr>
      <w:r>
        <w:rPr>
          <w:b/>
          <w:i/>
        </w:rPr>
        <w:t>Dom af 3. juni 1999, Colim, sag C-33/97, EU:C:1999:274, præmis 22, 27 til 30 og 36</w:t>
      </w:r>
    </w:p>
    <w:p w:rsidR="0017652C" w:rsidRPr="00287FFE" w:rsidRDefault="0017652C" w:rsidP="00962FAD">
      <w:pPr>
        <w:jc w:val="both"/>
        <w:rPr>
          <w:highlight w:val="yellow"/>
        </w:rPr>
      </w:pPr>
    </w:p>
    <w:p w:rsidR="0017652C" w:rsidRPr="00287FFE" w:rsidRDefault="0017652C" w:rsidP="00962FAD">
      <w:pPr>
        <w:jc w:val="both"/>
      </w:pPr>
      <w:r>
        <w:lastRenderedPageBreak/>
        <w:t>- En national forskrift, som gengiver eller erstatter eksisterende forskrifter uden tilføjelse af nye eller supplerende specifikationer, kan imidlertid ikke anses for "et udkast" til teknisk forskrift og er derfor heller ikke underlagt forpligtelsen til underretning, såfremt de nævnte forskrifter, hvis de er blevet vedtaget efter ikrafttrædelsen af direktiv 83/189, behørigt er blevet meddelt Kommissionen.</w:t>
      </w:r>
    </w:p>
    <w:p w:rsidR="0017652C" w:rsidRPr="00287FFE" w:rsidRDefault="0017652C" w:rsidP="00962FAD">
      <w:pPr>
        <w:jc w:val="both"/>
      </w:pPr>
      <w:r>
        <w:t xml:space="preserve">- Bestemmelser i en medlemsstat, hvorefter markedsføringen af varer i vedkommende stat er betinget af anvendelsen af et eller flere bestemte sprog med hensyn til de oplysninger, som skal figurere på etiketten, brugsanvisningen, og garantibeviset, vil kunne anses for at henhøre under "terminologiske forskrifter for varen, symboler ... emballering, mærkning eller etikettering" som omhandlet i artikel 1, punkt 1, i direktiv 83/189 og følgelig for at udgøre en teknisk forskrift efter direktivet. Der må dog sondres mellem forpligtelsen til at videregive visse oplysninger om et produkt til forbrugeren, som opfyldes ved angivelse heraf på selve varen eller ved dokumenter, som vedlægges denne, såsom brugsanvisning og garantibevis, og forpligtelsen til at affatte disse oplysninger på et bestemt sprog. Modsat den første forpligtelse, som direkte vedrører varen, vedrører den anden forpligtelse alene fastlæggelsen af det sprog, på hvilket den førstnævnte forpligtelse skal opfyldes. Forpligtelsen til at give disse oplysninger, som de erhvervsdrivende er pligtige at meddele køberen eller den endelige forbruger på et bestemt sprog, udgør ikke i sig selv en "teknisk forskrift" som omhandlet af direktiv 83/189, men en supplerende regel, som er nødvendig for gennemførelsen af den effektive videregivelse af oplysningerne. </w:t>
      </w:r>
    </w:p>
    <w:p w:rsidR="0017652C" w:rsidRPr="00287FFE" w:rsidRDefault="0017652C" w:rsidP="00962FAD">
      <w:pPr>
        <w:jc w:val="both"/>
      </w:pPr>
      <w:r>
        <w:t>- Sprogkrav til etikettering, brugsanvisning eller garantibeviser udgør dog, selv om de ikke er tekniske forskrifter som omhandlet af direktivet, en hindring for samhandelen inden for Fællesskabet, for så vidt de varer, der hidrører fra andre medlemsstater, skal forsynes med andre etiketter, hvilket medfører yderligere udgifter til emballering.</w:t>
      </w:r>
    </w:p>
    <w:p w:rsidR="0017652C" w:rsidRPr="00287FFE" w:rsidRDefault="0017652C" w:rsidP="00962FAD">
      <w:pPr>
        <w:jc w:val="both"/>
      </w:pPr>
    </w:p>
    <w:p w:rsidR="0017652C" w:rsidRPr="00287FFE" w:rsidRDefault="0017652C" w:rsidP="00962FAD">
      <w:pPr>
        <w:jc w:val="both"/>
        <w:rPr>
          <w:rFonts w:eastAsia="Calibri"/>
          <w:b/>
          <w:i/>
        </w:rPr>
      </w:pPr>
      <w:r>
        <w:rPr>
          <w:b/>
          <w:i/>
        </w:rPr>
        <w:t>Dom af 11. maj 1999, Albers, sag C-425/97 til 427/97, EU:C:1999:243, præmis 16 til 24</w:t>
      </w:r>
    </w:p>
    <w:p w:rsidR="0017652C" w:rsidRPr="00287FFE" w:rsidRDefault="0017652C" w:rsidP="00962FAD">
      <w:pPr>
        <w:jc w:val="both"/>
      </w:pPr>
    </w:p>
    <w:p w:rsidR="0017652C" w:rsidRPr="00287FFE" w:rsidRDefault="0017652C" w:rsidP="00962FAD">
      <w:pPr>
        <w:jc w:val="both"/>
      </w:pPr>
      <w:r>
        <w:t>- Forskrifter, som sigter mod at forebygge indgivelse af specifikke stoffer i fedekvæg, udgør tekniske specifikationer efter betydningen i direktiv 83/189. Da de hidrører fra nationale administrative myndigheder og finder anvendelse på hele det nationale område og er obligatoriske for dem, de er stilet til, foreligger der tekniske forskrifter efter betydningen i direktiv 83/189.</w:t>
      </w:r>
    </w:p>
    <w:p w:rsidR="0017652C" w:rsidRPr="00287FFE" w:rsidRDefault="0017652C" w:rsidP="00962FAD"/>
    <w:p w:rsidR="0017652C" w:rsidRPr="00287FFE" w:rsidRDefault="0017652C" w:rsidP="00962FAD">
      <w:r>
        <w:rPr>
          <w:b/>
          <w:i/>
        </w:rPr>
        <w:t>Dom af 16. juni 1998, Lemmens, sag C-226/97, EU:C:1998:296, præmis 19 til 21 og 24 til 26</w:t>
      </w:r>
    </w:p>
    <w:p w:rsidR="0017652C" w:rsidRPr="00287FFE" w:rsidRDefault="0017652C" w:rsidP="00962FAD"/>
    <w:p w:rsidR="0017652C" w:rsidRPr="00287FFE" w:rsidRDefault="0017652C" w:rsidP="00962FAD">
      <w:pPr>
        <w:jc w:val="both"/>
      </w:pPr>
      <w:r>
        <w:t xml:space="preserve">- Direktiv 83/189 finder anvendelse på tekniske forskrifter uafhængigt af de grunde, som har begrundet deres vedtagelse. Selv om det er korrekt, at straffelovgivningen og reglerne om behandlingen af straffesager principielt henhører under medlemsstaternes kompetence, kan det ikke heraf udledes, at tekniske forskrifter, som er omfattet af artikel 1, er undtaget fra meddelelsespligten, såfremt de har tilknytning til det strafferetlige område, og at direktivets anvendelsesområde er begrænset til produkter, der er beregnet til en anvendelse, som ikke henhører under statsmagtens beføjelser. </w:t>
      </w:r>
    </w:p>
    <w:p w:rsidR="0017652C" w:rsidRPr="00287FFE" w:rsidRDefault="0017652C" w:rsidP="00962FAD">
      <w:pPr>
        <w:jc w:val="both"/>
      </w:pPr>
      <w:r>
        <w:t xml:space="preserve">- Nationale bestemmelser vedrørende det alcometer, der skal anvendes af politiet til undersøgelse af alkoholindholdet, udgør en teknisk forskrift, som skulle have været meddelt Kommissionen i overensstemmelse med direktivets artikel 8, før de blev vedtaget. </w:t>
      </w:r>
    </w:p>
    <w:p w:rsidR="0017652C" w:rsidRPr="00287FFE" w:rsidRDefault="0017652C" w:rsidP="00962FAD">
      <w:pPr>
        <w:rPr>
          <w:highlight w:val="yellow"/>
        </w:rPr>
      </w:pPr>
    </w:p>
    <w:p w:rsidR="0017652C" w:rsidRPr="00287FFE" w:rsidRDefault="0017652C" w:rsidP="00962FAD">
      <w:pPr>
        <w:ind w:right="56"/>
        <w:jc w:val="both"/>
      </w:pPr>
      <w:r>
        <w:rPr>
          <w:b/>
          <w:i/>
        </w:rPr>
        <w:t>Dom af 7. maj 1998, Kommissionen mod Belgien, sag C-145/97, EU:C:1998:212, præmis 12</w:t>
      </w:r>
    </w:p>
    <w:p w:rsidR="0017652C" w:rsidRPr="00287FFE" w:rsidRDefault="0017652C" w:rsidP="00962FAD">
      <w:pPr>
        <w:jc w:val="both"/>
      </w:pPr>
    </w:p>
    <w:p w:rsidR="0017652C" w:rsidRDefault="0017652C" w:rsidP="00962FAD">
      <w:pPr>
        <w:jc w:val="both"/>
      </w:pPr>
      <w:r>
        <w:t xml:space="preserve">- I henhold til direktivets artikel 8 skal medlemsstaterne sende ikke kun udkastet til teknisk forskrift, men også teksten til de tilgrundliggende væsentligste og direkte berørte love og administrative bestemmelser. Formålet med den bestemmelse er at give Kommissionen mulighed </w:t>
      </w:r>
      <w:r>
        <w:lastRenderedPageBreak/>
        <w:t>for at få et så fuldstændigt informationsgrundlag som muligt, så den kan udøve de beføjelser, den er blevet tillagt efter direktivet, på den mest effektive vis.</w:t>
      </w:r>
    </w:p>
    <w:p w:rsidR="00CE6151" w:rsidRPr="00287FFE" w:rsidRDefault="00CE6151" w:rsidP="00962FAD">
      <w:pPr>
        <w:pStyle w:val="NormalWeb"/>
        <w:jc w:val="both"/>
      </w:pPr>
      <w:r>
        <w:rPr>
          <w:b/>
          <w:i/>
        </w:rPr>
        <w:t>Dom af 20. marts 1997, Bic Benelux, sag C-13/96, EU:C:1997:173, præmis 20 til 26</w:t>
      </w:r>
    </w:p>
    <w:p w:rsidR="00CE6151" w:rsidRPr="00287FFE" w:rsidRDefault="00DB04B3" w:rsidP="00962FAD">
      <w:pPr>
        <w:autoSpaceDE w:val="0"/>
        <w:autoSpaceDN w:val="0"/>
        <w:adjustRightInd w:val="0"/>
        <w:jc w:val="both"/>
      </w:pPr>
      <w:r>
        <w:t xml:space="preserve">- En forpligtelse til at anbringe bestemte kendemærker på varer, der er pålagt en afgift på grund af de miljømæssigt skadelige virkninger, disse varer antages at medføre, udgør en teknisk specifikation i direktiv 83/189's forstand, og den nationale forskrift, der indfører forpligtelsen, er en teknisk forskrift i direktivets forstand. </w:t>
      </w:r>
    </w:p>
    <w:p w:rsidR="00CE6151" w:rsidRPr="00287FFE" w:rsidRDefault="00DB04B3" w:rsidP="00962FAD">
      <w:pPr>
        <w:autoSpaceDE w:val="0"/>
        <w:autoSpaceDN w:val="0"/>
        <w:adjustRightInd w:val="0"/>
        <w:jc w:val="both"/>
      </w:pPr>
      <w:r>
        <w:t>- Den omstændighed, at der er blevet vedtaget en national foranstaltning til beskyttelse af miljøet, eller den omstændighed, at den ikke gennemfører en teknisk standard, der i sig selv kan udgøre en hindring for den frie bevægelighed, udelukker ikke, at den pågældende foranstaltning kan udgøre en teknisk forskrift i direktiv 83/189's forstand.</w:t>
      </w:r>
    </w:p>
    <w:p w:rsidR="00CE6151" w:rsidRPr="00287FFE" w:rsidRDefault="00DB04B3" w:rsidP="00962FAD">
      <w:pPr>
        <w:autoSpaceDE w:val="0"/>
        <w:autoSpaceDN w:val="0"/>
        <w:adjustRightInd w:val="0"/>
        <w:jc w:val="both"/>
      </w:pPr>
      <w:r>
        <w:t>- Det skal derfor fastslås, at mærkningspligten, der under ingen omstændigheder kan anses for en ren skatte- og afgiftsmæssig ledsageforanstaltning, ikke udgør et krav, til hvilket der er knyttet en skattemæssig foranstaltning i den forstand, hvori udtrykket er anvendt i artikel 1, nr. 9, andet afsnit, tredje led, i direktiv 83/189, som ændret ved direktiv 94/10.</w:t>
      </w:r>
    </w:p>
    <w:p w:rsidR="00295CA4" w:rsidRPr="00287FFE" w:rsidRDefault="00295CA4" w:rsidP="00962FAD">
      <w:pPr>
        <w:jc w:val="both"/>
        <w:rPr>
          <w:rFonts w:eastAsia="Calibri"/>
          <w:b/>
          <w:i/>
          <w:lang w:eastAsia="en-US"/>
        </w:rPr>
      </w:pPr>
    </w:p>
    <w:p w:rsidR="00295CA4" w:rsidRPr="00287FFE" w:rsidRDefault="00295CA4" w:rsidP="00962FAD">
      <w:pPr>
        <w:jc w:val="both"/>
        <w:rPr>
          <w:rFonts w:eastAsia="Calibri"/>
          <w:b/>
          <w:i/>
        </w:rPr>
      </w:pPr>
      <w:r>
        <w:rPr>
          <w:b/>
          <w:i/>
        </w:rPr>
        <w:t>Dom af 17. september 1996, Kommissionen mod Italien, sag C-289/94, EU:C:1996:330, præmis 32, 36, 43 til 44, 51</w:t>
      </w:r>
    </w:p>
    <w:p w:rsidR="00295CA4" w:rsidRPr="00287FFE" w:rsidRDefault="00295CA4" w:rsidP="00962FAD">
      <w:pPr>
        <w:jc w:val="both"/>
      </w:pPr>
    </w:p>
    <w:p w:rsidR="00295CA4" w:rsidRPr="00287FFE" w:rsidRDefault="00356040" w:rsidP="00962FAD">
      <w:pPr>
        <w:jc w:val="both"/>
      </w:pPr>
      <w:r>
        <w:t>- Begrebet teknisk specifikation omfatter fremstillingsmetoder og -processer for lægemidler, som defineret i artikel 1 i direktiv 65/65, siden direktiv 88/182's udvidelse af anvendelsesområdet for direktiv 83/189.</w:t>
      </w:r>
    </w:p>
    <w:p w:rsidR="00295CA4" w:rsidRPr="00287FFE" w:rsidRDefault="00356040" w:rsidP="00962FAD">
      <w:pPr>
        <w:jc w:val="both"/>
      </w:pPr>
      <w:r>
        <w:t>- Dekretet vedrørende kvaliteten af det vand, der er bestemt til at producere spiselige toskallede skaldyr, må anses for at være en teknisk forskrift, der er omfattet af meddelelsespligten, i betragtning af den meget snævre sammenhæng mellem kvaliteten af produktionsvandet og markedsføringen af de pågældende produkter, og eftersom overholdelsen af dem har en direkte indvirkning på markedsføringen af produkterne i den forstand, at kun produkter produceret i overensstemmelse med disse tekniske forskrifter kan markedsføres.</w:t>
      </w:r>
    </w:p>
    <w:p w:rsidR="00295CA4" w:rsidRPr="00287FFE" w:rsidRDefault="00356040" w:rsidP="00962FAD">
      <w:pPr>
        <w:jc w:val="both"/>
      </w:pPr>
      <w:r>
        <w:t xml:space="preserve">- Der skal være en direkte sammenhæng mellem en bindende fællesskabsretsakt og en national bestemmelse, for at den kan betegnes som en gennemførelsesbestemmelse, der er undtaget fra meddelelseskravet under direktivets artikel 10, stk. 1. </w:t>
      </w:r>
    </w:p>
    <w:p w:rsidR="00295CA4" w:rsidRPr="00287FFE" w:rsidRDefault="00295CA4" w:rsidP="00962FAD">
      <w:pPr>
        <w:rPr>
          <w:rFonts w:eastAsia="Calibri"/>
          <w:b/>
          <w:i/>
          <w:highlight w:val="green"/>
          <w:lang w:eastAsia="en-US"/>
        </w:rPr>
      </w:pPr>
    </w:p>
    <w:p w:rsidR="00295CA4" w:rsidRPr="00287FFE" w:rsidRDefault="00295CA4" w:rsidP="00962FAD">
      <w:pPr>
        <w:jc w:val="both"/>
        <w:rPr>
          <w:rFonts w:eastAsia="Calibri"/>
          <w:b/>
          <w:i/>
        </w:rPr>
      </w:pPr>
      <w:r>
        <w:rPr>
          <w:b/>
          <w:i/>
        </w:rPr>
        <w:t>Dom af 16. september 1996, Kommissionen mod Italien, sag C-279/94, EU:C:1996:396, præmis 30, 34, 38 til 42</w:t>
      </w:r>
    </w:p>
    <w:p w:rsidR="00295CA4" w:rsidRPr="00287FFE" w:rsidRDefault="00295CA4" w:rsidP="00962FAD">
      <w:pPr>
        <w:jc w:val="both"/>
      </w:pPr>
    </w:p>
    <w:p w:rsidR="00295CA4" w:rsidRPr="00287FFE" w:rsidRDefault="00356040" w:rsidP="00962FAD">
      <w:pPr>
        <w:jc w:val="both"/>
      </w:pPr>
      <w:r>
        <w:t>- En ny teknisk forskrift skal skabe retsvirkninger, der er forskellige fra de eksisterende regler.</w:t>
      </w:r>
    </w:p>
    <w:p w:rsidR="00295CA4" w:rsidRPr="00287FFE" w:rsidRDefault="00356040" w:rsidP="00962FAD">
      <w:pPr>
        <w:jc w:val="both"/>
      </w:pPr>
      <w:r>
        <w:t>- Med udgangspunkt i formålet med direktivets artikel 8, hvilket er at give Kommissionen mulighed for at få et så fuldstændigt informationsgrundlag som muligt om ethvert udkast til teknisk forskrift for så vidt angår indholdet og rækkevidden heraf samt den generelle sammenhæng herfor, påhviler det medlemsstaterne at kommunikere hele teksten med de tekniske forskrifter. Det betyder, at hele teksten skal notificeres, men kun de tekniske forskrifter, som den indeholder, er underlagt status quo-forpligtelsen.</w:t>
      </w:r>
    </w:p>
    <w:p w:rsidR="00295CA4" w:rsidRPr="00287FFE" w:rsidRDefault="00356040" w:rsidP="00962FAD">
      <w:pPr>
        <w:jc w:val="both"/>
      </w:pPr>
      <w:r>
        <w:t>- Bestemmelsen, der forbyder markedsføring og anvendelse af asbest, udgør en teknisk forskrift, der skal meddeles i udkast.</w:t>
      </w:r>
    </w:p>
    <w:p w:rsidR="00295CA4" w:rsidRPr="00287FFE" w:rsidRDefault="00356040" w:rsidP="00962FAD">
      <w:pPr>
        <w:jc w:val="both"/>
      </w:pPr>
      <w:r>
        <w:t xml:space="preserve">- Bestemmelsen, der fastlægger grænseværdier for koncentrationen af asbestfibre, der kan indåndes på arbejdspladser, da den ikke præciserer et karakteristikon for et produkt, henhører ikke umiddelbart under definitionen af tekniske forskrifter, og den kan derfor ikke anses for en </w:t>
      </w:r>
      <w:r>
        <w:lastRenderedPageBreak/>
        <w:t>teknisk forskrift, som skal anmeldes til Kommissionen, medmindre grænseværdierne kan have indvirkning på det berørte produkts karakteristika.</w:t>
      </w:r>
    </w:p>
    <w:p w:rsidR="00295CA4" w:rsidRPr="00287FFE" w:rsidRDefault="00356040" w:rsidP="00962FAD">
      <w:pPr>
        <w:jc w:val="both"/>
      </w:pPr>
      <w:r>
        <w:t>- Medlemsstaterne er forpligtet til at meddele teksten til lovudkastet i sin helhed, herunder de bestemmelser, der ikke udgør tekniske forskrifter, for at give Kommissionen mulighed for at få et så fuldstændigt informationsgrundlag som muligt om ethvert udkast til teknisk forskrift for så vidt angår indholdet og rækkevidden heraf samt den generelle sammenhæng herfor.</w:t>
      </w:r>
    </w:p>
    <w:p w:rsidR="00B15802" w:rsidRPr="00287FFE" w:rsidRDefault="00B15802" w:rsidP="00962FAD">
      <w:pPr>
        <w:autoSpaceDE w:val="0"/>
        <w:autoSpaceDN w:val="0"/>
        <w:adjustRightInd w:val="0"/>
        <w:jc w:val="both"/>
      </w:pPr>
    </w:p>
    <w:p w:rsidR="00B15802" w:rsidRPr="00287FFE" w:rsidRDefault="00B15802" w:rsidP="00962FAD">
      <w:pPr>
        <w:pStyle w:val="NormalWeb"/>
        <w:spacing w:before="0" w:beforeAutospacing="0" w:after="0" w:afterAutospacing="0"/>
        <w:jc w:val="both"/>
        <w:rPr>
          <w:rFonts w:eastAsia="Calibri"/>
          <w:b/>
          <w:i/>
        </w:rPr>
      </w:pPr>
      <w:r>
        <w:rPr>
          <w:b/>
          <w:i/>
        </w:rPr>
        <w:t>Dom af 30. april 1996, CIA Security International SA, sag C-194/94, EU:C:1996:172, præmis 30, 54 og 55</w:t>
      </w:r>
    </w:p>
    <w:p w:rsidR="00B15802" w:rsidRPr="00287FFE" w:rsidRDefault="00B15802" w:rsidP="00962FAD">
      <w:pPr>
        <w:autoSpaceDE w:val="0"/>
        <w:autoSpaceDN w:val="0"/>
        <w:adjustRightInd w:val="0"/>
        <w:jc w:val="both"/>
        <w:rPr>
          <w:lang w:val="en-US"/>
        </w:rPr>
      </w:pPr>
    </w:p>
    <w:p w:rsidR="00B15802" w:rsidRPr="00287FFE" w:rsidRDefault="00160B40" w:rsidP="00962FAD">
      <w:pPr>
        <w:autoSpaceDE w:val="0"/>
        <w:autoSpaceDN w:val="0"/>
        <w:adjustRightInd w:val="0"/>
        <w:jc w:val="both"/>
      </w:pPr>
      <w:r>
        <w:t>- En bestemmelse må anses for at være en teknisk forskrift i direktiv 83/189's forstand, når</w:t>
      </w:r>
    </w:p>
    <w:p w:rsidR="00B15802" w:rsidRPr="00287FFE" w:rsidRDefault="00B15802" w:rsidP="00962FAD">
      <w:pPr>
        <w:autoSpaceDE w:val="0"/>
        <w:autoSpaceDN w:val="0"/>
        <w:adjustRightInd w:val="0"/>
        <w:jc w:val="both"/>
      </w:pPr>
      <w:r>
        <w:t>den pålægger de berørte virksomheder pligt til at ansøge om forudgående godkendelse for deres materiel, også selv om de forudsatte administrative regler ikke er blevet udstedt.</w:t>
      </w:r>
    </w:p>
    <w:p w:rsidR="00B15802" w:rsidRPr="00287FFE" w:rsidRDefault="00B15802" w:rsidP="00962FAD">
      <w:pPr>
        <w:autoSpaceDE w:val="0"/>
        <w:autoSpaceDN w:val="0"/>
        <w:adjustRightInd w:val="0"/>
        <w:jc w:val="both"/>
        <w:rPr>
          <w:lang w:val="en-US"/>
        </w:rPr>
      </w:pPr>
    </w:p>
    <w:p w:rsidR="00E91B63" w:rsidRPr="00287FFE" w:rsidRDefault="00E91B63" w:rsidP="00962FAD">
      <w:pPr>
        <w:jc w:val="both"/>
        <w:rPr>
          <w:rFonts w:eastAsia="Calibri"/>
          <w:b/>
          <w:i/>
        </w:rPr>
      </w:pPr>
      <w:r>
        <w:rPr>
          <w:b/>
          <w:i/>
        </w:rPr>
        <w:t>Dom af 11. januar 1996, Kommissionen mod Nederlandene, sag C-273/94, EU:C:1996:4, præmis 13 til 15</w:t>
      </w:r>
    </w:p>
    <w:p w:rsidR="00E91B63" w:rsidRPr="00287FFE" w:rsidRDefault="00E91B63" w:rsidP="00962FAD">
      <w:pPr>
        <w:autoSpaceDE w:val="0"/>
        <w:autoSpaceDN w:val="0"/>
        <w:adjustRightInd w:val="0"/>
        <w:jc w:val="both"/>
        <w:rPr>
          <w:rFonts w:eastAsia="Calibri"/>
          <w:lang w:eastAsia="en-US"/>
        </w:rPr>
      </w:pPr>
    </w:p>
    <w:p w:rsidR="00E91B63" w:rsidRPr="00287FFE" w:rsidRDefault="00356040" w:rsidP="00962FAD">
      <w:pPr>
        <w:autoSpaceDE w:val="0"/>
        <w:autoSpaceDN w:val="0"/>
        <w:adjustRightInd w:val="0"/>
        <w:jc w:val="both"/>
        <w:rPr>
          <w:rFonts w:eastAsia="Calibri"/>
        </w:rPr>
      </w:pPr>
      <w:r>
        <w:t>- En national lovgivning, der finder anvendelse på en bestemt vare, og der indeholder en undtagelse fra en anden, bestående teknisk forskrift vedrørende samme vare, er en teknisk forskrift i direktiv 83/189's forstand, da den indfører alternative tekniske specifikationer, som retligt eller faktisk skal overholdes, når varen forhandles eller anvendes. Enhver, der ønsker at fravige de eksisterende regler, er forpligtet til at overholde de alternative specifikationer for at producere eller markedsføre den pågældende vare.</w:t>
      </w:r>
    </w:p>
    <w:p w:rsidR="00E91B63" w:rsidRPr="00287FFE" w:rsidRDefault="00356040" w:rsidP="00962FAD">
      <w:pPr>
        <w:jc w:val="both"/>
      </w:pPr>
      <w:r>
        <w:t>- Anmeldelsespligten er ikke afhængig af formodede virkninger af den pågældende tekniske forskrift for samhandelen mellem medlemsstaterne. Formålet med proceduren er i stedet at fastslå, hvorvidt der er en risiko for at skabe en hindring, og hvorvidt det kunne blive begrundet i lyset af EU-lovgivningen. Som følge heraf skal selv regler, som liberaliserer reguleringen af de pågældende produkter, notificeres.</w:t>
      </w:r>
    </w:p>
    <w:p w:rsidR="00E91B63" w:rsidRDefault="00E91B63" w:rsidP="00962FAD">
      <w:pPr>
        <w:jc w:val="both"/>
        <w:rPr>
          <w:rFonts w:eastAsia="Calibri"/>
          <w:b/>
          <w:i/>
          <w:lang w:val="en-US" w:eastAsia="en-US"/>
        </w:rPr>
      </w:pPr>
    </w:p>
    <w:p w:rsidR="00295CA4" w:rsidRPr="00287FFE" w:rsidRDefault="00295CA4" w:rsidP="00962FAD">
      <w:pPr>
        <w:jc w:val="both"/>
        <w:rPr>
          <w:rFonts w:eastAsia="Calibri"/>
          <w:b/>
          <w:i/>
        </w:rPr>
      </w:pPr>
      <w:r>
        <w:rPr>
          <w:b/>
          <w:i/>
        </w:rPr>
        <w:t>Dom af 1. juni 1994, Kommissionen mod Tyskland, sag C-317/92, EU:C:1994:212, præmis 25 og 26</w:t>
      </w:r>
    </w:p>
    <w:p w:rsidR="00295CA4" w:rsidRPr="00287FFE" w:rsidRDefault="00295CA4" w:rsidP="00962FAD">
      <w:pPr>
        <w:autoSpaceDE w:val="0"/>
        <w:autoSpaceDN w:val="0"/>
        <w:adjustRightInd w:val="0"/>
        <w:jc w:val="both"/>
        <w:rPr>
          <w:lang w:val="en-US" w:eastAsia="fr-FR"/>
        </w:rPr>
      </w:pPr>
    </w:p>
    <w:p w:rsidR="00295CA4" w:rsidRPr="00287FFE" w:rsidRDefault="00356040" w:rsidP="00962FAD">
      <w:pPr>
        <w:autoSpaceDE w:val="0"/>
        <w:autoSpaceDN w:val="0"/>
        <w:adjustRightInd w:val="0"/>
        <w:jc w:val="both"/>
        <w:rPr>
          <w:rFonts w:ascii="Helvetica" w:hAnsi="Helvetica" w:cs="Helvetica"/>
          <w:sz w:val="21"/>
          <w:szCs w:val="21"/>
        </w:rPr>
      </w:pPr>
      <w:r>
        <w:t>- En bestemmelse må anses for at være en teknisk forskrift i direktiv 83/189's forstand, når den medfører selvstændige retsvirkninger. Såfremt bestemmelsen ifølge national ret alene giver bemyndigelse til at udstede administrative forskrifter, hvis regler er bindende for de berørte, og således ikke i sig selv medfører retsvirkninger for borgerne, er den ikke en teknisk forskrift i direktivets forstand. Den omstændighed, at bemyndigelsesforskriften allerede er meddelt Kommissionen, kan ikke give dispensation fra forpligtelsen til at meddele bestemmelserne, der implementerer denne. Det er ikke bemyndigelsesforskriften, men muligvis gennemførelsesbestemmelserne, der indeholder den tekniske forskrift.</w:t>
      </w:r>
    </w:p>
    <w:p w:rsidR="00295CA4" w:rsidRPr="00287FFE" w:rsidRDefault="00356040" w:rsidP="00962FAD">
      <w:pPr>
        <w:autoSpaceDE w:val="0"/>
        <w:autoSpaceDN w:val="0"/>
        <w:adjustRightInd w:val="0"/>
        <w:jc w:val="both"/>
      </w:pPr>
      <w:r>
        <w:t>- Anvendelsen af en teknisk bestemmelse på bestemte varer, som tidligere angik andre varer, er en teknisk forskrift og skal derfor meddeles.</w:t>
      </w:r>
    </w:p>
    <w:p w:rsidR="00295CA4" w:rsidRPr="00287FFE" w:rsidRDefault="00356040" w:rsidP="00962FAD">
      <w:pPr>
        <w:jc w:val="both"/>
      </w:pPr>
      <w:r>
        <w:t xml:space="preserve">- En foranstaltning, der begrænser sidste anvendelsesdato, der kan anføres på produktets emballage, udgør en teknisk forskrift i henhold til direktiv 83/189. </w:t>
      </w:r>
    </w:p>
    <w:p w:rsidR="00B010E1" w:rsidRDefault="00B010E1" w:rsidP="00962FAD">
      <w:pPr>
        <w:jc w:val="both"/>
        <w:rPr>
          <w:rFonts w:eastAsia="Calibri"/>
          <w:b/>
          <w:lang w:eastAsia="en-US"/>
        </w:rPr>
      </w:pPr>
    </w:p>
    <w:p w:rsidR="00B010E1" w:rsidRPr="00160B40" w:rsidRDefault="00160B40" w:rsidP="00962FAD">
      <w:pPr>
        <w:jc w:val="both"/>
        <w:rPr>
          <w:rFonts w:eastAsia="Calibri"/>
          <w:b/>
          <w:u w:val="single"/>
        </w:rPr>
      </w:pPr>
      <w:bookmarkStart w:id="2" w:name="b_heading"/>
      <w:r>
        <w:rPr>
          <w:b/>
          <w:u w:val="single"/>
        </w:rPr>
        <w:t>b. Informationssamfundets tjenester</w:t>
      </w:r>
    </w:p>
    <w:bookmarkEnd w:id="2"/>
    <w:p w:rsidR="00B010E1" w:rsidRPr="00287FFE" w:rsidRDefault="00B010E1" w:rsidP="00962FAD">
      <w:pPr>
        <w:jc w:val="both"/>
        <w:rPr>
          <w:rFonts w:eastAsia="Calibri"/>
          <w:b/>
          <w:i/>
          <w:lang w:val="en-US" w:eastAsia="en-US"/>
        </w:rPr>
      </w:pPr>
    </w:p>
    <w:p w:rsidR="00B010E1" w:rsidRPr="00287FFE" w:rsidRDefault="00B010E1" w:rsidP="00962FAD">
      <w:pPr>
        <w:jc w:val="both"/>
        <w:rPr>
          <w:rFonts w:eastAsia="Calibri"/>
          <w:b/>
          <w:i/>
        </w:rPr>
      </w:pPr>
      <w:r>
        <w:rPr>
          <w:b/>
          <w:i/>
        </w:rPr>
        <w:t>Dom af 10. april 2018, Uber France, sag C</w:t>
      </w:r>
      <w:r>
        <w:rPr>
          <w:b/>
          <w:i/>
        </w:rPr>
        <w:noBreakHyphen/>
        <w:t>320/16, EU:C:2018:221, præmis 18 til 28</w:t>
      </w:r>
    </w:p>
    <w:p w:rsidR="00B010E1" w:rsidRPr="00287FFE" w:rsidRDefault="00B010E1" w:rsidP="00962FAD">
      <w:pPr>
        <w:jc w:val="both"/>
        <w:rPr>
          <w:lang w:val="en-US"/>
        </w:rPr>
      </w:pPr>
    </w:p>
    <w:p w:rsidR="00B010E1" w:rsidRPr="00287FFE" w:rsidRDefault="00160B40" w:rsidP="00962FAD">
      <w:pPr>
        <w:jc w:val="both"/>
      </w:pPr>
      <w:r>
        <w:lastRenderedPageBreak/>
        <w:t>- En national lovgivning, der strafferetligt sanktionerer det forhold at indrette et system til at sætte kunder i forbindelse med personer, som mod vederlag leverer persontransportydelser med køretøjer med færre end ti pladser uden at have godkendelse dertil, vedrører en "tjenesteydelse på transportområdet", i det omfang den finder anvendelse på en formidlingstjeneste leveret ved hjælp af en applikation til en smartphone, og som udgør en integrerende del af en samlet tjeneste, hvor hovedelementet er transportydelsen. En sådan tjenesteydelse er udelukket fra direktiv 2015/1535's anvendelsesområde.</w:t>
      </w:r>
    </w:p>
    <w:p w:rsidR="00B010E1" w:rsidRPr="00287FFE" w:rsidRDefault="00B010E1" w:rsidP="00962FAD">
      <w:pPr>
        <w:jc w:val="both"/>
        <w:rPr>
          <w:rFonts w:eastAsia="Calibri"/>
          <w:b/>
          <w:i/>
          <w:lang w:val="en-US" w:eastAsia="en-US"/>
        </w:rPr>
      </w:pPr>
    </w:p>
    <w:p w:rsidR="00B010E1" w:rsidRPr="00287FFE" w:rsidRDefault="00B010E1" w:rsidP="00962FAD">
      <w:pPr>
        <w:jc w:val="both"/>
        <w:rPr>
          <w:rFonts w:eastAsia="Calibri"/>
          <w:b/>
          <w:i/>
        </w:rPr>
      </w:pPr>
      <w:r>
        <w:rPr>
          <w:b/>
          <w:i/>
        </w:rPr>
        <w:t>Dom af 20. december 2017, Asociación Profesional Elite Taxi, sag C</w:t>
      </w:r>
      <w:r>
        <w:rPr>
          <w:b/>
          <w:i/>
        </w:rPr>
        <w:noBreakHyphen/>
        <w:t>434/15, EU:C:2017:981, præmis 48</w:t>
      </w:r>
    </w:p>
    <w:p w:rsidR="00B010E1" w:rsidRPr="00287FFE" w:rsidRDefault="00B010E1" w:rsidP="00962FAD">
      <w:pPr>
        <w:jc w:val="both"/>
        <w:rPr>
          <w:lang w:val="en-US"/>
        </w:rPr>
      </w:pPr>
    </w:p>
    <w:p w:rsidR="00B010E1" w:rsidRPr="00287FFE" w:rsidRDefault="00160B40" w:rsidP="00962FAD">
      <w:pPr>
        <w:jc w:val="both"/>
      </w:pPr>
      <w:r>
        <w:t>- En formidlingstjeneste, der har til formål at – ved hjælp af en applikation til en smartphone – mod vederlag at sætte ikke-erhvervsdrivende chauffører, som anvender egne køretøjer, i forbindelse med personer, som ønsker at foretage en køretur i byområder, skal anses for at være uløseligt forbundet med en transportydelse, hvorfor den er omfattet af begrebet "tjenesteydelse på transportområdet" (og ikke en informationssamfundets tjeneste).</w:t>
      </w:r>
    </w:p>
    <w:p w:rsidR="00B010E1" w:rsidRPr="00287FFE" w:rsidRDefault="00B010E1" w:rsidP="00962FAD">
      <w:pPr>
        <w:jc w:val="both"/>
        <w:rPr>
          <w:lang w:val="en-US"/>
        </w:rPr>
      </w:pPr>
    </w:p>
    <w:p w:rsidR="00B010E1" w:rsidRPr="00287FFE" w:rsidRDefault="00B010E1" w:rsidP="00962FAD">
      <w:pPr>
        <w:jc w:val="both"/>
        <w:rPr>
          <w:rFonts w:eastAsia="Calibri"/>
          <w:b/>
          <w:i/>
        </w:rPr>
      </w:pPr>
      <w:r>
        <w:rPr>
          <w:b/>
          <w:i/>
        </w:rPr>
        <w:t>Dom af 20. december 2017, Falbert m.fl., sag C-255/16, EU:C:2017:983,</w:t>
      </w:r>
      <w:r>
        <w:rPr>
          <w:rStyle w:val="outputecliaff"/>
        </w:rPr>
        <w:t xml:space="preserve"> </w:t>
      </w:r>
      <w:r>
        <w:rPr>
          <w:b/>
          <w:i/>
        </w:rPr>
        <w:t>præmis 27 til 30</w:t>
      </w:r>
    </w:p>
    <w:p w:rsidR="00B010E1" w:rsidRPr="00287FFE" w:rsidRDefault="00B010E1" w:rsidP="00962FAD">
      <w:pPr>
        <w:jc w:val="both"/>
        <w:rPr>
          <w:lang w:val="en-US"/>
        </w:rPr>
      </w:pPr>
    </w:p>
    <w:p w:rsidR="00B010E1" w:rsidRPr="00287FFE" w:rsidRDefault="00160B40" w:rsidP="00962FAD">
      <w:pPr>
        <w:jc w:val="both"/>
      </w:pPr>
      <w:r>
        <w:t xml:space="preserve">- En national bestemmelse, der fastsætter straf i tilfælde af udbud af spil, lotterier eller væddemål på det nationale område uden bevilling, er ikke en teknisk forskrift i direktiv 2015/1535's forstand, som skal meddeles i medfør af direktivets artikel 8, stk. 1. </w:t>
      </w:r>
    </w:p>
    <w:p w:rsidR="00B010E1" w:rsidRPr="00287FFE" w:rsidRDefault="00160B40" w:rsidP="00962FAD">
      <w:pPr>
        <w:jc w:val="both"/>
      </w:pPr>
      <w:r>
        <w:t>- Derimod er en national bestemmelse, der fastsætter straf i tilfælde af reklamering for spil, lotterier eller væddemål, der ikke er omfattet af en bevilling, en teknisk forskrift i direktiv 2015/1535's forstand, som skal meddeles i medfør af direktivets artikel 8, stk. 1, når det klart fremgår af forarbejderne til denne nationale lovbestemmelse, at den havde til formål og følge at sikre, at et gældende reklameringsforbud blev udvidet til at omfatte online-spilletjenester, hvilket det tilkommer den nationale ret at afgøre.</w:t>
      </w:r>
    </w:p>
    <w:p w:rsidR="00B010E1" w:rsidRPr="00287FFE" w:rsidRDefault="00B010E1" w:rsidP="00962FAD">
      <w:pPr>
        <w:jc w:val="both"/>
        <w:rPr>
          <w:lang w:val="en-US"/>
        </w:rPr>
      </w:pPr>
    </w:p>
    <w:p w:rsidR="00B010E1" w:rsidRPr="00287FFE" w:rsidRDefault="00B010E1" w:rsidP="00962FAD">
      <w:pPr>
        <w:jc w:val="both"/>
        <w:rPr>
          <w:rFonts w:eastAsia="Calibri"/>
          <w:b/>
          <w:i/>
        </w:rPr>
      </w:pPr>
      <w:r>
        <w:rPr>
          <w:b/>
          <w:i/>
        </w:rPr>
        <w:t>Dom af 2. februar 2016, Ince, sag C-336/14, EU:C:2016:72, præmis 75 til 76, 79, 84</w:t>
      </w:r>
    </w:p>
    <w:p w:rsidR="00B010E1" w:rsidRPr="00287FFE" w:rsidRDefault="00B010E1" w:rsidP="00962FAD">
      <w:pPr>
        <w:jc w:val="both"/>
        <w:rPr>
          <w:lang w:val="en-US"/>
        </w:rPr>
      </w:pPr>
    </w:p>
    <w:p w:rsidR="00B010E1" w:rsidRPr="00287FFE" w:rsidRDefault="00B010E1" w:rsidP="00962FAD">
      <w:pPr>
        <w:jc w:val="both"/>
      </w:pPr>
      <w:r>
        <w:t xml:space="preserve">- Nationale bestemmelser, der forbyder udbud af hasardspil på internettet, undtagelserne til dette forbud, begrænsningerne på at udbyde sportsvæddemål ved hjælp af telekommunikationsmidler samt forbuddet mod at reklamere for hasardspil på internettet eller ved hjælp af telekommunikationsmidler, kan anses som "forskrifter vedrørende tjenester" som omhandlet i artikel 1, nr. 5), i direktiv 98/34, for så vidt som de vedrører "en tjeneste i informationssamfundet" som omhandlet i dette direktivs artikel 1, nr. 2). </w:t>
      </w:r>
    </w:p>
    <w:p w:rsidR="00B010E1" w:rsidRPr="00287FFE" w:rsidRDefault="00B010E1" w:rsidP="00962FAD">
      <w:pPr>
        <w:jc w:val="both"/>
      </w:pPr>
      <w:r>
        <w:t xml:space="preserve">- Nationale bestemmelser, der begrænser sig til at fastlægge betingelserne for oprettelse af virksomheder eller virksomheders levering af tjenesteydelser, såsom bestemmelser, der underlægger udøvelsen af en erhvervsmæssig virksomhed en forudgående godkendelse, eller hvorefter det ikke er muligt at udstede en sådan tilladelse til private aktører, udgør ikke tekniske forskrifter som omhandlet i direktiv 98/34. </w:t>
      </w:r>
    </w:p>
    <w:p w:rsidR="00B010E1" w:rsidRPr="00287FFE" w:rsidRDefault="00B010E1" w:rsidP="00962FAD">
      <w:pPr>
        <w:jc w:val="both"/>
      </w:pPr>
      <w:r>
        <w:t xml:space="preserve">- Udkastet til en regional lovgivning, hvorefter bestemmelserne i en fælles lovgivning for en medlemsstats forskellige regioner, hvis gyldighedsperiode er udløbet, fortsat skal være gældende i den pågældende region, er omfattet af underretningspligten i henhold til artikel 8, stk. 1, i direktiv 98/34, for så vidt som dette udkast indeholder tekniske forskrifter som omhandlet i dette direktivs artikel 1. </w:t>
      </w:r>
    </w:p>
    <w:p w:rsidR="00B010E1" w:rsidRPr="00287FFE" w:rsidRDefault="00B010E1" w:rsidP="00962FAD">
      <w:pPr>
        <w:jc w:val="both"/>
      </w:pPr>
      <w:r>
        <w:t xml:space="preserve">- En sådan forpligtelse anfægtes ikke af den omstændighed, at udkastet til den nævnte fælles lovgivning tidligere var blevet meddelt Kommissionen i overensstemmelse med artikel 8, stk. 1, i direktiv 98/34, og at reglerne fastsat i det regionale udkast er identiske med indholdet af reglerne </w:t>
      </w:r>
      <w:r>
        <w:lastRenderedPageBreak/>
        <w:t>i den nationale forskrift, da de adskiller sig herfra for så vidt angår deres tidsmæssige og stedlige anvendelsesområde.</w:t>
      </w:r>
    </w:p>
    <w:p w:rsidR="00B010E1" w:rsidRPr="00287FFE" w:rsidRDefault="00B010E1" w:rsidP="00962FAD">
      <w:pPr>
        <w:jc w:val="both"/>
      </w:pPr>
      <w:r>
        <w:t>- Forpligtelsen til at fremsende "en ny meddelelse", som artikel 8, stk. 1, tredje afsnit, i direktiv 98/34 pålægger medlemsstaterne, hvis der foretages væsentlige ændringer i den, vedrører kun den situation, hvor der under den nationale lovgivningsproces foretages væsentlige ændringer til et udkast til en teknisk forskrift, efter at der er blevet givet meddelelse til Kommissionen om dette udkast.</w:t>
      </w:r>
    </w:p>
    <w:p w:rsidR="00B010E1" w:rsidRPr="00287FFE" w:rsidRDefault="00B010E1" w:rsidP="00962FAD">
      <w:pPr>
        <w:jc w:val="both"/>
      </w:pPr>
      <w:r>
        <w:t>- Bestemmelser, der indfører et krav om at opnå en tilladelse til foranstaltning af eller indsamling af indsatser i sportsvæddemål, eller hvorefter det ikke er muligt at udstede en sådan tilladelse til private aktører, udgør ikke "tekniske forskrifter" som omhandlet i dette direktivs artikel 1, nr. 11). Nationale bestemmelser, der begrænser sig til at fastlægge betingelserne for oprettelse af virksomheder eller virksomheders levering af tjenesteydelser, såsom bestemmelser, der underlægger udøvelsen af en erhvervsmæssig virksomhed en forudgående godkendelse, udgør ikke tekniske forskrifter som omhandlet i denne bestemmelse.</w:t>
      </w:r>
    </w:p>
    <w:p w:rsidR="00B010E1" w:rsidRDefault="00B010E1" w:rsidP="00962FAD">
      <w:pPr>
        <w:pStyle w:val="NormalWeb"/>
        <w:spacing w:before="0" w:beforeAutospacing="0" w:after="0" w:afterAutospacing="0"/>
        <w:jc w:val="both"/>
        <w:rPr>
          <w:lang w:val="en-US"/>
        </w:rPr>
      </w:pPr>
    </w:p>
    <w:p w:rsidR="00B010E1" w:rsidRPr="00160B40" w:rsidRDefault="00160B40" w:rsidP="00962FAD">
      <w:pPr>
        <w:jc w:val="both"/>
        <w:rPr>
          <w:rFonts w:eastAsia="Calibri"/>
          <w:b/>
          <w:u w:val="single"/>
        </w:rPr>
      </w:pPr>
      <w:bookmarkStart w:id="3" w:name="c_heading"/>
      <w:r>
        <w:rPr>
          <w:b/>
          <w:u w:val="single"/>
        </w:rPr>
        <w:t>c. Skattemæssige foranstaltninger</w:t>
      </w:r>
    </w:p>
    <w:bookmarkEnd w:id="3"/>
    <w:p w:rsidR="00B010E1" w:rsidRPr="00287FFE" w:rsidRDefault="00B010E1" w:rsidP="00962FAD">
      <w:pPr>
        <w:jc w:val="both"/>
        <w:rPr>
          <w:rFonts w:eastAsia="Calibri"/>
          <w:b/>
          <w:i/>
          <w:lang w:eastAsia="en-US"/>
        </w:rPr>
      </w:pPr>
    </w:p>
    <w:p w:rsidR="00B010E1" w:rsidRPr="00287FFE" w:rsidRDefault="00B010E1" w:rsidP="00962FAD">
      <w:pPr>
        <w:jc w:val="both"/>
        <w:rPr>
          <w:rFonts w:eastAsia="Calibri"/>
          <w:b/>
          <w:i/>
        </w:rPr>
      </w:pPr>
      <w:r>
        <w:rPr>
          <w:b/>
          <w:i/>
        </w:rPr>
        <w:t>Dom af 20. marts 1997, Bic Benelux, sag C-13/96, EU:C:1997:173, præmis 20 til 26</w:t>
      </w:r>
    </w:p>
    <w:p w:rsidR="00B010E1" w:rsidRPr="00287FFE" w:rsidRDefault="00B010E1" w:rsidP="00962FAD">
      <w:pPr>
        <w:autoSpaceDE w:val="0"/>
        <w:autoSpaceDN w:val="0"/>
        <w:adjustRightInd w:val="0"/>
        <w:jc w:val="both"/>
      </w:pPr>
    </w:p>
    <w:p w:rsidR="00B010E1" w:rsidRPr="00287FFE" w:rsidRDefault="00B010E1" w:rsidP="00962FAD">
      <w:pPr>
        <w:autoSpaceDE w:val="0"/>
        <w:autoSpaceDN w:val="0"/>
        <w:adjustRightInd w:val="0"/>
        <w:jc w:val="both"/>
      </w:pPr>
      <w:r>
        <w:t xml:space="preserve">- En forpligtelse til at anbringe bestemte kendemærker på varer, der er pålagt en afgift på grund af de miljømæssigt skadelige virkninger, disse varer antages at medføre, udgør en teknisk specifikation i direktiv 83/189's forstand, og den nationale forskrift, der indfører forpligtelsen, er en teknisk forskrift i direktivets forstand. </w:t>
      </w:r>
    </w:p>
    <w:p w:rsidR="00B010E1" w:rsidRPr="00287FFE" w:rsidRDefault="00160B40" w:rsidP="00962FAD">
      <w:pPr>
        <w:autoSpaceDE w:val="0"/>
        <w:autoSpaceDN w:val="0"/>
        <w:adjustRightInd w:val="0"/>
        <w:jc w:val="both"/>
      </w:pPr>
      <w:r>
        <w:t>- Den omstændighed, at der er blevet vedtaget en national foranstaltning til beskyttelse af miljøet, eller den omstændighed, at den ikke gennemfører en teknisk standard, der i sig selv kan udgøre en hindring for den frie bevægelighed, udelukker ikke, at den pågældende foranstaltning kan udgøre en teknisk forskrift i direktiv 83/189's forstand.</w:t>
      </w:r>
    </w:p>
    <w:p w:rsidR="00B010E1" w:rsidRPr="00287FFE" w:rsidRDefault="00160B40" w:rsidP="00962FAD">
      <w:pPr>
        <w:autoSpaceDE w:val="0"/>
        <w:autoSpaceDN w:val="0"/>
        <w:adjustRightInd w:val="0"/>
        <w:jc w:val="both"/>
      </w:pPr>
      <w:r>
        <w:t>- Det skal derfor fastslås, at mærkningspligten, der under ingen omstændigheder kan anses for en ren skatte- og afgiftsmæssig ledsageforanstaltning, ikke udgør et krav, til hvilket der er knyttet en skattemæssig foranstaltning i den forstand, hvori udtrykket er anvendt i artikel 1, nr. 9, andet afsnit, tredje led, i direktiv 83/189, som ændret ved direktiv 94/10.</w:t>
      </w:r>
    </w:p>
    <w:p w:rsidR="00600D1E" w:rsidRDefault="00600D1E" w:rsidP="00962FAD">
      <w:pPr>
        <w:jc w:val="both"/>
        <w:rPr>
          <w:rFonts w:eastAsia="Calibri"/>
          <w:b/>
          <w:lang w:eastAsia="en-US"/>
        </w:rPr>
      </w:pPr>
    </w:p>
    <w:p w:rsidR="00600D1E" w:rsidRPr="00160B40" w:rsidRDefault="00160B40" w:rsidP="00962FAD">
      <w:pPr>
        <w:jc w:val="both"/>
        <w:rPr>
          <w:rFonts w:eastAsia="Calibri"/>
          <w:b/>
          <w:u w:val="single"/>
        </w:rPr>
      </w:pPr>
      <w:bookmarkStart w:id="4" w:name="d_heading"/>
      <w:r>
        <w:rPr>
          <w:b/>
          <w:u w:val="single"/>
        </w:rPr>
        <w:t>d. Forpligtelse til indsendelse af ny meddelelse</w:t>
      </w:r>
    </w:p>
    <w:bookmarkEnd w:id="4"/>
    <w:p w:rsidR="00295CA4" w:rsidRPr="00287FFE" w:rsidRDefault="00295CA4" w:rsidP="00962FAD">
      <w:pPr>
        <w:jc w:val="both"/>
        <w:rPr>
          <w:rFonts w:eastAsia="Calibri"/>
          <w:b/>
          <w:lang w:eastAsia="en-US"/>
        </w:rPr>
      </w:pPr>
    </w:p>
    <w:p w:rsidR="00B15802" w:rsidRPr="00287FFE" w:rsidRDefault="00B15802" w:rsidP="00962FAD">
      <w:pPr>
        <w:jc w:val="both"/>
        <w:rPr>
          <w:rFonts w:eastAsia="Calibri"/>
          <w:b/>
          <w:i/>
        </w:rPr>
      </w:pPr>
      <w:r>
        <w:rPr>
          <w:b/>
          <w:i/>
        </w:rPr>
        <w:t>Dom af 10. juli 2014, Ivansson m.fl., sag C</w:t>
      </w:r>
      <w:r>
        <w:rPr>
          <w:rFonts w:ascii="MS Gothic" w:hAnsi="MS Gothic"/>
          <w:b/>
          <w:i/>
        </w:rPr>
        <w:t>-</w:t>
      </w:r>
      <w:r>
        <w:rPr>
          <w:b/>
          <w:i/>
        </w:rPr>
        <w:t>307/13, EU:C:2014:2058, præmis 30-31, 46 til 50</w:t>
      </w:r>
    </w:p>
    <w:p w:rsidR="00B15802" w:rsidRPr="00287FFE" w:rsidRDefault="00B15802" w:rsidP="00962FAD">
      <w:pPr>
        <w:jc w:val="both"/>
        <w:rPr>
          <w:rFonts w:eastAsia="Calibri"/>
          <w:lang w:eastAsia="en-US"/>
        </w:rPr>
      </w:pPr>
    </w:p>
    <w:p w:rsidR="00B15802" w:rsidRPr="00287FFE" w:rsidRDefault="00356040" w:rsidP="00962FAD">
      <w:pPr>
        <w:jc w:val="both"/>
      </w:pPr>
      <w:r>
        <w:t xml:space="preserve">- Den ikrafttrædelsesdato, som i sidste ende bliver fastsat af de nationale myndigheder for en national bestemmelse, er omfattet af forpligtelsen til at give Kommissionen meddelelse, som fastsat i artikel 8, stk. 1, tredje afsnit, i direktiv 98/34, når en ændring af anvendelsesfristen for den pågældende nationale bestemmelse faktisk har fundet sted, og denne ændring er væsentlig, hvilket det påhviler den foreliggende ret at undersøge. </w:t>
      </w:r>
    </w:p>
    <w:p w:rsidR="00B15802" w:rsidRPr="00287FFE" w:rsidRDefault="00287FFE" w:rsidP="00962FAD">
      <w:pPr>
        <w:jc w:val="both"/>
        <w:rPr>
          <w:rFonts w:eastAsia="Calibri"/>
        </w:rPr>
      </w:pPr>
      <w:r>
        <w:t>- En "væsentlig" afkortning af anvendelsesfristen, som oprindeligt blev valgt af de nationale myndigheder for den tekniske forskrifts ikrafttræden og gennemførelse, er omfattet af forpligtelsen til at give Kommissionen meddelelse, som fastsat i artikel 8, stk. 1, tredje afsnit, i direktiv 98/34. Undladelse af at fremsende en sådan meddelelse vil medføre, at den pågældende nationale bestemmelse ikke kan finde anvendelse, således at den ikke kan gøres gældende over for borgerne.</w:t>
      </w:r>
    </w:p>
    <w:p w:rsidR="00B15802" w:rsidRPr="00287FFE" w:rsidRDefault="00B15802" w:rsidP="00962FAD">
      <w:pPr>
        <w:jc w:val="both"/>
        <w:rPr>
          <w:rFonts w:eastAsia="Calibri"/>
          <w:lang w:eastAsia="en-US"/>
        </w:rPr>
      </w:pPr>
    </w:p>
    <w:p w:rsidR="00295CA4" w:rsidRPr="00287FFE" w:rsidRDefault="00295CA4" w:rsidP="00962FAD">
      <w:pPr>
        <w:jc w:val="both"/>
        <w:rPr>
          <w:rFonts w:eastAsia="Calibri"/>
          <w:b/>
          <w:i/>
        </w:rPr>
      </w:pPr>
      <w:r>
        <w:rPr>
          <w:b/>
          <w:i/>
        </w:rPr>
        <w:t>Dom af 31. januar 2013, Belgische Petroleum Unie m.fl., sag C-26/11, EU:C:2013:44, præmis 50</w:t>
      </w:r>
    </w:p>
    <w:p w:rsidR="00295CA4" w:rsidRPr="00287FFE" w:rsidRDefault="00295CA4" w:rsidP="00962FAD">
      <w:pPr>
        <w:jc w:val="both"/>
        <w:rPr>
          <w:rFonts w:eastAsia="Calibri"/>
          <w:lang w:eastAsia="en-US"/>
        </w:rPr>
      </w:pPr>
    </w:p>
    <w:p w:rsidR="00295CA4" w:rsidRPr="00B010E1" w:rsidRDefault="00160B40" w:rsidP="00962FAD">
      <w:pPr>
        <w:jc w:val="both"/>
        <w:rPr>
          <w:rFonts w:eastAsia="Calibri"/>
        </w:rPr>
      </w:pPr>
      <w:r>
        <w:t>- Artikel 8 i direktiv 98/34, sammenholdt med direktivets artikel 10, stk. 1, skal fortolkes således, at den ikke indebærer en pligt til at give meddelelse om et forslag til en national lovgivning, når dette forslag efter i henhold til nævnte artikel 8, stk. 1, første afsnit, at være blevet meddelt er blevet ændret med henblik på at tage hensyn til Kommissionens bemærkninger til dette forslag, og når det således ændrede forslag dernæst er blevet meddelt Kommissionen.</w:t>
      </w:r>
    </w:p>
    <w:p w:rsidR="00600D1E" w:rsidRPr="00287FFE" w:rsidRDefault="00600D1E" w:rsidP="00962FAD">
      <w:pPr>
        <w:jc w:val="both"/>
        <w:rPr>
          <w:rFonts w:eastAsia="Calibri"/>
          <w:b/>
          <w:lang w:val="en-US" w:eastAsia="en-US"/>
        </w:rPr>
      </w:pPr>
    </w:p>
    <w:p w:rsidR="00295CA4" w:rsidRPr="00287FFE" w:rsidRDefault="00295CA4" w:rsidP="00962FAD">
      <w:pPr>
        <w:jc w:val="both"/>
        <w:rPr>
          <w:rFonts w:eastAsia="Calibri"/>
          <w:b/>
          <w:i/>
        </w:rPr>
      </w:pPr>
      <w:r>
        <w:rPr>
          <w:b/>
          <w:i/>
        </w:rPr>
        <w:t>Dom af 15. april 2010, Sandström, sag C-433/05, EU:C:2010:184, præmis 47</w:t>
      </w:r>
    </w:p>
    <w:p w:rsidR="00295CA4" w:rsidRPr="00287FFE" w:rsidRDefault="00295CA4" w:rsidP="00962FAD">
      <w:pPr>
        <w:jc w:val="both"/>
        <w:rPr>
          <w:rFonts w:eastAsia="Calibri"/>
          <w:b/>
          <w:i/>
        </w:rPr>
      </w:pPr>
      <w:r>
        <w:rPr>
          <w:b/>
          <w:i/>
        </w:rPr>
        <w:t xml:space="preserve"> </w:t>
      </w:r>
    </w:p>
    <w:p w:rsidR="00EC0275" w:rsidRPr="00B010E1" w:rsidRDefault="00160B40" w:rsidP="00962FAD">
      <w:pPr>
        <w:jc w:val="both"/>
      </w:pPr>
      <w:r>
        <w:t>- Ændringer til et udkast til en teknisk forskrift, der allerede er meddelt Kommissionen i henhold til artikel 8, stk. 1, første afsnit, i direktiv 98/34 – som i forhold til det meddelte udkast kun indeholder lempede betingelser for at anvende den pågældende vare, og som dermed reducerer den tekniske forskrifts eventuelle påvirkning af samhandlen – udgør ikke en væsentlig ændring af udkastet i den forstand, hvori udtrykket er anvendt i direktivets artikel 8, stk. 1, tredje afsnit. Sådanne ændringer er dermed ikke underlagt pligten til forudgående meddelelse. </w:t>
      </w:r>
    </w:p>
    <w:p w:rsidR="00CE6151" w:rsidRPr="00287FFE" w:rsidRDefault="00CE6151" w:rsidP="00962FAD">
      <w:pPr>
        <w:jc w:val="both"/>
        <w:rPr>
          <w:highlight w:val="yellow"/>
        </w:rPr>
      </w:pPr>
    </w:p>
    <w:p w:rsidR="006255E9" w:rsidRDefault="006255E9" w:rsidP="00962FAD">
      <w:pPr>
        <w:pStyle w:val="Style1"/>
      </w:pPr>
      <w:r>
        <w:br w:type="page"/>
      </w:r>
    </w:p>
    <w:p w:rsidR="00EB4A26" w:rsidRPr="006E49C8" w:rsidRDefault="00E96E31" w:rsidP="00962FAD">
      <w:pPr>
        <w:pStyle w:val="Style1"/>
      </w:pPr>
      <w:r>
        <w:lastRenderedPageBreak/>
        <w:t xml:space="preserve">II. </w:t>
      </w:r>
      <w:bookmarkStart w:id="5" w:name="Second_heading"/>
      <w:r>
        <w:t>Sager vedrørende manglende meddelelse eller vedtagelse inden udløbet af status quo-perioden</w:t>
      </w:r>
      <w:bookmarkEnd w:id="5"/>
      <w:r>
        <w:t xml:space="preserve"> (uanvendelighed)</w:t>
      </w:r>
    </w:p>
    <w:p w:rsidR="00EB4A26" w:rsidRPr="00287FFE" w:rsidRDefault="00EB4A26" w:rsidP="00962FAD">
      <w:pPr>
        <w:jc w:val="center"/>
        <w:rPr>
          <w:rFonts w:eastAsia="Calibri"/>
          <w:b/>
          <w:u w:val="single"/>
          <w:lang w:eastAsia="en-US"/>
        </w:rPr>
      </w:pPr>
    </w:p>
    <w:p w:rsidR="00143415" w:rsidRPr="00287FFE" w:rsidRDefault="00143415" w:rsidP="00962FAD">
      <w:pPr>
        <w:pStyle w:val="NormalWeb"/>
        <w:spacing w:before="0" w:beforeAutospacing="0" w:after="0" w:afterAutospacing="0"/>
        <w:jc w:val="both"/>
        <w:rPr>
          <w:rFonts w:eastAsia="Calibri"/>
          <w:b/>
          <w:i/>
        </w:rPr>
      </w:pPr>
      <w:r>
        <w:rPr>
          <w:b/>
          <w:i/>
        </w:rPr>
        <w:t>Dom af 30. april 1996, CIA Security International SA, sag C-194/94, EU:C:1996:172, præmis 54 og 55</w:t>
      </w:r>
    </w:p>
    <w:p w:rsidR="00143415" w:rsidRPr="00287FFE" w:rsidRDefault="00143415" w:rsidP="00962FAD">
      <w:pPr>
        <w:autoSpaceDE w:val="0"/>
        <w:autoSpaceDN w:val="0"/>
        <w:adjustRightInd w:val="0"/>
        <w:jc w:val="both"/>
        <w:rPr>
          <w:lang w:val="en-US"/>
        </w:rPr>
      </w:pPr>
    </w:p>
    <w:p w:rsidR="00143415" w:rsidRPr="00287FFE" w:rsidRDefault="00160B40" w:rsidP="00962FAD">
      <w:pPr>
        <w:autoSpaceDE w:val="0"/>
        <w:autoSpaceDN w:val="0"/>
        <w:adjustRightInd w:val="0"/>
        <w:jc w:val="both"/>
      </w:pPr>
      <w:r>
        <w:t>- Direktiv 83/189 skal fortolkes således, at en tilsidesættelse af meddelelsespligten medfører, at de pågældende tekniske forskrifter ikke kan bringes i anvendelse, således at de følgelig ikke kan gøres gældende over for borgerne. Borgerne kan påberåbe sig bestemmelserne i artikel 8 og 9 i direktiv 83/189 for en national ret, som det påhviler at afslå at anvende en national teknisk forskrift, der ikke er blevet meddelt i overensstemmelse med direktivet.</w:t>
      </w:r>
    </w:p>
    <w:p w:rsidR="00143415" w:rsidRPr="00287FFE" w:rsidRDefault="00143415" w:rsidP="00962FAD">
      <w:pPr>
        <w:jc w:val="both"/>
        <w:rPr>
          <w:rFonts w:eastAsia="Calibri"/>
          <w:b/>
          <w:i/>
          <w:lang w:val="en-US" w:eastAsia="en-US"/>
        </w:rPr>
      </w:pPr>
    </w:p>
    <w:p w:rsidR="00E96E31" w:rsidRPr="00287FFE" w:rsidRDefault="00E96E31" w:rsidP="00962FAD">
      <w:pPr>
        <w:pStyle w:val="NormalWeb"/>
        <w:spacing w:before="0" w:beforeAutospacing="0" w:after="0" w:afterAutospacing="0"/>
        <w:jc w:val="both"/>
        <w:rPr>
          <w:rFonts w:eastAsia="Calibri"/>
          <w:b/>
          <w:i/>
        </w:rPr>
      </w:pPr>
      <w:r>
        <w:rPr>
          <w:b/>
          <w:i/>
        </w:rPr>
        <w:t>Dom af 16. september 1997, Kommissionen mod Italien, sag C</w:t>
      </w:r>
      <w:r>
        <w:rPr>
          <w:b/>
          <w:i/>
        </w:rPr>
        <w:noBreakHyphen/>
        <w:t>279/94, EU:C:1997:396, præmis 40 og 41</w:t>
      </w:r>
    </w:p>
    <w:p w:rsidR="00E91B63" w:rsidRPr="00287FFE" w:rsidRDefault="00E91B63" w:rsidP="00962FAD">
      <w:pPr>
        <w:pStyle w:val="NormalWeb"/>
        <w:spacing w:before="0" w:beforeAutospacing="0" w:after="0" w:afterAutospacing="0"/>
        <w:jc w:val="both"/>
        <w:rPr>
          <w:rFonts w:eastAsia="Calibri"/>
          <w:b/>
          <w:i/>
          <w:lang w:eastAsia="en-US"/>
        </w:rPr>
      </w:pPr>
    </w:p>
    <w:p w:rsidR="00E96E31" w:rsidRPr="00287FFE" w:rsidRDefault="00160B40" w:rsidP="00962FAD">
      <w:pPr>
        <w:jc w:val="both"/>
      </w:pPr>
      <w:r>
        <w:t>- Selvom artikel 8, stk. 1, i direktiv 83/189 kræver, at hele udkastet til en lov, der indeholder tekniske forskrifter, meddeles Kommissionen, gælder den manglende anvendelighed, der følger af overtrædelsen af denne forpligtelse, ikke alle bestemmelserne i en sådan lov, men kun de tekniske forskrifter, der er indeholdt deri.</w:t>
      </w:r>
    </w:p>
    <w:p w:rsidR="00143415" w:rsidRPr="00287FFE" w:rsidRDefault="00143415" w:rsidP="00962FAD">
      <w:pPr>
        <w:jc w:val="both"/>
        <w:rPr>
          <w:rFonts w:eastAsia="Calibri"/>
          <w:b/>
          <w:i/>
          <w:lang w:val="en-US" w:eastAsia="en-US"/>
        </w:rPr>
      </w:pPr>
    </w:p>
    <w:p w:rsidR="00E91B63" w:rsidRPr="00287FFE" w:rsidRDefault="00E91B63" w:rsidP="00962FAD">
      <w:pPr>
        <w:pStyle w:val="NormalWeb"/>
        <w:spacing w:before="0" w:beforeAutospacing="0" w:after="0" w:afterAutospacing="0"/>
        <w:rPr>
          <w:rFonts w:eastAsia="Calibri"/>
          <w:b/>
          <w:i/>
        </w:rPr>
      </w:pPr>
      <w:r>
        <w:rPr>
          <w:b/>
          <w:i/>
        </w:rPr>
        <w:t>Dom af 16. juni 1998, Lemmens, sag C-226/97, EU:C:1998:296, præmis 34 til 37</w:t>
      </w:r>
    </w:p>
    <w:p w:rsidR="00E91B63" w:rsidRPr="00287FFE" w:rsidRDefault="00E91B63" w:rsidP="00962FAD">
      <w:pPr>
        <w:jc w:val="both"/>
        <w:rPr>
          <w:lang w:val="en-US"/>
        </w:rPr>
      </w:pPr>
    </w:p>
    <w:p w:rsidR="00E91B63" w:rsidRPr="00287FFE" w:rsidRDefault="00160B40" w:rsidP="00962FAD">
      <w:pPr>
        <w:jc w:val="both"/>
      </w:pPr>
      <w:r>
        <w:t xml:space="preserve">- Rådets direktiv 83/189 skal fortolkes således, at manglende overholdelse af pligten i henhold til direktivets artikel 8 til at give meddelelse om tekniske forskrifter vedrørende alcometre ikke medfører, at det bevis, som er tilvejebragt ved hjælp af et alcometer, der er godkendt i overensstemmelse med de ikke meddelte forskrifter, ikke kan gøres gældende over for en borger, der er sigtet for kørsel i spirituspåvirket tilstand. De offentlige myndigheders anvendelse af produktet udgør imidlertid ikke nogen hindring for samhandelen, som kunne have være undgået, hvis meddelelsesproceduren havde været fulgt. </w:t>
      </w:r>
    </w:p>
    <w:p w:rsidR="00E91B63" w:rsidRPr="00287FFE" w:rsidRDefault="00E91B63" w:rsidP="00962FAD">
      <w:pPr>
        <w:rPr>
          <w:rFonts w:eastAsia="Calibri"/>
          <w:b/>
          <w:i/>
          <w:lang w:val="en-US" w:eastAsia="en-US"/>
        </w:rPr>
      </w:pPr>
    </w:p>
    <w:p w:rsidR="00E96E31" w:rsidRPr="00287FFE" w:rsidRDefault="00E96E31" w:rsidP="00962FAD">
      <w:r>
        <w:rPr>
          <w:b/>
          <w:i/>
        </w:rPr>
        <w:t xml:space="preserve">Dom af 26. september 2000, Unilever, sag C-443/98, EU:C:2000:496, præmis 44, 49 til 51 </w:t>
      </w:r>
    </w:p>
    <w:p w:rsidR="00E96E31" w:rsidRPr="00287FFE" w:rsidRDefault="00E96E31" w:rsidP="00962FAD">
      <w:pPr>
        <w:jc w:val="both"/>
        <w:rPr>
          <w:highlight w:val="yellow"/>
        </w:rPr>
      </w:pPr>
    </w:p>
    <w:p w:rsidR="00E96E31" w:rsidRPr="00287FFE" w:rsidRDefault="00160B40" w:rsidP="00962FAD">
      <w:pPr>
        <w:jc w:val="both"/>
      </w:pPr>
      <w:r>
        <w:t xml:space="preserve">- Tilsidesættelsen af de i artikel 9 i direktiv 98/34 fastsatte forpligtelser til at udsætte vedtagelsen må anses for en væsentlig proceduremangel, der kan medføre, at tekniske forskrifter ikke kan bringes i anvendelse. Ved borgerlige sager mellem private parter, der vedrører kontraktlige rettigheder og forpligtelser, kan en anvendelse af tekniske forskrifter, der er vedtaget under tilsidesættelse af artikel 9 i direktivet, skabe hindringer med hensyn til anvendelsen eller markedsføringen af et produkt, der ikke er i overensstemmelse med de pågældende forskrifter. </w:t>
      </w:r>
    </w:p>
    <w:p w:rsidR="00E96E31" w:rsidRPr="00287FFE" w:rsidRDefault="00E96E31" w:rsidP="00962FAD">
      <w:pPr>
        <w:pStyle w:val="NormalWeb"/>
        <w:spacing w:before="0" w:beforeAutospacing="0" w:after="0" w:afterAutospacing="0"/>
        <w:rPr>
          <w:rFonts w:eastAsia="Calibri"/>
          <w:b/>
          <w:i/>
          <w:lang w:eastAsia="en-US"/>
        </w:rPr>
      </w:pPr>
    </w:p>
    <w:p w:rsidR="00E96E31" w:rsidRPr="00287FFE" w:rsidRDefault="00E96E31" w:rsidP="00962FAD">
      <w:pPr>
        <w:pStyle w:val="NormalWeb"/>
        <w:spacing w:before="0" w:beforeAutospacing="0" w:after="0" w:afterAutospacing="0"/>
        <w:jc w:val="both"/>
        <w:rPr>
          <w:rFonts w:eastAsia="Calibri"/>
          <w:b/>
          <w:i/>
        </w:rPr>
      </w:pPr>
      <w:r>
        <w:rPr>
          <w:b/>
          <w:i/>
        </w:rPr>
        <w:t>Dom af 6. juni 2002, Sapod Audic, sag C-159/00, EU:C:2002:343, præmis 50, 53</w:t>
      </w:r>
    </w:p>
    <w:p w:rsidR="00E96E31" w:rsidRPr="00287FFE" w:rsidRDefault="00E96E31" w:rsidP="00962FAD">
      <w:pPr>
        <w:jc w:val="both"/>
      </w:pPr>
    </w:p>
    <w:p w:rsidR="00E96E31" w:rsidRPr="00287FFE" w:rsidRDefault="00160B40" w:rsidP="00962FAD">
      <w:pPr>
        <w:jc w:val="both"/>
      </w:pPr>
      <w:r>
        <w:t>- Uanvendeligheden af en teknisk forskrift, som ikke er blevet meddelt til Kommissionen i overensstemmelse med artikel 8 i direktiv 98/34, kan påberåbes i en sag mellem borgere vedrørende bl.a. kontraktmæssige forpligtelser.</w:t>
      </w:r>
      <w:r w:rsidR="00962FAD">
        <w:t xml:space="preserve"> </w:t>
      </w:r>
      <w:r>
        <w:t xml:space="preserve">Det tilkommer i så fald den nationale ret at afslå at anvende denne bestemmelse, idet det præciseres, at spørgsmålet om, hvilke slutninger der skal drages af den omstændighed, at den nævnte nationale bestemmelse ikke finder anvendelse, med hensyn til omfanget af den sanktion, der er fastsat i gældende national ret, såsom ugyldighed eller uanvendelighed af en kontrakt, er reguleret ved national ret. Denne konklusion er imidlertid undergivet den betingelse, at de gældende nationale bestemmelser ikke må være mindre gunstige </w:t>
      </w:r>
      <w:r>
        <w:lastRenderedPageBreak/>
        <w:t>end dem, der gælder for tilsvarende krav på grundlag af national ret, og ikke må være udformet således, at de i praksis umuliggør udøvelsen af rettigheder, som hjemles i Unionens retsorden.</w:t>
      </w:r>
    </w:p>
    <w:p w:rsidR="00E96E31" w:rsidRPr="00287FFE" w:rsidRDefault="00E96E31" w:rsidP="00962FAD">
      <w:pPr>
        <w:jc w:val="both"/>
      </w:pPr>
    </w:p>
    <w:p w:rsidR="00143415" w:rsidRPr="00287FFE" w:rsidRDefault="00143415" w:rsidP="00962FAD">
      <w:pPr>
        <w:jc w:val="both"/>
        <w:rPr>
          <w:rFonts w:eastAsia="Calibri"/>
          <w:b/>
          <w:i/>
        </w:rPr>
      </w:pPr>
      <w:r>
        <w:rPr>
          <w:b/>
          <w:i/>
        </w:rPr>
        <w:t>Dom af 31. januar 2013, Belgische Petroleum Unie m.fl., sag C-26/11, EU:C:2013:44, præmis 50</w:t>
      </w:r>
    </w:p>
    <w:p w:rsidR="00143415" w:rsidRPr="00287FFE" w:rsidRDefault="00143415" w:rsidP="00962FAD">
      <w:pPr>
        <w:jc w:val="both"/>
        <w:rPr>
          <w:lang w:val="en-US"/>
        </w:rPr>
      </w:pPr>
    </w:p>
    <w:p w:rsidR="00143415" w:rsidRPr="00160B40" w:rsidRDefault="00160B40" w:rsidP="00962FAD">
      <w:pPr>
        <w:jc w:val="both"/>
      </w:pPr>
      <w:r>
        <w:t>- Tilsidesættelse af meddelelsespligten må anses for en væsentlig proceduremangel, der kan medføre, at de pågældende tekniske forskrifter ikke kan bringes i anvendelse, således at de følgelig ikke kan gøres gældende over for borgerne.</w:t>
      </w:r>
    </w:p>
    <w:p w:rsidR="00143415" w:rsidRPr="00287FFE" w:rsidRDefault="00143415" w:rsidP="00962FAD">
      <w:pPr>
        <w:jc w:val="both"/>
        <w:rPr>
          <w:rFonts w:eastAsia="Calibri"/>
          <w:b/>
          <w:i/>
          <w:lang w:val="en-US" w:eastAsia="en-US"/>
        </w:rPr>
      </w:pPr>
    </w:p>
    <w:p w:rsidR="00B15802" w:rsidRPr="00287FFE" w:rsidRDefault="00B15802" w:rsidP="00962FAD">
      <w:pPr>
        <w:jc w:val="both"/>
        <w:rPr>
          <w:rFonts w:eastAsia="Calibri"/>
          <w:b/>
          <w:i/>
        </w:rPr>
      </w:pPr>
      <w:r>
        <w:rPr>
          <w:b/>
          <w:i/>
        </w:rPr>
        <w:t>Dom af 10. juli 2014, Ivansson m.fl., sag C</w:t>
      </w:r>
      <w:r>
        <w:rPr>
          <w:rFonts w:ascii="MS Gothic" w:hAnsi="MS Gothic"/>
          <w:b/>
          <w:i/>
        </w:rPr>
        <w:t>-</w:t>
      </w:r>
      <w:r>
        <w:rPr>
          <w:b/>
          <w:i/>
        </w:rPr>
        <w:t>307/13, EU:C:2014:2058, præmis 47 til 50</w:t>
      </w:r>
    </w:p>
    <w:p w:rsidR="00B15802" w:rsidRPr="00287FFE" w:rsidRDefault="00B15802" w:rsidP="00962FAD">
      <w:pPr>
        <w:jc w:val="both"/>
        <w:rPr>
          <w:rFonts w:eastAsia="Calibri"/>
          <w:lang w:eastAsia="en-US"/>
        </w:rPr>
      </w:pPr>
    </w:p>
    <w:p w:rsidR="00B15802" w:rsidRPr="00287FFE" w:rsidRDefault="00160B40" w:rsidP="00962FAD">
      <w:pPr>
        <w:jc w:val="both"/>
        <w:rPr>
          <w:rFonts w:eastAsia="Calibri"/>
        </w:rPr>
      </w:pPr>
      <w:r>
        <w:t>- En "væsentlig" afkortning af anvendelsesfristen, som oprindeligt blev valgt af de nationale myndigheder for den tekniske forskrifts ikrafttræden og gennemførelse, er omfattet af forpligtelsen til at give Kommissionen meddelelse, som fastsat i artikel 8, stk. 1, tredje afsnit, i direktiv 98/34. Undladelse af at fremsende en sådan meddelelse vil medføre, at den pågældende nationale bestemmelse ikke kan finde anvendelse, således at den ikke kan gøres gældende over for borgerne.</w:t>
      </w:r>
    </w:p>
    <w:p w:rsidR="00B15802" w:rsidRPr="00287FFE" w:rsidRDefault="00B15802" w:rsidP="00962FAD">
      <w:pPr>
        <w:jc w:val="both"/>
        <w:rPr>
          <w:rFonts w:eastAsia="Calibri"/>
          <w:lang w:eastAsia="en-US"/>
        </w:rPr>
      </w:pPr>
    </w:p>
    <w:p w:rsidR="00143415" w:rsidRPr="00287FFE" w:rsidRDefault="00143415" w:rsidP="00962FAD">
      <w:pPr>
        <w:jc w:val="both"/>
        <w:rPr>
          <w:rFonts w:eastAsia="Calibri"/>
          <w:b/>
          <w:i/>
        </w:rPr>
      </w:pPr>
      <w:r>
        <w:rPr>
          <w:b/>
          <w:i/>
        </w:rPr>
        <w:t>Dom af 11. juni 2015, Berlington Hungary m.fl., sag C-98/14, EU:C:2015:386, præmis 107 til 110</w:t>
      </w:r>
    </w:p>
    <w:p w:rsidR="00143415" w:rsidRPr="00287FFE" w:rsidRDefault="00143415" w:rsidP="00962FAD">
      <w:pPr>
        <w:jc w:val="both"/>
        <w:rPr>
          <w:lang w:val="en-US"/>
        </w:rPr>
      </w:pPr>
    </w:p>
    <w:p w:rsidR="00143415" w:rsidRPr="00287FFE" w:rsidRDefault="00160B40" w:rsidP="00962FAD">
      <w:pPr>
        <w:jc w:val="both"/>
      </w:pPr>
      <w:r>
        <w:t>- Artikel 8 og 9 i direktiv 98/34 tilsigter ikke at tillægge borgerne rettigheder, hvorfor en medlemsstats tilsidesættelse heraf ikke indebærer en ret for borgerne til at opnå erstatning fra denne medlemsstat for den skade, der er lidt som følge af denne tilsidesættelse, på grundlag af EU-retten.</w:t>
      </w:r>
    </w:p>
    <w:p w:rsidR="00143415" w:rsidRPr="00287FFE" w:rsidRDefault="00143415" w:rsidP="00962FAD">
      <w:pPr>
        <w:jc w:val="both"/>
        <w:rPr>
          <w:rFonts w:eastAsia="Calibri"/>
          <w:b/>
          <w:i/>
          <w:lang w:val="en-US" w:eastAsia="en-US"/>
        </w:rPr>
      </w:pPr>
    </w:p>
    <w:p w:rsidR="00143415" w:rsidRPr="00287FFE" w:rsidRDefault="00143415" w:rsidP="00962FAD">
      <w:pPr>
        <w:jc w:val="both"/>
        <w:rPr>
          <w:rFonts w:eastAsia="Calibri"/>
          <w:b/>
          <w:i/>
        </w:rPr>
      </w:pPr>
      <w:r>
        <w:rPr>
          <w:b/>
          <w:i/>
        </w:rPr>
        <w:t xml:space="preserve">Dom af 16. juli 2015, UNIC og Uni.co.pel, sag C-95/14, </w:t>
      </w:r>
      <w:r>
        <w:rPr>
          <w:rStyle w:val="outputecliaff"/>
          <w:b/>
          <w:i/>
        </w:rPr>
        <w:t>EU:C:2015:492,</w:t>
      </w:r>
      <w:r>
        <w:rPr>
          <w:rStyle w:val="outputecliaff"/>
          <w:i/>
        </w:rPr>
        <w:t xml:space="preserve"> </w:t>
      </w:r>
      <w:r>
        <w:rPr>
          <w:b/>
          <w:i/>
        </w:rPr>
        <w:t>præmis 29 til 30</w:t>
      </w:r>
    </w:p>
    <w:p w:rsidR="00143415" w:rsidRPr="00287FFE" w:rsidRDefault="00143415" w:rsidP="00962FAD">
      <w:pPr>
        <w:jc w:val="both"/>
        <w:rPr>
          <w:rFonts w:eastAsia="Calibri"/>
          <w:lang w:eastAsia="en-US"/>
        </w:rPr>
      </w:pPr>
    </w:p>
    <w:p w:rsidR="00143415" w:rsidRPr="00287FFE" w:rsidRDefault="00160B40" w:rsidP="00962FAD">
      <w:pPr>
        <w:jc w:val="both"/>
        <w:rPr>
          <w:rFonts w:eastAsia="Calibri"/>
        </w:rPr>
      </w:pPr>
      <w:r>
        <w:t>- En teknisk forskrift kan ikke finde anvendelse, når den ikke er blevet meddelt i overensstemmelse med artikel 8, stk. 1, i direktiv 98/34, eller når den, selv om den er blevet meddelt, er blevet godkendt og gennemført før udløbet af status quo-perioden på tre måneder som fastsat i nævnte direktivs artikel 9, stk. 1.</w:t>
      </w:r>
    </w:p>
    <w:p w:rsidR="00143415" w:rsidRPr="00287FFE" w:rsidRDefault="00160B40" w:rsidP="00962FAD">
      <w:pPr>
        <w:jc w:val="both"/>
        <w:rPr>
          <w:rFonts w:eastAsia="Calibri"/>
        </w:rPr>
      </w:pPr>
      <w:r>
        <w:t>- Tilsidesættelsen af denne frist udgør en væsentlig proceduremangel, der kan medføre, at den tekniske forskrift ikke kan bringes i anvendelse og ikke kan gøres gældende over for private.</w:t>
      </w:r>
    </w:p>
    <w:p w:rsidR="00EB4A26" w:rsidRPr="00287FFE" w:rsidRDefault="00EB4A26" w:rsidP="00962FAD">
      <w:pPr>
        <w:jc w:val="both"/>
        <w:rPr>
          <w:rFonts w:ascii="Arial" w:hAnsi="Arial" w:cs="Arial"/>
          <w:lang w:val="en"/>
        </w:rPr>
      </w:pPr>
    </w:p>
    <w:p w:rsidR="00EB4A26" w:rsidRPr="00287FFE" w:rsidRDefault="00EB4A26" w:rsidP="00962FAD">
      <w:pPr>
        <w:jc w:val="both"/>
        <w:rPr>
          <w:rFonts w:eastAsia="Calibri"/>
          <w:b/>
          <w:i/>
        </w:rPr>
      </w:pPr>
      <w:r>
        <w:rPr>
          <w:b/>
          <w:i/>
        </w:rPr>
        <w:t>Dom af 2. februar 2016, Ince, sag C-336/14, EU:C:2016:72, præmis 67 til 68</w:t>
      </w:r>
    </w:p>
    <w:p w:rsidR="00B65378" w:rsidRPr="00287FFE" w:rsidRDefault="00B65378" w:rsidP="00962FAD">
      <w:pPr>
        <w:jc w:val="both"/>
      </w:pPr>
    </w:p>
    <w:p w:rsidR="00EB4A26" w:rsidRPr="00287FFE" w:rsidRDefault="00160B40" w:rsidP="00962FAD">
      <w:pPr>
        <w:jc w:val="both"/>
      </w:pPr>
      <w:r>
        <w:t>- En tilsidesættelse af forpligtelsen til at give meddelelse i henhold til artikel 8, stk. 1, i direktiv 98/34 må anses for en proceduremangel i forbindelse med vedtagelsen af de pågældende tekniske forskrifter, der medfører, at disse bliver uanvendelige og følgelig ikke kan gøres gældende over for en borger inden for rammerne af en straffesag.</w:t>
      </w:r>
    </w:p>
    <w:p w:rsidR="00EB4A26" w:rsidRPr="00287FFE" w:rsidRDefault="00160B40" w:rsidP="00962FAD">
      <w:pPr>
        <w:jc w:val="both"/>
        <w:rPr>
          <w:rFonts w:eastAsia="Calibri"/>
        </w:rPr>
      </w:pPr>
      <w:r>
        <w:t>- Selvom artikel 8, stk. 1, i direktiv 98/34 kræver, at hele udkastet til en lov, der indeholder tekniske forskrifter, meddeles Kommissionen, gælder den manglende anvendelighed, der følger af overtrædelsen af denne forpligtelse, ikke alle bestemmelserne i en sådan lov, men kun de tekniske forskrifter, der er indeholdt deri.</w:t>
      </w:r>
    </w:p>
    <w:p w:rsidR="00160B40" w:rsidRPr="00287FFE" w:rsidRDefault="00160B40" w:rsidP="00962FAD">
      <w:pPr>
        <w:jc w:val="both"/>
        <w:rPr>
          <w:rFonts w:eastAsia="Calibri"/>
          <w:b/>
          <w:i/>
          <w:lang w:val="en-US" w:eastAsia="en-US"/>
        </w:rPr>
      </w:pPr>
    </w:p>
    <w:p w:rsidR="00143415" w:rsidRPr="00287FFE" w:rsidRDefault="00143415" w:rsidP="00962FAD">
      <w:pPr>
        <w:jc w:val="both"/>
        <w:rPr>
          <w:rFonts w:eastAsia="Calibri"/>
          <w:b/>
          <w:i/>
        </w:rPr>
      </w:pPr>
      <w:r>
        <w:rPr>
          <w:b/>
          <w:i/>
        </w:rPr>
        <w:t>Kendelse af 21. april 2016, Beca Engineering, sag C-285/15, EU:C:2016:295, præmis 37</w:t>
      </w:r>
    </w:p>
    <w:p w:rsidR="00143415" w:rsidRPr="00287FFE" w:rsidRDefault="00143415" w:rsidP="00962FAD">
      <w:pPr>
        <w:jc w:val="both"/>
        <w:rPr>
          <w:lang w:val="en-US"/>
        </w:rPr>
      </w:pPr>
    </w:p>
    <w:p w:rsidR="00143415" w:rsidRPr="00287FFE" w:rsidRDefault="00CC592B" w:rsidP="00962FAD">
      <w:pPr>
        <w:jc w:val="both"/>
      </w:pPr>
      <w:r>
        <w:lastRenderedPageBreak/>
        <w:t xml:space="preserve">- Tilsidesættelsen af meddelelsespligten til tekniske forskrifter i henhold til artikel 8 i direktiv 98/34 medfører, at de pågældende tekniske forskrifter ikke kan bringes i anvendelse og følgelig ikke kan gøres gældende over for borgere, og borgere kan påberåbe sig artikel 8 i direktiv 98/34 ved de nationale retsinstanser. Den nationale dommer er forpligtet til at afslå anvendelsen af en national teknisk forskrift, som ikke er meddelt i overensstemmelse med direktivet. </w:t>
      </w:r>
    </w:p>
    <w:p w:rsidR="00143415" w:rsidRPr="00287FFE" w:rsidRDefault="00143415" w:rsidP="00962FAD">
      <w:pPr>
        <w:jc w:val="both"/>
        <w:rPr>
          <w:rFonts w:eastAsia="Calibri"/>
          <w:b/>
          <w:i/>
          <w:lang w:val="en-US" w:eastAsia="en-US"/>
        </w:rPr>
      </w:pPr>
    </w:p>
    <w:p w:rsidR="00143415" w:rsidRPr="00287FFE" w:rsidRDefault="00143415" w:rsidP="00962FAD">
      <w:pPr>
        <w:jc w:val="both"/>
        <w:rPr>
          <w:rFonts w:eastAsia="Calibri"/>
          <w:b/>
          <w:i/>
        </w:rPr>
      </w:pPr>
      <w:r>
        <w:rPr>
          <w:b/>
          <w:i/>
        </w:rPr>
        <w:t>Dom af 1. februar 2017, Município de Palmela, sag C-144/16, EU:C:2017:76, præmis 35 til 38</w:t>
      </w:r>
    </w:p>
    <w:p w:rsidR="00143415" w:rsidRPr="00287FFE" w:rsidRDefault="00143415" w:rsidP="00962FAD">
      <w:pPr>
        <w:jc w:val="both"/>
        <w:rPr>
          <w:lang w:val="en-US"/>
        </w:rPr>
      </w:pPr>
    </w:p>
    <w:p w:rsidR="00143415" w:rsidRPr="00287FFE" w:rsidRDefault="00CC592B" w:rsidP="00962FAD">
      <w:pPr>
        <w:jc w:val="both"/>
      </w:pPr>
      <w:r>
        <w:t>- Artikel 8, stk. 1, i direktiv 98/34 skal fortolkes således, at den konsekvens, hvorefter en teknisk forskrift, der ikke er blevet meddelt, ikke finder anvendelse, alene rammer den nævnte tekniske forskrift og ikke hele den lovgivning, hvori den indgår.</w:t>
      </w:r>
    </w:p>
    <w:p w:rsidR="00143415" w:rsidRPr="006255E9" w:rsidRDefault="00143415" w:rsidP="00962FAD">
      <w:pPr>
        <w:jc w:val="both"/>
        <w:rPr>
          <w:rFonts w:eastAsia="Calibri"/>
          <w:lang w:eastAsia="en-US"/>
        </w:rPr>
      </w:pPr>
    </w:p>
    <w:p w:rsidR="006255E9" w:rsidRDefault="006255E9" w:rsidP="00962FAD">
      <w:pPr>
        <w:pStyle w:val="Style1"/>
      </w:pPr>
      <w:r>
        <w:br w:type="page"/>
      </w:r>
    </w:p>
    <w:p w:rsidR="00B65378" w:rsidRPr="006E49C8" w:rsidRDefault="00E96E31" w:rsidP="00962FAD">
      <w:pPr>
        <w:pStyle w:val="Style1"/>
      </w:pPr>
      <w:bookmarkStart w:id="6" w:name="Third_heading"/>
      <w:r>
        <w:lastRenderedPageBreak/>
        <w:t>III. En medlemsstats manglende opfyldelse af forpligtelserne</w:t>
      </w:r>
    </w:p>
    <w:bookmarkEnd w:id="6"/>
    <w:p w:rsidR="00143415" w:rsidRPr="00287FFE" w:rsidRDefault="00143415" w:rsidP="00962FAD">
      <w:pPr>
        <w:jc w:val="both"/>
        <w:rPr>
          <w:rFonts w:eastAsia="Calibri"/>
          <w:b/>
          <w:i/>
          <w:lang w:eastAsia="en-US"/>
        </w:rPr>
      </w:pPr>
    </w:p>
    <w:p w:rsidR="00EB4A26" w:rsidRPr="00287FFE" w:rsidRDefault="00EB4A26" w:rsidP="00962FAD">
      <w:pPr>
        <w:jc w:val="both"/>
        <w:rPr>
          <w:rFonts w:eastAsia="Calibri"/>
          <w:b/>
          <w:i/>
        </w:rPr>
      </w:pPr>
      <w:r>
        <w:rPr>
          <w:b/>
          <w:i/>
        </w:rPr>
        <w:t>Dom af 4. juni 2009, Kommissionen mod Grækenland, sag C-109/08, EU:C:2009:346</w:t>
      </w:r>
    </w:p>
    <w:p w:rsidR="00E91B63" w:rsidRPr="00287FFE" w:rsidRDefault="00E91B63" w:rsidP="00962FAD">
      <w:pPr>
        <w:jc w:val="both"/>
      </w:pPr>
    </w:p>
    <w:p w:rsidR="00EB4A26" w:rsidRPr="00287FFE" w:rsidRDefault="00CC592B" w:rsidP="00962FAD">
      <w:pPr>
        <w:jc w:val="both"/>
      </w:pPr>
      <w:r>
        <w:t>- Den Hellenske Republik har ved ikke at ændre artikel 2, stk. 1, og artikel 3 i lov nr. 3037/2002 om indførelse af et forbud mod installation og drift af alle elektriske, elektromekaniske og elektroniske spil, herunder alle computerspil, på alle offentlige eller private steder, bortset fra spillekasinoer, under trussel om strafferetlige eller administrative sanktioner, som er foreskrevet i samme lovs artikel 4 og 5, i overensstemmelse med artikel 28 EF, 43 EF og 49 EF samt artikel 8 i Europa-Parlamentets og Rådets direktiv 98/34/EF, undladt at træffe alle de foranstaltninger, der er nødvendige for at opfylde dom af 26. oktober 2006, sag C</w:t>
      </w:r>
      <w:r>
        <w:noBreakHyphen/>
        <w:t>65/05, Kommissionen mod Grækenland, og har dermed tilsidesat sine forpligtelser i henhold til artikel 228 EF.</w:t>
      </w:r>
    </w:p>
    <w:p w:rsidR="00EB4A26" w:rsidRPr="00287FFE" w:rsidRDefault="00EB4A26" w:rsidP="00962FAD">
      <w:pPr>
        <w:jc w:val="both"/>
      </w:pPr>
    </w:p>
    <w:p w:rsidR="00EB4A26" w:rsidRPr="00287FFE" w:rsidRDefault="00EB4A26" w:rsidP="00962FAD">
      <w:pPr>
        <w:jc w:val="both"/>
        <w:rPr>
          <w:rFonts w:eastAsia="Calibri"/>
          <w:b/>
          <w:i/>
        </w:rPr>
      </w:pPr>
      <w:r>
        <w:rPr>
          <w:b/>
          <w:i/>
        </w:rPr>
        <w:t>Dom af 8. september 2005, Kommissionen mod Portugal, sag C-500/03, EU:C:2005:515</w:t>
      </w:r>
    </w:p>
    <w:p w:rsidR="00E91B63" w:rsidRPr="00287FFE" w:rsidRDefault="00E91B63" w:rsidP="00962FAD">
      <w:pPr>
        <w:jc w:val="both"/>
        <w:rPr>
          <w:lang w:val="en-US"/>
        </w:rPr>
      </w:pPr>
    </w:p>
    <w:p w:rsidR="00EB4A26" w:rsidRPr="00287FFE" w:rsidRDefault="00CC592B" w:rsidP="00962FAD">
      <w:pPr>
        <w:jc w:val="both"/>
      </w:pPr>
      <w:r>
        <w:t>- Portugal har tilsidesat sine forpligtelser i henhold til artikel 8 i direktiv 98/34/EF ved at vedtage ministeriel bekendtgørelse nr. 783/98 uden at have meddelt Kommissionen udkastet hertil.</w:t>
      </w:r>
    </w:p>
    <w:p w:rsidR="00B65378" w:rsidRPr="00287FFE" w:rsidRDefault="00B65378" w:rsidP="00962FAD">
      <w:pPr>
        <w:pStyle w:val="NormalWeb"/>
        <w:spacing w:before="0" w:beforeAutospacing="0" w:after="0" w:afterAutospacing="0"/>
        <w:rPr>
          <w:rFonts w:eastAsia="Calibri"/>
          <w:b/>
          <w:i/>
          <w:lang w:val="en-US" w:eastAsia="en-US"/>
        </w:rPr>
      </w:pPr>
    </w:p>
    <w:p w:rsidR="00EB4A26" w:rsidRPr="00287FFE" w:rsidRDefault="00EB4A26" w:rsidP="00962FAD">
      <w:pPr>
        <w:pStyle w:val="NormalWeb"/>
        <w:spacing w:before="0" w:beforeAutospacing="0" w:after="0" w:afterAutospacing="0"/>
        <w:jc w:val="both"/>
        <w:rPr>
          <w:rFonts w:eastAsia="Calibri"/>
          <w:b/>
          <w:i/>
        </w:rPr>
      </w:pPr>
      <w:r>
        <w:rPr>
          <w:b/>
          <w:i/>
        </w:rPr>
        <w:t>Dom af 14. juli 1994, Kommissionen mod Nederlandene, sag C-52/93, EU:C:1994:301</w:t>
      </w:r>
    </w:p>
    <w:p w:rsidR="00E91B63" w:rsidRPr="00287FFE" w:rsidRDefault="00E91B63" w:rsidP="00962FAD">
      <w:pPr>
        <w:jc w:val="both"/>
      </w:pPr>
    </w:p>
    <w:p w:rsidR="00EB4A26" w:rsidRPr="00287FFE" w:rsidRDefault="00CC592B" w:rsidP="00962FAD">
      <w:pPr>
        <w:jc w:val="both"/>
      </w:pPr>
      <w:r>
        <w:t>- Nederlandene opfyldte ikke sine forpligtelser i direktivet artikel 8, idet de indførte en ændring til anordning PVS vedrørende kvalitetsbestemmelser for blomsterløg uden at have tilsendt Kommissionen udkastet til denne ændring.</w:t>
      </w:r>
    </w:p>
    <w:p w:rsidR="00EB4A26" w:rsidRPr="00287FFE" w:rsidRDefault="00EB4A26" w:rsidP="00962FAD">
      <w:pPr>
        <w:pStyle w:val="NormalWeb"/>
        <w:spacing w:before="0" w:beforeAutospacing="0" w:after="0" w:afterAutospacing="0"/>
        <w:jc w:val="both"/>
        <w:rPr>
          <w:rFonts w:eastAsia="Calibri"/>
          <w:b/>
          <w:i/>
          <w:lang w:val="en-US" w:eastAsia="en-US"/>
        </w:rPr>
      </w:pPr>
    </w:p>
    <w:p w:rsidR="00EB4A26" w:rsidRPr="00287FFE" w:rsidRDefault="00EB4A26" w:rsidP="00962FAD">
      <w:pPr>
        <w:pStyle w:val="NormalWeb"/>
        <w:spacing w:before="0" w:beforeAutospacing="0" w:after="0" w:afterAutospacing="0"/>
        <w:jc w:val="both"/>
        <w:rPr>
          <w:rFonts w:eastAsia="Calibri"/>
          <w:b/>
          <w:i/>
        </w:rPr>
      </w:pPr>
      <w:r>
        <w:rPr>
          <w:b/>
          <w:i/>
        </w:rPr>
        <w:t>Dom af 14. juli 1994, Kommissionen mod Nederlandene, sag C-61/93, EU:C:1994:302</w:t>
      </w:r>
    </w:p>
    <w:p w:rsidR="00E91B63" w:rsidRPr="00287FFE" w:rsidRDefault="00E91B63" w:rsidP="00962FAD">
      <w:pPr>
        <w:jc w:val="both"/>
      </w:pPr>
    </w:p>
    <w:p w:rsidR="00EB4A26" w:rsidRPr="00287FFE" w:rsidRDefault="00CC592B" w:rsidP="00962FAD">
      <w:pPr>
        <w:jc w:val="both"/>
      </w:pPr>
      <w:r>
        <w:t>- Nederlandene har undladt at opfylde sine forpligtelser i henhold til direktivets artikel 8, idet de indførte anordninger om kilowatt-timemålere og om styrkekrav til flasker til læskedrikke samt om sammensætning, klassificering, emballering og mærkning af pesticider uden at have tilsendt Kommissionen udkastene hertil.</w:t>
      </w:r>
    </w:p>
    <w:p w:rsidR="00EB4A26" w:rsidRPr="00287FFE" w:rsidRDefault="00EB4A26" w:rsidP="00962FAD">
      <w:pPr>
        <w:jc w:val="both"/>
      </w:pPr>
    </w:p>
    <w:p w:rsidR="00EB4A26" w:rsidRPr="00287FFE" w:rsidRDefault="00EB4A26" w:rsidP="00962FAD">
      <w:pPr>
        <w:pStyle w:val="NormalWeb"/>
        <w:spacing w:before="0" w:beforeAutospacing="0" w:after="0" w:afterAutospacing="0"/>
        <w:jc w:val="both"/>
        <w:rPr>
          <w:rFonts w:eastAsia="Calibri"/>
          <w:b/>
          <w:i/>
        </w:rPr>
      </w:pPr>
      <w:r>
        <w:rPr>
          <w:b/>
          <w:i/>
        </w:rPr>
        <w:t>Dom af 2. august 1993, Kommissionen mod Italien, sag C-139/92, EU:C:1993:346</w:t>
      </w:r>
    </w:p>
    <w:p w:rsidR="00E91B63" w:rsidRPr="00287FFE" w:rsidRDefault="00E91B63" w:rsidP="00962FAD">
      <w:pPr>
        <w:jc w:val="both"/>
      </w:pPr>
    </w:p>
    <w:p w:rsidR="00EB4A26" w:rsidRPr="00287FFE" w:rsidRDefault="00CC592B" w:rsidP="00962FAD">
      <w:pPr>
        <w:jc w:val="both"/>
      </w:pPr>
      <w:r>
        <w:t>- Italien har ikke opfyldt de forpligtelser, der påhviler den i medfør af direktivet, idet den ikke har tilstillet Kommissionen udkastet til ministerielt dekret nr. 514/87 om definition og kontrol af lystbådes motorers maksimalydelse, konstruktion og installation.</w:t>
      </w:r>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CE" w:rsidRDefault="007F65CE" w:rsidP="00EB4A26">
      <w:r>
        <w:separator/>
      </w:r>
    </w:p>
  </w:endnote>
  <w:endnote w:type="continuationSeparator" w:id="0">
    <w:p w:rsidR="007F65CE" w:rsidRDefault="007F65CE"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AD5C70">
          <w:rPr>
            <w:noProof/>
          </w:rPr>
          <w:t>1</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CE" w:rsidRDefault="007F65CE" w:rsidP="00EB4A26">
      <w:r>
        <w:separator/>
      </w:r>
    </w:p>
  </w:footnote>
  <w:footnote w:type="continuationSeparator" w:id="0">
    <w:p w:rsidR="007F65CE" w:rsidRDefault="007F65CE"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67A7"/>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7F65CE"/>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62FAD"/>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2297"/>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C70"/>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29F5"/>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BE954-0B78-4F7C-B45F-A69E2BF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da-DK"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da-DK"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da-DK"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854F-392B-4AB5-9883-FF74BEED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6362</Words>
  <Characters>36266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42543</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5</cp:revision>
  <cp:lastPrinted>2019-03-28T10:43:00Z</cp:lastPrinted>
  <dcterms:created xsi:type="dcterms:W3CDTF">2019-05-21T08:42:00Z</dcterms:created>
  <dcterms:modified xsi:type="dcterms:W3CDTF">2019-06-03T10:59:00Z</dcterms:modified>
</cp:coreProperties>
</file>