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Dette er en maskinoversættelse</w:t>
      </w:r>
    </w:p>
    <w:p w14:paraId="48A46481" w14:textId="77777777">
      <w:pPr>
        <w:pStyle w:val="P68B1DB1-Title1"/>
        <w:spacing w:before="0"/>
        <w:ind w:left="0"/>
      </w:pPr>
    </w:p>
    <w:p w14:paraId="5DDBFD33" w14:textId="3AD4A40E">
      <w:pPr>
        <w:pStyle w:val="P68B1DB1-Title1"/>
        <w:spacing w:before="0"/>
        <w:ind w:left="0"/>
      </w:pPr>
      <w:r>
        <w:t xml:space="preserve">Retspraksis vedrørende direktiv (EU) 2015/1535</w:t>
      </w:r>
    </w:p>
    <w:p w14:paraId="5AFCD03C" w14:textId="77777777">
      <w:pPr>
        <w:pStyle w:val="BodyText"/>
      </w:pPr>
    </w:p>
    <w:p w14:paraId="55805DA1" w14:textId="3A3D4AA9">
      <w:pPr>
        <w:pStyle w:val="BodyText"/>
      </w:pPr>
      <w:r>
        <w:t xml:space="preserve">Dette dokument identificerer de vigtigste domme og kendelser fra Den Europæiske Unions Domstol vedrørende anvendelsesområdet for og anvendelsen af direktiv (EU) 2015/1535, som indfører en informationsprocedure med hensyn til tekniske forskrifter og forskrifter for informationssamfundets tjenester. Formålet er at tjene som vejledning for medlemsstaternes forvaltninger, industrien og borgerne.</w:t>
      </w:r>
    </w:p>
    <w:p w14:paraId="4F3E66AE" w14:textId="77777777">
      <w:pPr>
        <w:pStyle w:val="BodyText"/>
        <w:rPr>
          <w:sz w:val="22"/>
          <w:szCs w:val="18"/>
        </w:rPr>
      </w:pPr>
    </w:p>
    <w:p w14:paraId="53D6EBA0" w14:textId="77777777">
      <w:pPr>
        <w:pStyle w:val="BodyText"/>
      </w:pPr>
      <w:r>
        <w:t xml:space="preserve">Da dette dokument ikke er udtømmende, vil nogle relevante afgørelser muligvis ikke blive medtaget.</w:t>
      </w:r>
    </w:p>
    <w:p w14:paraId="771A43E5" w14:textId="77777777">
      <w:pPr>
        <w:pStyle w:val="BodyText"/>
      </w:pPr>
    </w:p>
    <w:p w14:paraId="45186CE0" w14:textId="45ABA22D">
      <w:pPr>
        <w:pStyle w:val="BodyText"/>
      </w:pPr>
      <w:r>
        <w:t xml:space="preserve">Dommene præsenteres i kronologisk rækkefølge, og dokumentet er inddelt i fire dele:</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De beslutninger, fra hvilke der er udarbejdet uddrag i dette dokument, henviser til flere på hinanden følgende direktiver, der fastsætter en informationsprocedure med hensyn til tekniske forskrifter. Nedenstående ækvivalenstabel illustrerer kontinuiteten i deres vigtigste bestemmelser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Ækvivalenstabel for de vigtigste bestemmelser </w:t>
      </w:r>
    </w:p>
    <w:p w14:paraId="74F41B86" w14:textId="7258661E">
      <w:pPr>
        <w:pStyle w:val="P68B1DB1-Normal5"/>
        <w:spacing w:after="0" w:line="240" w:lineRule="auto"/>
        <w:jc w:val="center"/>
        <w:rPr>
          <w:bCs/>
        </w:rPr>
      </w:pPr>
      <w:r>
        <w:t xml:space="preserve">Direktiv (EU) 2015/1535, 98/34/EF og 83/189/EØF</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Bestemmelsernes indhold</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Direktiv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Direktiv 98/34/EF</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Direktiv 83/189/EØF</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Definition af "produkter"</w:t>
            </w:r>
          </w:p>
        </w:tc>
        <w:tc>
          <w:tcPr>
            <w:tcW w:w="2457" w:type="dxa"/>
          </w:tcPr>
          <w:p w14:paraId="4A418F3D" w14:textId="11CADE6C">
            <w:pPr>
              <w:pStyle w:val="P68B1DB1-Normal7"/>
              <w:spacing w:line="240" w:lineRule="auto"/>
            </w:pPr>
            <w:r>
              <w:t xml:space="preserve">Artikel 1, stk. 1, litra a)</w:t>
            </w:r>
          </w:p>
        </w:tc>
        <w:tc>
          <w:tcPr>
            <w:tcW w:w="2315" w:type="dxa"/>
          </w:tcPr>
          <w:p w14:paraId="5020F0EC" w14:textId="29FBC8B8">
            <w:pPr>
              <w:pStyle w:val="P68B1DB1-Normal7"/>
              <w:spacing w:line="240" w:lineRule="auto"/>
            </w:pPr>
            <w:r>
              <w:t xml:space="preserve">Artikel 1, stk. 1</w:t>
            </w:r>
          </w:p>
        </w:tc>
        <w:tc>
          <w:tcPr>
            <w:tcW w:w="2315" w:type="dxa"/>
          </w:tcPr>
          <w:p w14:paraId="1AC77ECE" w14:textId="6BC392C6">
            <w:pPr>
              <w:pStyle w:val="P68B1DB1-Normal7"/>
              <w:spacing w:line="240" w:lineRule="auto"/>
            </w:pPr>
            <w:r>
              <w:t xml:space="preserve">Artikel 1, stk. 7</w:t>
            </w:r>
          </w:p>
        </w:tc>
      </w:tr>
      <w:tr w14:paraId="4F3F95AF" w14:textId="77777777">
        <w:trPr>
          <w:trHeight w:val="599"/>
        </w:trPr>
        <w:tc>
          <w:tcPr>
            <w:tcW w:w="3119" w:type="dxa"/>
          </w:tcPr>
          <w:p w14:paraId="42CDA066" w14:textId="77777777">
            <w:pPr>
              <w:pStyle w:val="P68B1DB1-Normal7"/>
              <w:spacing w:line="240" w:lineRule="auto"/>
            </w:pPr>
            <w:r>
              <w:t xml:space="preserve">Definition af "tjenesteydelser"</w:t>
            </w:r>
          </w:p>
        </w:tc>
        <w:tc>
          <w:tcPr>
            <w:tcW w:w="2457" w:type="dxa"/>
          </w:tcPr>
          <w:p w14:paraId="658F3867" w14:textId="6E2F4A98">
            <w:pPr>
              <w:pStyle w:val="P68B1DB1-Normal7"/>
              <w:spacing w:line="240" w:lineRule="auto"/>
            </w:pPr>
            <w:r>
              <w:t xml:space="preserve">Artikel 1, stk. 1, litra b)</w:t>
            </w:r>
          </w:p>
        </w:tc>
        <w:tc>
          <w:tcPr>
            <w:tcW w:w="2315" w:type="dxa"/>
          </w:tcPr>
          <w:p w14:paraId="4273AEF8" w14:textId="51C8B937">
            <w:pPr>
              <w:pStyle w:val="P68B1DB1-Normal7"/>
              <w:spacing w:line="240" w:lineRule="auto"/>
            </w:pPr>
            <w:r>
              <w:t xml:space="preserve">Artikel 1, stk.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Definition af "teknisk specifikation"</w:t>
            </w:r>
          </w:p>
        </w:tc>
        <w:tc>
          <w:tcPr>
            <w:tcW w:w="2457" w:type="dxa"/>
          </w:tcPr>
          <w:p w14:paraId="1CD6781C" w14:textId="4816FB95">
            <w:pPr>
              <w:pStyle w:val="P68B1DB1-Normal7"/>
              <w:spacing w:line="240" w:lineRule="auto"/>
            </w:pPr>
            <w:r>
              <w:t xml:space="preserve">Artikel 1, stk. 1, litra c)</w:t>
            </w:r>
          </w:p>
        </w:tc>
        <w:tc>
          <w:tcPr>
            <w:tcW w:w="2315" w:type="dxa"/>
          </w:tcPr>
          <w:p w14:paraId="6ACA8AFC" w14:textId="5CBBFC47">
            <w:pPr>
              <w:pStyle w:val="P68B1DB1-Normal7"/>
              <w:spacing w:line="240" w:lineRule="auto"/>
            </w:pPr>
            <w:r>
              <w:t xml:space="preserve">Artikel 1, stk. 3</w:t>
            </w:r>
          </w:p>
        </w:tc>
        <w:tc>
          <w:tcPr>
            <w:tcW w:w="2315" w:type="dxa"/>
          </w:tcPr>
          <w:p w14:paraId="7742C3F4" w14:textId="668574B6">
            <w:pPr>
              <w:pStyle w:val="P68B1DB1-Normal7"/>
              <w:spacing w:line="240" w:lineRule="auto"/>
            </w:pPr>
            <w:r>
              <w:t xml:space="preserve">Artikel 1, stk. 1</w:t>
            </w:r>
          </w:p>
        </w:tc>
      </w:tr>
      <w:tr w14:paraId="39DCA993" w14:textId="77777777">
        <w:trPr>
          <w:trHeight w:val="599"/>
        </w:trPr>
        <w:tc>
          <w:tcPr>
            <w:tcW w:w="3119" w:type="dxa"/>
          </w:tcPr>
          <w:p w14:paraId="412D2403" w14:textId="77777777">
            <w:pPr>
              <w:pStyle w:val="P68B1DB1-Normal7"/>
              <w:spacing w:line="240" w:lineRule="auto"/>
            </w:pPr>
            <w:r>
              <w:t xml:space="preserve">Definition af "andre krav"</w:t>
            </w:r>
          </w:p>
        </w:tc>
        <w:tc>
          <w:tcPr>
            <w:tcW w:w="2457" w:type="dxa"/>
          </w:tcPr>
          <w:p w14:paraId="7BCB4CC5" w14:textId="4C804DFA">
            <w:pPr>
              <w:pStyle w:val="P68B1DB1-Normal7"/>
              <w:spacing w:line="240" w:lineRule="auto"/>
            </w:pPr>
            <w:r>
              <w:t xml:space="preserve">Artikel 1, stk. 1, litra d)</w:t>
            </w:r>
          </w:p>
        </w:tc>
        <w:tc>
          <w:tcPr>
            <w:tcW w:w="2315" w:type="dxa"/>
          </w:tcPr>
          <w:p w14:paraId="414D1EEC" w14:textId="18CAA0FE">
            <w:pPr>
              <w:pStyle w:val="P68B1DB1-Normal7"/>
              <w:spacing w:line="240" w:lineRule="auto"/>
            </w:pPr>
            <w:r>
              <w:t xml:space="preserve">Artikel 1, stk.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Definition af "forskrift vedrørende tjenesteydelser"</w:t>
            </w:r>
          </w:p>
        </w:tc>
        <w:tc>
          <w:tcPr>
            <w:tcW w:w="2457" w:type="dxa"/>
          </w:tcPr>
          <w:p w14:paraId="136F7BB7" w14:textId="4AA67A90">
            <w:pPr>
              <w:pStyle w:val="P68B1DB1-Normal7"/>
              <w:spacing w:line="240" w:lineRule="auto"/>
            </w:pPr>
            <w:r>
              <w:t xml:space="preserve">Artikel 1, stk. 1, litra e)</w:t>
            </w:r>
          </w:p>
        </w:tc>
        <w:tc>
          <w:tcPr>
            <w:tcW w:w="2315" w:type="dxa"/>
          </w:tcPr>
          <w:p w14:paraId="36E9CD4F" w14:textId="1B75247A">
            <w:pPr>
              <w:pStyle w:val="P68B1DB1-Normal7"/>
              <w:spacing w:line="240" w:lineRule="auto"/>
            </w:pPr>
            <w:r>
              <w:t xml:space="preserve">Artikel 1, stk.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Begrebet "teknisk forskrift"</w:t>
            </w:r>
          </w:p>
        </w:tc>
        <w:tc>
          <w:tcPr>
            <w:tcW w:w="2457" w:type="dxa"/>
          </w:tcPr>
          <w:p w14:paraId="46C85599" w14:textId="1342B29E">
            <w:pPr>
              <w:pStyle w:val="P68B1DB1-Normal7"/>
              <w:spacing w:line="240" w:lineRule="auto"/>
            </w:pPr>
            <w:r>
              <w:t xml:space="preserve">Artikel 1, stk. 1, litra f)</w:t>
            </w:r>
          </w:p>
        </w:tc>
        <w:tc>
          <w:tcPr>
            <w:tcW w:w="2315" w:type="dxa"/>
          </w:tcPr>
          <w:p w14:paraId="0E88B9E2" w14:textId="31F951B8">
            <w:pPr>
              <w:pStyle w:val="P68B1DB1-Normal7"/>
              <w:spacing w:line="240" w:lineRule="auto"/>
            </w:pPr>
            <w:r>
              <w:t xml:space="preserve">Artikel 1, stk. 11</w:t>
            </w:r>
          </w:p>
        </w:tc>
        <w:tc>
          <w:tcPr>
            <w:tcW w:w="2315" w:type="dxa"/>
          </w:tcPr>
          <w:p w14:paraId="2E4FCAC6" w14:textId="1930FF48">
            <w:pPr>
              <w:pStyle w:val="P68B1DB1-Normal7"/>
              <w:spacing w:line="240" w:lineRule="auto"/>
            </w:pPr>
            <w:r>
              <w:t xml:space="preserve">Artikel 1, stk. 5</w:t>
            </w:r>
          </w:p>
        </w:tc>
      </w:tr>
      <w:tr w14:paraId="0C829266" w14:textId="77777777">
        <w:trPr>
          <w:trHeight w:val="599"/>
        </w:trPr>
        <w:tc>
          <w:tcPr>
            <w:tcW w:w="3119" w:type="dxa"/>
          </w:tcPr>
          <w:p w14:paraId="2E36B6FC" w14:textId="77777777">
            <w:pPr>
              <w:pStyle w:val="P68B1DB1-Normal7"/>
              <w:spacing w:line="240" w:lineRule="auto"/>
            </w:pPr>
            <w:r>
              <w:t>Anmeldelsesforpligtelse</w:t>
            </w:r>
          </w:p>
        </w:tc>
        <w:tc>
          <w:tcPr>
            <w:tcW w:w="2457" w:type="dxa"/>
          </w:tcPr>
          <w:p w14:paraId="04169FF7" w14:textId="77777777">
            <w:pPr>
              <w:pStyle w:val="P68B1DB1-Normal7"/>
              <w:spacing w:line="240" w:lineRule="auto"/>
            </w:pPr>
            <w:r>
              <w:t xml:space="preserve">Artikel 5, stk. 1, første punktum</w:t>
            </w:r>
          </w:p>
        </w:tc>
        <w:tc>
          <w:tcPr>
            <w:tcW w:w="2315" w:type="dxa"/>
          </w:tcPr>
          <w:p w14:paraId="730385F8" w14:textId="77777777">
            <w:pPr>
              <w:pStyle w:val="P68B1DB1-Normal7"/>
              <w:spacing w:line="240" w:lineRule="auto"/>
            </w:pPr>
            <w:r>
              <w:t xml:space="preserve">Artikel 8, stk. 1, første punktum</w:t>
            </w:r>
          </w:p>
        </w:tc>
        <w:tc>
          <w:tcPr>
            <w:tcW w:w="2315" w:type="dxa"/>
          </w:tcPr>
          <w:p w14:paraId="6937609F" w14:textId="5A2377E0">
            <w:pPr>
              <w:pStyle w:val="P68B1DB1-Normal8"/>
              <w:spacing w:line="240" w:lineRule="auto"/>
            </w:pPr>
            <w:r>
              <w:t xml:space="preserve">Artikel 8, stk. 1</w:t>
            </w:r>
          </w:p>
        </w:tc>
      </w:tr>
      <w:tr w14:paraId="4472DE96" w14:textId="77777777">
        <w:trPr>
          <w:trHeight w:val="599"/>
        </w:trPr>
        <w:tc>
          <w:tcPr>
            <w:tcW w:w="3119" w:type="dxa"/>
          </w:tcPr>
          <w:p w14:paraId="08371658" w14:textId="2AE2569B">
            <w:pPr>
              <w:pStyle w:val="P68B1DB1-Normal7"/>
              <w:spacing w:line="240" w:lineRule="auto"/>
            </w:pPr>
            <w:r>
              <w:t xml:space="preserve">Meddelelse om grundlæggende eller berørte bestemmelser</w:t>
            </w:r>
          </w:p>
        </w:tc>
        <w:tc>
          <w:tcPr>
            <w:tcW w:w="2457" w:type="dxa"/>
          </w:tcPr>
          <w:p w14:paraId="4460E5CA" w14:textId="77777777">
            <w:pPr>
              <w:pStyle w:val="P68B1DB1-Normal7"/>
              <w:spacing w:line="240" w:lineRule="auto"/>
            </w:pPr>
            <w:r>
              <w:t xml:space="preserve">Artikel 5, stk. 1, andet punktum</w:t>
            </w:r>
          </w:p>
        </w:tc>
        <w:tc>
          <w:tcPr>
            <w:tcW w:w="2315" w:type="dxa"/>
          </w:tcPr>
          <w:p w14:paraId="545C5C96" w14:textId="77777777">
            <w:pPr>
              <w:pStyle w:val="P68B1DB1-Normal7"/>
              <w:spacing w:line="240" w:lineRule="auto"/>
            </w:pPr>
            <w:r>
              <w:t xml:space="preserve">Artikel 8, stk. 1, andet punktum</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Fornyet underretning i standstill-perioden</w:t>
            </w:r>
          </w:p>
        </w:tc>
        <w:tc>
          <w:tcPr>
            <w:tcW w:w="2457" w:type="dxa"/>
          </w:tcPr>
          <w:p w14:paraId="65494BDB" w14:textId="77777777">
            <w:pPr>
              <w:pStyle w:val="P68B1DB1-Normal7"/>
              <w:spacing w:line="240" w:lineRule="auto"/>
            </w:pPr>
            <w:r>
              <w:t xml:space="preserve">Artikel 5, stk. 1, tredje punktum</w:t>
            </w:r>
          </w:p>
        </w:tc>
        <w:tc>
          <w:tcPr>
            <w:tcW w:w="2315" w:type="dxa"/>
          </w:tcPr>
          <w:p w14:paraId="47F0091E" w14:textId="77777777">
            <w:pPr>
              <w:pStyle w:val="P68B1DB1-Normal7"/>
              <w:spacing w:line="240" w:lineRule="auto"/>
            </w:pPr>
            <w:r>
              <w:t xml:space="preserve">Artikel 8, stk. 1, tredje punktum</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Frist med opsættende virkning</w:t>
            </w:r>
          </w:p>
        </w:tc>
        <w:tc>
          <w:tcPr>
            <w:tcW w:w="2457" w:type="dxa"/>
          </w:tcPr>
          <w:p w14:paraId="0FDAA36A" w14:textId="77777777">
            <w:pPr>
              <w:pStyle w:val="P68B1DB1-Normal7"/>
              <w:spacing w:line="240" w:lineRule="auto"/>
            </w:pPr>
            <w:r>
              <w:t xml:space="preserve">Artikel 6 udgår</w:t>
            </w:r>
          </w:p>
        </w:tc>
        <w:tc>
          <w:tcPr>
            <w:tcW w:w="2315" w:type="dxa"/>
          </w:tcPr>
          <w:p w14:paraId="51BBC4E4" w14:textId="77777777">
            <w:pPr>
              <w:pStyle w:val="P68B1DB1-Normal7"/>
              <w:spacing w:line="240" w:lineRule="auto"/>
            </w:pPr>
            <w:r>
              <w:t xml:space="preserve">Artikel 9 udgår</w:t>
            </w:r>
          </w:p>
        </w:tc>
        <w:tc>
          <w:tcPr>
            <w:tcW w:w="2315" w:type="dxa"/>
          </w:tcPr>
          <w:p w14:paraId="2B7D3F30" w14:textId="77777777">
            <w:pPr>
              <w:pStyle w:val="P68B1DB1-Normal8"/>
              <w:spacing w:line="240" w:lineRule="auto"/>
            </w:pPr>
            <w:r>
              <w:t xml:space="preserve">Artikel 9 udgår</w:t>
            </w:r>
          </w:p>
        </w:tc>
      </w:tr>
      <w:tr w14:paraId="31FCCE62" w14:textId="77777777">
        <w:trPr>
          <w:trHeight w:val="599"/>
        </w:trPr>
        <w:tc>
          <w:tcPr>
            <w:tcW w:w="3119" w:type="dxa"/>
          </w:tcPr>
          <w:p w14:paraId="067F46A1" w14:textId="77777777">
            <w:pPr>
              <w:pStyle w:val="P68B1DB1-Normal7"/>
              <w:spacing w:line="240" w:lineRule="auto"/>
            </w:pPr>
            <w:r>
              <w:t xml:space="preserve">Undtagelser fra anmeldelses- og standstill-forpligtelser</w:t>
            </w:r>
          </w:p>
        </w:tc>
        <w:tc>
          <w:tcPr>
            <w:tcW w:w="2457" w:type="dxa"/>
          </w:tcPr>
          <w:p w14:paraId="5BC53094" w14:textId="77777777">
            <w:pPr>
              <w:pStyle w:val="P68B1DB1-Normal7"/>
              <w:spacing w:line="240" w:lineRule="auto"/>
            </w:pPr>
            <w:r>
              <w:t xml:space="preserve">Artikel 7 udgår</w:t>
            </w:r>
          </w:p>
        </w:tc>
        <w:tc>
          <w:tcPr>
            <w:tcW w:w="2315" w:type="dxa"/>
          </w:tcPr>
          <w:p w14:paraId="36E59068" w14:textId="77777777">
            <w:pPr>
              <w:pStyle w:val="P68B1DB1-Normal7"/>
              <w:spacing w:line="240" w:lineRule="auto"/>
            </w:pPr>
            <w:r>
              <w:t xml:space="preserve">Artikel 10 udgår</w:t>
            </w:r>
          </w:p>
        </w:tc>
        <w:tc>
          <w:tcPr>
            <w:tcW w:w="2315" w:type="dxa"/>
          </w:tcPr>
          <w:p w14:paraId="1FE1BC2D" w14:textId="77777777">
            <w:pPr>
              <w:pStyle w:val="P68B1DB1-Normal8"/>
              <w:spacing w:line="240" w:lineRule="auto"/>
            </w:pPr>
            <w:r>
              <w:t xml:space="preserve">Artikel 10 udgår</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Ansvarsfraskrivelse</w:t>
      </w:r>
    </w:p>
    <w:p w14:paraId="0CB71D4E" w14:textId="7BF1CD8D">
      <w:pPr>
        <w:jc w:val="both"/>
        <w:rPr>
          <w:rFonts w:ascii="Times New Roman" w:hAnsi="Times New Roman" w:cs="Times New Roman"/>
          <w:sz w:val="24"/>
          <w:szCs w:val="24"/>
        </w:rPr>
        <w:pStyle w:val="P68B1DB1-Normal7"/>
      </w:pPr>
      <w:r>
        <w:t xml:space="preserve">Oplysningerne og vejledningen i dette dokument har til formål at bidrage til en bedre forståelse af meddelelsesreglerne i direktiv (EU) 2015/1535.</w:t>
      </w:r>
    </w:p>
    <w:p w14:paraId="67EC004B" w14:textId="434F8650">
      <w:pPr>
        <w:jc w:val="both"/>
        <w:rPr>
          <w:rFonts w:ascii="Times New Roman" w:hAnsi="Times New Roman" w:cs="Times New Roman"/>
          <w:sz w:val="24"/>
          <w:szCs w:val="24"/>
        </w:rPr>
        <w:pStyle w:val="P68B1DB1-Normal7"/>
      </w:pPr>
      <w:r>
        <w:t xml:space="preserve">Dette er udelukkende tænkt som et vejledende redskab. Kun direktivets tekst har retskraft og kan skabe rettigheder og forpligtelser for enkeltpersoner og medlemsstater. Dette dokument skaber ingen rettigheder eller forventninger, der kan håndhæves.</w:t>
      </w:r>
    </w:p>
    <w:p w14:paraId="63D425FC" w14:textId="2836B58B">
      <w:pPr>
        <w:jc w:val="both"/>
        <w:rPr>
          <w:rFonts w:ascii="Times New Roman" w:hAnsi="Times New Roman" w:cs="Times New Roman"/>
          <w:sz w:val="24"/>
          <w:szCs w:val="24"/>
        </w:rPr>
        <w:pStyle w:val="P68B1DB1-Normal7"/>
      </w:pPr>
      <w:r>
        <w:t xml:space="preserve">Den bindende fortolkning af EU-lovgivningen henhører under Den Europæiske Unions Domstols enekompetence. De synspunkter, der kommer til udtryk i dette dokument, foregriber ikke den holdning, som Kommissionen måtte indtage ved Domstolen.</w:t>
      </w:r>
    </w:p>
    <w:p w14:paraId="5CC222EA" w14:textId="4A13BEE2">
      <w:pPr>
        <w:jc w:val="both"/>
        <w:rPr>
          <w:rFonts w:ascii="Times New Roman" w:hAnsi="Times New Roman" w:cs="Times New Roman"/>
          <w:sz w:val="24"/>
          <w:szCs w:val="24"/>
        </w:rPr>
        <w:pStyle w:val="P68B1DB1-Normal7"/>
      </w:pPr>
      <w:r>
        <w:t xml:space="preserve">Da dette dokument afspejler retsstillingen på tidspunktet for udarbejdelsen, bør det betragtes som et "levende redskab", der er åbent for forbedringer, og dets indhold kan ændres uden varsel.</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Klassificering som teknisk forskrift</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begrebet" teknisk forskrift "omfatter fire kategorier af foranstaltninger, nemlig i)" tekniske specifikationer "som omhandlet i artikel 1, nr. 3), i direktiv 98/34, ii)" andre krav "som defineret i dette direktivs artikel 1, stk. 4, iii)" forskrifter vedrørende tjenester "som omhandlet i dette direktivs artikel 1, stk. 5, og iv)" medlemsstaternes love og administrative bestemmelser om forbud mod fremstilling, import, markedsføring eller anvendelse af et produkt eller forbud mod levering eller anvendelse af en tjeneste eller mod, at en tjenesteyder etablerer sig "."</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Dom af 2. februar 2016</w:t>
        </w:r>
      </w:hyperlink>
      <w:r>
        <w:t xml:space="preserve"> i sag C-336/14, </w:t>
      </w:r>
      <w:r>
        <w:rPr>
          <w:i/>
        </w:rPr>
        <w:t>Ince</w:t>
      </w:r>
      <w:r>
        <w:t xml:space="preserve">, præmis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Fælles kriterier for tekniske </w:t>
      </w:r>
      <w:bookmarkEnd w:id="6"/>
      <w:r>
        <w:t>forskrifter</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 Teknisk forskrift ": en teknisk specifikation eller et andet krav eller en forskrift vedrørende tjenester, herunder de administrative bestemmelser, der gælder herfor, som retligt eller faktisk skal overholdes ved markedsføring, levering eller anvendelse af en tjeneste, etablering af en operatør af tjenester i en medlemsstat eller i en væsentlig del af denne stat, samt medlemsstaternes love og administrative bestemmelser om forbud mod fremstilling, import, markedsføring eller anvendelse af et produkt eller forbud mod levering eller anvendelse af en tjeneste eller mod, at en tjenesteyder etablerer sig, jf. dog artikel 7."</w:t>
      </w:r>
    </w:p>
    <w:p w14:paraId="56CBE257" w14:textId="77777777">
      <w:pPr>
        <w:pStyle w:val="BodyText"/>
      </w:pPr>
    </w:p>
    <w:p w14:paraId="66B70B28" w14:textId="1278CE54">
      <w:pPr>
        <w:pStyle w:val="P68B1DB1-Normal7"/>
        <w:spacing w:after="0" w:line="240" w:lineRule="auto"/>
        <w:jc w:val="right"/>
      </w:pPr>
      <w:r>
        <w:t xml:space="preserve">(artikel 1, stk. 1, litra f), første punktum, i direktiv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Dom af 30. april 1996</w:t>
        </w:r>
      </w:hyperlink>
      <w:r>
        <w:rPr>
          <w:rFonts w:ascii="Times New Roman" w:hAnsi="Times New Roman" w:cs="Times New Roman" w:eastAsia="Times New Roman"/>
          <w:b/>
          <w:i/>
          <w:szCs w:val="20"/>
        </w:rPr>
        <w:t xml:space="preserve"> i sag C-194/94, CIA Security International SA, præmis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En forskrift kan kun kvalificeres som en "teknisk forskrift", hvis den har selvstændige retsvirkninger. Dette er ikke tilfældet for en rammelov uden retsvirkning for borgerne.</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Hertil bemærkes, at en bestemmelse må anses for at være en teknisk forskrift i direktiv 83/189's forstand, når den medfører selvstændige retsvirkninger. Såfremt reglen efter national ret blot tjener som grundlag for udstedelse af administrative forskrifter, der indeholder bindende regler for de berørte, således at den i sig selv ikke har retsvirkninger for borgerne, udgør den ikke en teknisk forskrift i direktivets forstand (jf. dom af 1994, sag C-317/92, Kommissionen mod Tyskland, Sml. s. 1-2039, præmis 26). Det skal i denne forbindelse bemærkes, at i henhold til artikel 8, stk. 1, første afsnit, i direktiv 83/189 skal medlemsstaterne samtidig med udkastet til teknisk forskrift meddele det bemyndigelsesinstrument, på grundlag af hvilket det er vedtaget, hvis det er nødvendigt at have kendskab til denne tekst for at kunne vurdere virkningerne af udkastet til teknisk forskrift."</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Dom af 20. marts 1997</w:t>
        </w:r>
      </w:hyperlink>
      <w:r>
        <w:rPr>
          <w:rFonts w:ascii="Times New Roman" w:hAnsi="Times New Roman" w:cs="Times New Roman" w:eastAsia="Times New Roman"/>
          <w:b/>
          <w:i/>
          <w:szCs w:val="20"/>
        </w:rPr>
        <w:t xml:space="preserve"> i sag C-13/96, Bic Benelux, præmis 19 og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Begrundelsen for vedtagelsen af en national foranstaltning er uden betydning for kvalificeringen af denne foranstaltning som en "teknisk forskrift". Formålet med direktivet er gennem forebyggende kontrol at beskytte de frie varebevægelser, som er et af Fællesskabets grundlag.</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Der er intet grundlag i direktiv 83/189 for en fortolkning, der begrænser dets anvendelse til nationale foranstaltninger, der kun kan harmoniseres på grundlag af traktatens artikel 100a. Formålet med dette direktiv er gennem en præventiv kontrol at beskytte de frie varebevægelser, som er et af Fællesskabets grundlag. Denne kontrol er nødvendig, for så vidt som de tekniske forskrifter, der henhører under direktivet, direkte eller indirekte, aktuelt eller potentielt, kan hindre samhandelen med varer inden for Fællesskabet. Hindringer af denne art kan være en følge af udstedelsen af nationale tekniske forskrifter, også selv om disse ikke indebærer en gentagelse af en mærkning, som er blevet foretaget i oprindelsesmedlemsstaten, og uafhængigt af de grunde, som har begrundet deres vedtagelse.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Den omstændighed, at en national foranstaltning er vedtaget for at beskytte miljøet, eller at den ikke gennemfører en teknisk standard, der i sig selv kan udgøre en hindring for den frie bevægelighed, betyder derfor ikke, at den pågældende foranstaltning ikke kan være en teknisk forskrift som omhandlet i direktiv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Dom af 16. november 2000</w:t>
        </w:r>
      </w:hyperlink>
      <w:r>
        <w:rPr>
          <w:rFonts w:ascii="Times New Roman" w:hAnsi="Times New Roman" w:cs="Times New Roman" w:eastAsia="Times New Roman"/>
          <w:b/>
          <w:i/>
          <w:szCs w:val="20"/>
        </w:rPr>
        <w:t xml:space="preserve"> i sag C-37/99, Donkersteeg, præmis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Detaljerede regler om vaccination af dyr er en "teknisk specifikation". Der vil imidlertid kun være tale om en "teknisk forskrift", der kræver notifikation, hvis dens overholdelse retligt eller faktisk er obligatorisk. Dette er ikke tilfældet, når der i tilfælde af overtrædelse af reglen ikke pålægges begrænsninger for markedsføringen eller anvendelsen af de pågældende produkter.</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i henhold til direktivets artikel 1, stk. 1, er en "teknisk specifikation" for så vidt angår landbrugsprodukter indeholdt i et dokument, der fastlægger karakteristika for et produkt eller dets fremstillingsmetoder og -procedurer.</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En regel som den, der er indeholdt i VBZA's artikel 2, stk. 1, er en teknisk specifikation som omhandlet i direktivets artikel 1, stk. 1. Som Kommissionen med rette har anført, er de præcise og detaljerede regler vedrørende vaccination mod Aujeszkys sygdom knyttet til produktionen i snæver forstand af det pågældende landbrugsprodukt og skal overholdes i hele produktionscyklussen, hvorfor denne regel definerer en "fremgangsmåde" ved fremstillingen af dette produkt.</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For at kunne kvalificeres som en teknisk forskrift i direktivets forstand skal den i hovedsagen omhandlede forskrift imidlertid i henhold til direktivets artikel 1, stk. 5, indeholde tekniske specifikationer, "hvis overholdelse retligt eller faktisk er obligatorisk for markedsføring eller anvendelse i en medlemsstat eller i en væsentlig del af denne stat, bortset fra de specifikationer, der er fastsat af de lokale myndigheder.</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Herved bemærkes, som den nederlandske regering har anført, at bestemmelsen i BAS-bekendtgørelsens artikel 2, stk. 1, hverken fastsætter restriktioner for markedsføringen eller anvendelsen af de pågældende produkter for det tilfælde, at svinene i strid med denne bestemmelse ikke er blevet vaccineret mod Aujeszky's sygdom.</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Det andet spørgsmål skal derfor besvares med, at en bestemmelse som den i hovedsagen omhandlede, hvorefter enhver landbruger er forpligtet til at lade svinene på sin bedrift vaccineres mod Aujeszkys sygdom, ikke i direktivets forstand er en teknisk forskrift, som burde have været meddelt Kommissionen, inden den blev vedtaget."</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Dom af 3. december 2020</w:t>
        </w:r>
      </w:hyperlink>
      <w:r>
        <w:rPr>
          <w:rFonts w:ascii="Times New Roman" w:hAnsi="Times New Roman" w:cs="Times New Roman" w:eastAsia="Times New Roman"/>
          <w:b/>
          <w:i/>
          <w:szCs w:val="20"/>
        </w:rPr>
        <w:t xml:space="preserve"> i sag C-62/19, Star Taxi App, præmis 60 og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For at en national foranstaltning kan kvalificeres som en "teknisk forskrift", skal den retligt eller faktisk være bindende for leveringen eller anvendelsen af den pågældende tjeneste i en medlemsstat eller en væsentlig del heraf.</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det fremgår af artikel 1, stk. 1, litra f), første afsnit, i direktiv 2015/1535, at der ved "teknisk forskrift" forstås "tekniske specifikationer og andre krav eller forskrifter vedrørende tjenester, herunder de administrative bestemmelser, der gælder herfor, som retligt eller faktisk skal overholdes i tilfælde af markedsføring, levering, etablering af en operatør af tjenester eller anvendelse i en medlemsstat eller en væsentlig del af denne stat, samt medlemsstaternes love og administrative bestemmelser, bortset fra de i artikel 7 omhandlede, om forbud mod fremstilling, import, markedsføring eller anvendelse af et produkt eller forbud mod levering eller anvendelse af en tjeneste eller mod, at en tjenesteyder etablerer sig".</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Det følger heraf, at for at en national lovgivning, der berører en informationssamfundstjeneste, kan kvalificeres som en "teknisk forskrift", skal den ikke blot kvalificeres som en "forskrift vedrørende tjenester" som defineret i artikel 1, stk. 1, litra e), i direktiv 2015/1535, men skal ligeledes retligt eller faktisk være obligatorisk, bl.a. i tilfælde af levering af den pågældende tjeneste eller anvendelse heraf i en medlemsstat eller en væsentlig del af denne."</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Tekniske</w:t>
      </w:r>
      <w:bookmarkEnd w:id="15"/>
      <w:r>
        <w:t xml:space="preserve"> specifikationer</w:t>
      </w:r>
      <w:bookmarkEnd w:id="16"/>
      <w:bookmarkEnd w:id="17"/>
    </w:p>
    <w:p w14:paraId="241DC1E1" w14:textId="77777777">
      <w:pPr>
        <w:pStyle w:val="BodyText"/>
      </w:pPr>
    </w:p>
    <w:p w14:paraId="24A39E18" w14:textId="77777777">
      <w:pPr>
        <w:pStyle w:val="P68B1DB1-BodyText11"/>
        <w:ind w:left="567"/>
      </w:pPr>
      <w:r>
        <w:t xml:space="preserve">"" teknisk specifikation ": en specifikation, der indeholdes i et dokument, som fastlægger karakteristika for et produkt, som f.eks. kvalitet, brugsegenskaber, sikkerhed, dimensioner, herunder forskrifter for varen vedrørende handelsbetegnelse, terminologi, symboler, prøvning og prøvningsmetoder, emballering, mærkning eller etikettering samt procedurer for overensstemmelsesvurdering.</w:t>
      </w:r>
    </w:p>
    <w:p w14:paraId="33F4D1E4" w14:textId="77777777">
      <w:pPr>
        <w:pStyle w:val="P68B1DB1-BodyText11"/>
        <w:ind w:left="567"/>
      </w:pPr>
    </w:p>
    <w:p w14:paraId="5224E321" w14:textId="77777777">
      <w:pPr>
        <w:pStyle w:val="P68B1DB1-BodyText11"/>
        <w:ind w:left="567"/>
        <w:rPr>
          <w:iCs/>
        </w:rPr>
      </w:pPr>
      <w:r>
        <w:t xml:space="preserve">Udtrykket "teknisk specifikation" omfatter også de produktionsmetoder og -processer, der anvendes i forbindelse med landbrugsprodukter som omhandlet i artikel 38, stk. 1, andet afsnit, i traktaten om Den Europæiske Unions funktionsmåde (TEUF), produkter bestemt til konsum og foder samt lægemidler som defineret i artikel 1 i Europa-Parlamentets og Rådets direktiv 2001/83/EF (1) samt produktionsmetoder og processer vedrørende andre produkter, når disse har indvirkning på deres karakteristika ".</w:t>
      </w:r>
    </w:p>
    <w:p w14:paraId="6C2A57E1" w14:textId="77777777">
      <w:pPr>
        <w:pStyle w:val="BodyText"/>
        <w:ind w:left="567"/>
        <w:rPr>
          <w:i/>
          <w:iCs/>
        </w:rPr>
      </w:pPr>
    </w:p>
    <w:p w14:paraId="2F7A4C59" w14:textId="62E0EC95">
      <w:pPr>
        <w:pStyle w:val="BodyText"/>
        <w:ind w:left="1440"/>
        <w:jc w:val="right"/>
      </w:pPr>
      <w:r>
        <w:t xml:space="preserve">(Artikel 1, stk. 1, litra c), i direktiv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Dom af 11. januar 1996</w:t>
        </w:r>
      </w:hyperlink>
      <w:r>
        <w:rPr>
          <w:rFonts w:ascii="Times New Roman" w:hAnsi="Times New Roman" w:cs="Times New Roman" w:eastAsia="Times New Roman"/>
          <w:b/>
          <w:i/>
          <w:szCs w:val="20"/>
        </w:rPr>
        <w:t xml:space="preserve"> i sag C-273/94, Kommissionen mod Nederlandene, præmis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En national forskrift, der indfører en undtagelse fra en eksisterende teknisk forskrift for et bestemt produkt, udgør en "teknisk forskrift", hvis den pålægger alternative "tekniske specifikationer", som enhver, der ønsker at gøre brug af undtagelsen, skal overholde.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Anvendelsen på et bestemt produkt, såsom margarine, af en forskrift, der fraviger en anden allerede eksisterende teknisk forskrift vedrørende samme produkt, udgør en teknisk forskrift i direktivets artikel 1, stk. 5's forstand, idet den fastsætter tekniske specifikationer som omhandlet i artikel 1, stk. 1, som retligt eller faktisk skal overholdes, når produktet markedsføres eller anvendes. Hvis margarine nemlig ikke fremstilles ifølge bestemmelserne i bekendtgørelsen om margarine, kan den kun fremstilles af de erstatningsprodukter, der er tilladt ifølge den omtvistede ordning. Anvendelsen af disse erstatningsprodukter skal ikke alene ske i henhold til bestemmelserne i den omtvistede ordning, men anvendelse af dem er det eneste alternativ til de produkter, der kan bruges i henhold til bekendtgørelsen om margarine. Den anfægtede kendelse burde derfor have været meddelt i overensstemmelse med direktivet."</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Dom af 30. april 1996</w:t>
      </w:r>
      <w:r>
        <w:t xml:space="preserve"> i sag C-194/94</w:t>
      </w:r>
      <w:r>
        <w:rPr>
          <w:b/>
          <w:bCs/>
          <w:i/>
          <w:iCs/>
          <w:color w:val="0000FF"/>
          <w:sz w:val="22"/>
          <w:szCs w:val="18"/>
          <w:u w:val="single"/>
        </w:rPr>
        <w:fldChar w:fldCharType="end"/>
        <w:t xml:space="preserve">, CIA Security International SA, præmis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En regel skal kvalificeres som en "teknisk forskrift", hvis den pålægger de berørte virksomheder at ansøge om forudgående godkendelse af deres udstyr, selv om de påtænkte administrative bestemmelser ikke er blevet vedtaget.</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en forskrift skal kvalificeres som en teknisk forskrift i den forstand, hvori udtrykket er anvendt i direktiv 83/189, når den, således som den belgiske regering har gjort gældende under retsmødet, pålægger de berørte virksomheder at ansøge om forudgående godkendelse af deres udstyr, selv om de påtænkte administrative bestemmelser ikke er blevet vedtaget."</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Dom af 16. september 1996 i sag C-279/94</w:t>
      </w:r>
      <w:r>
        <w:rPr>
          <w:b/>
          <w:bCs/>
          <w:i/>
          <w:iCs/>
          <w:color w:val="0000FF"/>
          <w:sz w:val="24"/>
          <w:szCs w:val="20"/>
          <w:u w:val="single"/>
        </w:rPr>
        <w:fldChar w:fldCharType="end"/>
        <w:t xml:space="preserve">, Kommissionen mod Italien, præmis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En bestemmelse, der fastsætter grænser for koncentrationen af respirable asbestfibre på arbejdspladser, er ikke en "teknisk specifikation", da den ikke definerer de egenskaber, der kræves af et produkt.</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I henhold til direktivets artikel 1, nr. 5, skal der ved udtrykket teknisk forskrift forstås "... tekniske specifikationer, herunder de administrative bestemmelser, der gælder herfor, som retligt eller faktisk skal overholdes, for at et produkt kan markedsføres eller anvendes i én medlemsstat...". Efter direktivets artikel 1, nr. 1, er "tekniske specifikationer" specifikationer, der indeholdes i et dokument, der fastlægger karakteristika for et produkt, som f.eks. kvalitet, brugsegenskaber og sikkerhed. I artikel 3, stk. 1, i lov nr. 257/92 fastlægges grænseværdier for koncentrationen af asbestfibre, der kan indåndes, på arbejdspladser. Da et krævet karakteristikon for et produkt ikke præciseres, henhører denne bestemmelse ikke umiddelbart under definitionen af tekniske forskrifter, og den kan ikke anses for en teknisk forskrift, som skal anmeldes til Kommissionen i henhold til direktivets artikel 8, stk. 1, første afsnit. Selv om overholdelsen af de grænseværdier for koncentrationer af asbestfibre, der kan indåndes, som fastsat i artikel 3 i lov nr. 257/92, kan have konsekvenser for det pågældende produkts egenskaber, således som disse er fastsat i direktivets artikel 1, nr. 1), har Kommissionen ikke godtgjort, hvordan dette kunne være tilfældet."</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Dom af 17. september 1996</w:t>
        </w:r>
      </w:hyperlink>
      <w:r>
        <w:t xml:space="preserve"> i sag C-289/94, Kommissionen mod Italien, præmis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Et dekret om kvalitetsregulering af vand til dyrkning af bløddyr udgør en "teknisk forskrift", der skal anmeldes på grund af dens direkte indvirkning på markedsføringen af de pågældende produkter.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Selv om dekret nr. 256 vedrører forskellige spørgsmål i forbindelse med kvaliteten af det vand, der er bestemt til at modtage spiselige toskallede skaldyr, etableres der herved alligevel, som Kommissionen med føje har fremhævet, en meget snæver sammenhæng mellem kvaliteten af produktionsvandet og markedsføringen af toskallede skaldyr til konsum. Således kan alene skaldyr produceret i vand, der opfylder de tekniske specifikationer ifølge dekret nr. 256, bringes i handelen. Overholdelsen af disse bindende specifikationer har således en direkte indvirkning på markedsføringen af bløddyrene, således at dekret nr. 256 skal betragtes som en teknisk forskrift, der er underlagt anmeldelsespligten i artikel 8 i direktiv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Dom af 11. maj 1999</w:t>
        </w:r>
      </w:hyperlink>
      <w:r>
        <w:t xml:space="preserve">, Albers m.fl., C-425/97427/97, præmis 16 og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Bestemmelserne om forbud mod indgivelse af visse lægemidler til kvæg udgør "tekniske specifikationer", da de definerer produktionsmetoderne for landbrugsprodukter.</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regler, der som i den foreliggende sag har til formål at forhindre indgivelse af sympatomimetiske stoffer til opfedning af kvæg, der er over 14 uger gamle, udgør tekniske specifikationer som omhandlet i artikel 1, stk. 1, i direktiv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Disse regler definerer produktionsmetoder og -procedurer for landbrugsprodukter som defineret i EF-traktatens artikel 38, stk. 1 (efter ændring nu artikel 32, stk. 1, EF), til konsum."</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Dom af 22. januar 2000</w:t>
        </w:r>
      </w:hyperlink>
      <w:r>
        <w:t xml:space="preserve"> i sag C-390/99, Canal Satélite Digital, præmis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En national forskrift, der kræver forudgående registrering og certificering af udstyr til digital transmission og modtagelse af satellitbaserede tv-signaler, inden det markedsføres, udgør en "teknisk forskrift", idet den definerer de pågældende produkters egenskaber.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Domstolen har allerede fastslået, at nationale bestemmelser, der begrænser sig til at fastsætte betingelser for etablering af virksomheder, såsom bestemmelser, der underlægger udøvelsen af en aktivitet en forudgående tilladelse, ikke udgør tekniske forskrifter som omhandlet i artikel 1, nr. 9), i direktiv 83/189. Tekniske forskrifter i denne bestemmelses forstand er specifikationer, der definerer produkternes egenskaber, og ikke specifikationer vedrørende erhvervsdrivende (dom af 1996, sag C-194/94, CIA Security, Sml. I, s. 2201, præmis 25, Dom af 2001, sag C-278/99, Van der Burg, Sml. I, s. 2015, præmis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En national bestemmelse må derimod anses for at være en "teknisk forskrift" i den forstand, hvori udtrykket anvendes i artikel 1, nr. 9, i direktiv 83/189, når den pålægger de berørte virksomheder en pligt til at ansøge om forudgående godkendelse for deres materiel (jf. CIA Security International-dommen, præmis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Det følger heraf, at en national bestemmelse, der pålægger operatører af adgangsstyringstjenester at indføre udstyr, dekodere eller systemer til digital transmission og modtagelse af tv-signaler via satellit, som de agter at markedsføre i et register, og at opnå forudgående certificering for disse produkter, inden de kan markedsføre dem, udgør en "teknisk forskrift" som omhandlet i artikel 1, nr. 9), i direktiv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Dom af 26. september 2000</w:t>
        </w:r>
      </w:hyperlink>
      <w:r>
        <w:t xml:space="preserve"> i sag C-443/98, Unilever Italia, præmis 25 og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En bestemmelse om mærkning af olivenolies oprindelse er en "teknisk specifikation", da den er et krav, der regulerer mærkningen af et produkt.</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Det er i denne forbindelse tilstrækkeligt at bemærke, at direktiv 83/189 i henhold til dets artikel 1, stk. 1, sidestiller såvel industri- som landbrugsvarer som "produkter", og at direktiv 83/189 i henhold til samme artikels stk. 2 sidestiller enhver specifikation, der er indeholdt i et dokument, som fastlægger de egenskaber, der kræves af et produkt, herunder de mærkningskrav, der gælder for produktet, som en "teknisk specifikation". Nationale regler, der indeholder sådanne specifikationer, udgør tekniske specifikationer som omhandlet i direktiv 83/189, uafhængigt af de grunde, som har begrundet deres vedtagelse (jf. i denne retning dom af 1997, sag C-13/96, Bic Benelux, Sml. I, s. 1753, præmis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Den anfægtede lov, der regulerer mærkning med angivelse af olivenoliens oprindelse, indeholder således regler, der skal kvalificeres som "tekniske specifikationer" i den forstand, hvori udtrykket er anvendt i direktiv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Dom af 12. oktober 2000</w:t>
        </w:r>
      </w:hyperlink>
      <w:r>
        <w:t xml:space="preserve"> i sag C-314/98, Snellers, præmis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En "teknisk specifikation" skal vedrøre produktet som sådan. En forordning, der fastsætter kriterierne for fastsættelse af datoen for, hvornår et køretøj anses for første gang at have fået tilladelse til at køre på offentlig vej med henblik på udstedelse af en registreringsattest, definerer ikke nogen egenskab, der kræves for selve varen, og kan derfor ikke kvalificeres som en "teknisk forskrift".</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regler, der som de i hovedsagen omhandlede har til formål at fastsætte datoen for den første godkendelse af et køretøj til færdsel på offentlig vej, er ikke tekniske specifikationer som omhandlet i direktiv 83/189 og kan derfor ikke kvalificeres som tekniske forskrifter, der er omfattet af dette direktivs anvendelsesområde.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Artikel 1, stk. 1, i direktiv 83/189 bestemmer, at for så vidt angår produkter som de i hovedsagen omhandlede er en teknisk specifikation i dette direktivs forstand "en specifikation, der indeholdes i et dokument, der fastlægger de egenskaber, der kræves af et produkt. De tekniske specifikationer som omhandlet i direktiv 83/189 skal således henvise til produktet som sådan. dette bekræftes i øvrigt af den ikke-udtømmende liste over de pågældende specifikationer, der er anført som eksempler i dette direktivs artikel 1, stk. 1.</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Forordningen fastsætter en række kriterier for fastsættelse af datoen for, hvornår et køretøj i henhold til Wegenverkeerswet anses for første gang at have fået tilladelse til at benytte offentlig vej med henblik på udfærdigelse af en registreringsattest. Forordningen definerer derfor ikke nogen egenskaber, der kræves af produktet som sådan."</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Dom af 16. november 2000</w:t>
        </w:r>
      </w:hyperlink>
      <w:r>
        <w:rPr>
          <w:rFonts w:ascii="Times New Roman" w:hAnsi="Times New Roman" w:cs="Times New Roman" w:eastAsia="Times New Roman"/>
          <w:b/>
          <w:i/>
          <w:szCs w:val="20"/>
        </w:rPr>
        <w:t xml:space="preserve"> i sag C-37/99, Donkersteeg, præmis 30 og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For landbrugsprodukter er en "teknisk specifikation" en tekst, der definerer de krævede karakteristika eller produktionsmetoder. En regel, der fastsætter betingelserne for vaccination af husdyr, er en produktionsregel og dermed en "teknisk specifikation".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Som anført i denne doms præmis 20 er en "teknisk specifikation" i henhold til direktivets artikel 1, stk. 1, for så vidt angår landbrugsprodukter indeholdt i et dokument, der fastlægger de karakteristika, der kræves af et produkt, eller dets fremstillingsmetoder og -procedurer.</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En regel som den, der er indeholdt i VBZA's artikel 2, stk. 1, er en teknisk specifikation som omhandlet i direktivets artikel 1, stk. 1. Som Kommissionen med rette har anført, er de præcise og detaljerede regler vedrørende vaccination mod Aujeszkys sygdom knyttet til produktionen i snæver forstand af det pågældende landbrugsprodukt og skal overholdes i hele produktionscyklussen, hvorfor denne regel definerer en "fremgangsmåde" ved fremstillingen af dette produkt."</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Dom af 8. marts 2001</w:t>
        </w:r>
      </w:hyperlink>
      <w:r>
        <w:t xml:space="preserve"> i sag C-278/99, Van der Burg, præmis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En forordning, der blot forbyder kommerciel reklame, men som ikke fastsætter de egenskaber, der kræves af et produkt, udgør ikke en "teknisk specifikation" og kan derfor ikke anses for en "teknisk forskrift".</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I henhold til artikel 1, stk. 1, i direktiv 83/189 er en "teknisk specifikation" i henhold til dette direktiv "en specifikation, der indeholdes i et dokument, der fastlægger karakteristika for et produkt". De tekniske specifikationer i direktiv 83/189's forstand skal således henvise til selve produktet (jf. dom af 2000, sag C-314/98, Snellers Auto's, Sml. I, s. 0000, præmis 38). En lovgivning som dekretets artikel C.11.1 (1), der blot forbyder en markedsføringsmetode, fastsætter imidlertid ikke de karakteristika, der kræves af et produkt."</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Dom af 6. juni 2002</w:t>
        </w:r>
      </w:hyperlink>
      <w:r>
        <w:t xml:space="preserve"> i sag C-159/00, Sapod Audic, præmis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En bestemmelse i national ret, der fastsætter en forpligtelse til at identificere en emballage, udgør en "teknisk forskrift", der skal meddeles, for så vidt som den indebærer en forpligtelse til at mærke eller mærke denne emballage.</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Eftersom den forpligtelse til at identificere emballagen, der er fastsat i artikel 4, andet afsnit, i dekret nr. 92-377, ikke synes at indebære en forpligtelse til at mærke eller mærke denne emballage, synes denne forpligtelse ikke nødvendigvis at henvise til produktet eller dets emballage som sådan. Fortolket således fastsætter denne bestemmelse ikke de karakteristika, der kræves af et produkt i artikel 1, stk. 1, i direktiv 83/189's forstand, og kan derfor ikke betragtes som en teknisk specifikation (jf. bl.a. dom af 2001, sag C-278/99, Van der Burg, Sml. I, s. 2015, præmis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31.Det bemærkes imidlertid, at det i henhold til kompetencefordelingen i artikel 234 EF tilkommer den nationale ret at fortolke national ret, i det foreliggende tilfælde artikel 4, stk. 92, i dekret nr. 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Følgelig skal det ligeledes undersøges, om den forelæggende ret, henset til samtlige de faktiske og retlige omstændigheder, der er fremlagt for den, når frem til den konklusion, at artikel 4, stk. 92, i dekret nr. 377- skal fortolkes således, at den pålægger producenterne en forpligtelse til at mærke eller etikettere emballagen, uden at det præciseres, hvilket tegn der skal anbringes.</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 et sådant tilfælde må det fastslås, at denne bestemmelse faktisk udgør en teknisk specifikation som omhandlet i direktiv 83/189, og at denne bestemmelse følgelig udgør en teknisk forskrift, eftersom denne forpligtelse er pålagt ved dekret i tilfælde af markedsføring af emballerede produkter på hele det nationale område."</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Dom af 8. september 2005</w:t>
        </w:r>
      </w:hyperlink>
      <w:r>
        <w:t xml:space="preserve">, C-500/03, Kommissionen mod Portugal, præmis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En regel, der fastsætter en maksimal længde og højde for fritidsfartøjer og begrænser dets fremdriftseffekt, er en "teknisk specifikation".</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(Da dommen kun foreligger på fransk og portugisisk, er følgende tekst en oversættelse.)</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Det fremgår af ordlyden af denne forordnings artikel 2, stk. 1, at den indeholder tekniske specifikationer som omhandlet i artikel 1, nr. 3), i direktiv 98/34, der udgør tekniske forskrifter i dette direktivs forstand. Kravene i denne forordning vedrører den maksimale længde og højde og begrænsningen af fremdrivningseffekten for lystfartøjer, der anvendes til sejlads. Disse tekniske begrænsninger gælder for alle offentlige vandlaguner i den offentlige tjeneste i Portugal med undtagelse af vandlagunerne i Douro-floden."</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Dom af 8. november 2007</w:t>
        </w:r>
      </w:hyperlink>
      <w:r>
        <w:t xml:space="preserve"> i sag C-20/05, Schwibbert, præmis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Nationale bestemmelser, der indfører en forpligtelse til at anbringe et kendetegn på varer med henblik på markedsføring i en medlemsstat, udgør en "teknisk specifikation", da der er tale om krav til mærkning og etikettering af varer.</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Som Domstolen har fastslået, forudsætter begrebet teknisk specifikation, at den nationale foranstaltning henviser til produktet eller dets emballage som sådan og således fastlægger et af de kendetegn, der kræves af et produkt (jf. i denne retning dom af 2001, sag C-278/99, van der Burg, Sml. I, s. 2015, præmis 20, Sag C-390/99, Canal Satélite Digital, Sml. 2002 I, s. 607, præmis 45, og Sapod Audic, præmis 30, og Lindberg-dommen, præmis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I det foreliggende tilfælde er det, således som generaladvokaten har anført i punkt 46 og 48 i forslaget til afgørelse, klart, at tegnet "SIAE", der har til formål at oplyse forbrugerne og de nationale myndigheder om, at reproduktioner er lovlige, er anbragt på selve mediet, der indeholder det intellektuelle værk, og dermed på selve varen. Det er derfor ikke rigtigt som Società Italiana degli Autori ed Editori og den italienske regering at gøre gældende, at dette mærke kun vedrører det intellektuelle værk.</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Et sådant kendetegn udgør en "teknisk specifikation" i den forstand, hvori udtrykket er anvendt i artikel 1, stk. 3, i direktiv 98/34, eftersom det er omfattet af de krav, der finder anvendelse på de omhandlede produkter med hensyn til mærkning eller etikettering. Da overholdelsen af denne specifikation retligt er obligatorisk for markedsføringen af disse produkter, udgør specifikationen derfor en "teknisk forskrift" som omhandlet i direktivets artikel 1, stk. 11 (jf. i denne retning dom af 1997, sag C-13/96, Bic Benelux, Sml. I, s. 1753, præmis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Dom af 14. april 2011</w:t>
        </w:r>
      </w:hyperlink>
      <w:r>
        <w:t xml:space="preserve">, Vlaamse Dierenartsenvereniging og Janssens (C-42/10, C-45/10 og C-57/10), præmis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Direktivet finder ikke anvendelse på kæledyrspas, der ikke kan klassificeres som "produkter", fordi de ikke kan være genstand for handelstransaktioner. Nationale bestemmelser om kæledyrspas er derfor ikke nogen "teknisk specifikation", som skal meddeles Kommissionen.</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Domstolen har haft lejlighed til at præcisere, at kun produkter, der kan værdiansættes i penge, og som som sådan kan være genstand for handelstransaktioner, er omfattet af anvendelsesområdet for de frie varebevægelser (jf. i denne retning bl.a. dom af 1968, sag 7/68, Kommissionen mod Italien, Sml. s. 617, på s. 626, og af 2006, sag C-65/05, Kommissionen mod Grækenland, Sml. I, s. 10341, præmis 23-25).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Det er ubestridt, at passene for selskabsdyr, idet de er forsynet med et entydigt nummer og identificerer et bestemt dyr, ikke som sådan vil kunne gøres til genstand for forretningsmæssige transaktioner.</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Disse pas kan derfor ikke kvalificeres som "produkter" i den forstand, hvori udtrykket er anvendt i Domstolens praksis. direktiv 98/34 kan heller ikke finde anvendelse på dem. Følgelig kan specifikationer som dem, der er indeholdt i den i hovedsagen omhandlede belgiske lovgivning, ikke kvalificeres som tekniske specifikationer, der i henhold til dette direktivs artikel 8 skal meddeles Kommissionen på forhånd, og i modsat fald skal de ikke anvendes af den nationale ret (jf. i denne retning dom af 2007, sag C-20/05, Schwibbert, Sml. I, s. 9447, præmis 33 og 44 og den deri nævnte retspraksis)."</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Dom af 9. juni 2011</w:t>
        </w:r>
      </w:hyperlink>
      <w:r>
        <w:t xml:space="preserve"> i sag C-361/10, Intercommunale Intermosane og Fédération de l'industrie et du gaz, præmis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Nationale bestemmelser, der fastsætter minimumsforskrifter for konstruktion af elektriske installationer og arbejdstagernes sikkerhed, udgør ikke "tekniske specifikationer", da de fastsætter generelle sikkerheds- og beskyttelsesmål uden direkte at henvise til et produkt eller dets emballage og uden at definere dets egenskaber.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det skal afgøres, om de i hovedsagen omhandlede nationale bestemmelser henhører under den første kategori af tekniske forskrifter, der er fastsat i artikel 1, stk. 11, i direktiv 98/34, dvs. begrebet "teknisk specifikation".</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Det følger af retspraksis, at dette begreb, der er defineret i direktivets artikel 1, stk. 3, forudsætter, at den nationale foranstaltning nødvendigvis henviser til produktet eller dets emballage som sådan og således fastlægger et af de kendetegn, der kræves af et produkt (jf. Schwibbert-dommen, præmis 35 og den deri nævnte retspraksis).</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Hvad angår de i hovedsagen omhandlede nationale bestemmelser bemærkes, at de minimumsforskrifter vedrørende udførelsen af visse elektriske installationer, som er fastsat i disse bestemmelser, har til formål at garantere sikkerhed for disse installationer med henblik på beskyttelse af de arbejdstagere, der anvender disse.</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Det skal fastslås, at disse minimumsforskrifter indeholder en række krav og generelle formål vedrørende sikkerhed og beskyttelse uden nødvendigvis at henvise til det omhandlede produkt eller produktets emballering som sådan og følgelig ikke fastlægger produktets egenskaber.</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Følgelig indeholder de i hovedsagen omhandlede nationale bestemmelser ikke tekniske specifikationer som omhandlet i direktiv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Dom af 19. juli 2012</w:t>
        </w:r>
      </w:hyperlink>
      <w:r>
        <w:t xml:space="preserve">, Fortuna m.fl. (C-213/11, C-214/11 og C-217/11), præmis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Nationale bestemmelser, der begrænser driften af billige spilleautomater uden for kasinoer, er ikke "tekniske forskrifter", da de ikke henviser til spilleautomaters karakteristika eller emballage.</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for at en national foranstaltning kan henhøre under den første kategori af tekniske forskrifter, der er omhandlet i artikel 1, stk. 11, i direktiv 98/34, dvs. under begrebet "teknisk specifikation", skal denne foranstaltning nødvendigvis henvise til produktet eller dets emballage som sådan og således fastlægge et af de kendetegn, der kræves af et produkt (jf. dommen i sagen Intercommunale Intermosane og Fédération de l'industrie et du gaz, præmis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Det bemærkes, at overgangsbestemmelserne i lov om hasardspil vedrører tilladelser til at udøve virksomhed med automatspil med mindre gevinster. De vedrører ikke spilleapparater med mindre gevinster eller deres emballering som sådan og fastsætter således ikke produkternes kendetegn.</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Følgelig indeholder de i hovedsagen omhandlede nationale bestemmelser ikke tekniske specifikationer som omhandlet i direktiv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Dom af 10. juli 2014</w:t>
        </w:r>
      </w:hyperlink>
      <w:r>
        <w:rPr>
          <w:sz w:val="25"/>
        </w:rPr>
        <w:t>i</w:t>
      </w:r>
      <w:r>
        <w:rPr>
          <w:b/>
          <w:i/>
        </w:rPr>
        <w:t>sag</w:t>
      </w:r>
      <w:r>
        <w:rPr>
          <w:b/>
          <w:i/>
        </w:rPr>
        <w:t xml:space="preserve"> C-307/13, Ivansson m.fl.</w:t>
      </w:r>
      <w:r>
        <w:rPr>
          <w:b/>
          <w:i/>
        </w:rPr>
        <w:t xml:space="preserve">, præmis 19-23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En regel, der fastsætter et generelt mål om fjerkræets komfort og opdrætsfaciliteternes kvalitet, er ikke en "teknisk specifikation", da den ikke fastlægger produktets egenskaber og ikke er tilstrækkelig præcis til at definere en produktionsmetode.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Det bemærkes, at dette begreb [tekniske specifikationer] i henhold til retspraksis forudsætter, at den nationale foranstaltning nødvendigvis henviser til produktet eller dets emballage som sådan og således fastlægger et af de kendetegn, der kræves af et produkt (jf. i denne retning dommen i sagen Fortuna m.fl., præmis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For så vidt angår landbrugsprodukter har Domstolen desuden fastslået, at en teknisk specifikation er en specifikation, der er indeholdt i et dokument, der fastlægger de karakteristika, der kræves af et produkt, eller af dets fremstillingsmetoder og -procedurer (jf. i denne retning dom Donkersteeg, C-37/99, Hongkong, præmis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Det skal for det første bemærkes, at selv om djurskyddsförordningens § 9 vedrører komforten i og kvaliteten af de anlæg, hvor høner til ægproduktion opstaldes, dvs. de stimulusberigede bure, definerer denne bestemmelse imidlertid ikke, således som den polske regering har anført, de karakteristika, som de i hovedsagen omhandlede produkter skal have.</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Selv om det for det andet kunne antages, at denne bestemmelse omhandler en fremstillingsmetode, idet den, som anført i ovenstående præmis, vedrører opstaldning af høner til ægproduktion i stimulusberigede bure, skal det dog bemærkes, at den nævnte bestemmelse begrænser sig til generelt at nævne kravet om, at der skal være reder, siddepinde og støvbade i disse anlæg, uden dog specifikt at fastlægge de forskellige aspekter ved dette opstaldningsanlæg. Djurskyddsförordningens § 9 indeholder nemlig ikke nogen angivelser om f.eks. de nævnte indretningers dimensioner, antal, temperatur og vedligeholdelse, om, hvordan de fungerer med hensyn til det antal timer med lys, som hønsene skal have, eller om fodrings- og drikkeanlæggene. Da djurskyddsförordningens § 9 ikke indeholder nogen som helst præcisering, kan den således ikke anses for at betegne en fremstillingsmetode eller proces.</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Det skal endvidere bemærkes, at DSF's § 9, stk. 17, ved at anføre, at "opstaldningsordningen skal være af en sådan art, at dødeligheden og adfærden hos hønerne holdes på et lavt niveau", begrænser sig til at fastsætte generelle mål vedrørende æghøners velbefindende uden nødvendigvis at henvise til det pågældende produkt og dermed uden at fastlægge produktets egenskaber (jf. analogt dommen i sagen Intercommunale Intermosane og Fédération de l'Industrie et du gaz, C-361/10, Hongkong, præmis)."</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Dom af 27. oktober 2016</w:t>
        </w:r>
      </w:hyperlink>
      <w:r>
        <w:t xml:space="preserve"> i sag C-613/14, James Elliott Construction, præmis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Nationale bestemmelser, der fastsætter implicitte kontraktvilkår vedrørende kvaliteten af de solgte produkter, udgør ikke "tekniske specifikationer", da de ikke definerer det pågældende produkts egenskaber.</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I det foreliggende tilfælde fremgår det for det første, at bestemmelser som de i hovedsagen omhandlede enten i sig selv eller som fortolket af de irske domstole ikke er omfattet af begrebet "teknisk specifikation" som omhandlet i artikel 1, stk. 3, i direktiv 98/34. Dette begreb omfatter kun nationale foranstaltninger, der henviser til et produkt eller dets emballage som sådan og således fastlægger et af de kendetegn, der kræves af et produkt (dom af 10. juli 2014, Ivansson m.fl.,</w:t>
        <w:noBreakHyphen/>
        <w:t xml:space="preserve">C 307/13, præmis 19 og den deri nævnte retspraksis). Dette er naturligvis ikke tilfældet for et krav, der generelt gælder for salg af alle varer, medmindre parterne har aftalt andet."</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Dom af 1. februar 2017</w:t>
        </w:r>
      </w:hyperlink>
      <w:r>
        <w:t xml:space="preserve"> i sag C-144/16, Município de Palmela, præmis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En forordning, der kræver, at der i et fritidsområde vises oplysninger om dette områdes maksimale kapacitet, udgør ikke en "teknisk specifikation", da den ikke fastsætter et produkts egenskaber.</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en sådan bestemmelse er ikke omfattet af kategorien tekniske specifikationer som omhandlet i artikel 1, stk. 3, i direktiv 98/34, for så vidt som det er ubestridt, at de bestemmelser, der fastsætter kravene til og de generelle formål med hensyn til sikkerhed og beskyttelse, uden nødvendigvis at henvise til det pågældende produkt eller dets emballage som sådan og dermed uden at fastlægge produktets egenskaber, ikke udgør tekniske specifikationer (jf. i denne retning dom af 9. juni 2011, Intercommunale Intermosane og Fédération de l'industrie et du gaz, C-361/10, EU:C:17:18, præmis og)."</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Dom af 26. september 2018</w:t>
        </w:r>
      </w:hyperlink>
      <w:r>
        <w:t xml:space="preserve"> i sag C-137/17, Van Gennip m.fl., præmis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der gør markedsføringen af produkter betinget af, at køberen er i besiddelse af en tilladelse, er ikke omfattet af begrebet "teknisk specifikation", da de ikke definerer egenskaberne ved selve produktet eller dets emballage.</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Hvad for det første angår begrebet "teknisk specifikation" bemærkes, at dette begreb forudsætter, at den nationale foranstaltning nødvendigvis henviser til produktet eller dets emballage som sådan og derfor fastlægger et af de kendetegn, der kræves af et produkt, såsom dimensioner, salgsbetegnelse, etikettering eller mærkning (dom af 10. juli 2014, Ivansson m.fl., C 307/13</w:t>
        <w:noBreakHyphen/>
        <w:t xml:space="preserve">, præmis 19 og den deri nævnte retspraksis). Som generaladvokaten har anført i punkt 74 i forslaget til afgørelse, henviser den belgiske lovgivning imidlertid ikke til pyrotekniske artikler eller deres emballage som sådan, hvorfor denne lovgivning ikke fastsætter et af de krævede kendetegn ved disse produkter. Denne lovgivning udgør derfor ikke en "teknisk specifikation" som omhandlet i artikel 1, nr. 3), i direktiv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Dom af 28. maj 2020</w:t>
        </w:r>
      </w:hyperlink>
      <w:r>
        <w:t xml:space="preserve"> i sag C-727/17, ECO-WIND Construction, præmis 36 og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En forordning, der fastsætter en minimumsafstand for installation af vindmøller, udgør ikke en "teknisk specifikation", da den ikke fastsætter produktets egenskaber.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hvad angår en eventuel klassificering af det samme krav som en teknisk forskrift med den begrundelse, at det henhører under kategorien "tekniske specifikationer", skal det bemærkes, at en teknisk specifikation forudsætter, at den nationale foranstaltning, der foreskriver den, henviser til produktet eller dets emballage som sådan, og at den derfor fastsætter et af de kendetegn, der kræves af dette produkt (dom af 21. april 2005, Lindberg, C-267/03, præmis 57, og af 19. juli 2012, Fortuna m.fl., C-213/11, C-214/11 og C-217/11, -dommen, præmis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Den i hovedsagen omhandlede lovgivning begrænser sig imidlertid til at regulere opstillingen af vindmøllerne, idet den fastsætter en begrænsning i form af en minimumsafstand, der skal overholdes i forbindelse med deres opstilling. Følgelig henviser denne lovgivning ikke til et produkt som sådan, i det foreliggende tilfælde vindgeneratoren, og fastsætter derfor ikke et af de kendetegn, der kræves for dette produkt som omhandlet i artikel 1, stk. 1, litra f), i direktiv 2015/1535, sammenholdt med dette direktivs artikel 1, stk. 1, litra c)."</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Dom af 22. oktober 2020</w:t>
        </w:r>
      </w:hyperlink>
      <w:r>
        <w:t xml:space="preserve"> i sag C-275/19, Sportingbet og Internet Opportunity Entertainment, præmis 42 og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En national lovgivning, der forbeholder staten driften af hasardspil og kræver, at der kun gives tilladelse til offentlige selskaber, er ikke en "teknisk specifikation", da den ikke definerer de egenskaber, der kræves af et produkt.</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I henhold til artikel 1, stk. 1, i direktiv 83/189 er en "teknisk specifikation" som omhandlet i dette direktiv den specifikation, der indeholdes i et dokument, der fastlægger karakteristika for et produkt, som f.eks. kvalitet, brugsegenskaber, sikkerhed, dimensioner, herunder terminologiske forskrifter for varen, symboler, prøvning og prøvningsmetoder, emballering, mærkning eller etikettering (jf. i denne retning dom af 8. marts 2001, van der Burg, C-278/99, -dommen, præmis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Eftersom artikel 3 og 9 i lovdekret nr. 422/89 fastsætter koncessionsregler for drift af hasardspil eller pengespil samt betingelserne og zonerne for udøvelsen af denne virksomhed, fremgår det ikke, at disse bestemmelser vedrører de karakteristika, der kræves for et produkt som omhandlet i artikel 1, stk. 1, i direktiv 83/189, således at de ikke kan kvalificeres som "tekniske forskrifter" som omhandlet i dette direktivs artikel 1, stk. 5."</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Andre krav</w:t>
      </w:r>
      <w:bookmarkEnd w:id="46"/>
      <w:bookmarkEnd w:id="47"/>
    </w:p>
    <w:p w14:paraId="48370E42" w14:textId="77777777">
      <w:pPr>
        <w:pStyle w:val="BodyText"/>
      </w:pPr>
    </w:p>
    <w:p w14:paraId="032AC50F" w14:textId="77777777">
      <w:pPr>
        <w:pStyle w:val="P68B1DB1-BodyText11"/>
        <w:ind w:left="567"/>
        <w:rPr>
          <w:i/>
        </w:rPr>
      </w:pPr>
      <w:r>
        <w:t xml:space="preserve">"" andre krav ": et krav, bortset fra tekniske specifikationer, der pålægges et produkt med det formål at beskytte navnlig forbrugerne eller miljøet, og som vedrører produktets livscyklus, efter at det er blevet bragt i omsætning, såsom betingelser for anvendelse, genanvendelse, genbrug eller bortskaffelse, når disse betingelser kan have betydelig indflydelse på sammensætningen af produktet, dets art eller afsætningen heraf"</w:t>
      </w:r>
    </w:p>
    <w:p w14:paraId="1AD68414" w14:textId="77777777">
      <w:pPr>
        <w:pStyle w:val="BodyText"/>
        <w:ind w:left="567"/>
        <w:rPr>
          <w:i/>
          <w:iCs/>
        </w:rPr>
      </w:pPr>
    </w:p>
    <w:p w14:paraId="3295AC84" w14:textId="258D2B2D">
      <w:pPr>
        <w:pStyle w:val="BodyText"/>
        <w:ind w:left="1440"/>
        <w:jc w:val="right"/>
      </w:pPr>
      <w:r>
        <w:t xml:space="preserve">(Artikel 1, stk. 1, litra d), i direktiv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Dom af 21. april 2005</w:t>
        </w:r>
      </w:hyperlink>
      <w:r>
        <w:t xml:space="preserve"> i sag C-267/03, Lindberg, præmis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Et nationalt forbud mod visse hasardspil kan kvalificeres som et "andet krav", hvis det kan påvirke produktets sammensætning, art eller markedsføring. Hvis forbuddet imidlertid ikke giver mulighed for anvendelse af produktet, vil det blive beskrevet som en forbudsbestemmelse (se del I, subpart e. "Forbudsklausuler" i dette dokument).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det må fastslås, at en national foranstaltning som det i hovedsagen omhandlede synes specifikt at være omfattet af begrebet "andre krav", der er indsat ved direktiv 94/10 i direktiv 83/189, med henblik på at udvide dets anvendelsesområde, og at den derfor ikke henhører under kategorien tekniske specifikationer.</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Der er nemlig tale om et krav vedrørende et produkt, dvs. spilleautomater, som er pålagt af hensyn til forbrugerbeskyttelsen, i det foreliggende tilfælde de pågældende spillere.</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Et forbud som det, der er fastsat i de relevante bestemmelser i lotteriloven med senere ændringer, vedrører således anvendelsen af et produkt som omhandlet i artikel 1, stk. 9, i direktiv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Desuden er det i hovedsagen omhandlede krav ikke pålagt spilleautomater med henblik på markedsføring, men vedrører deres livscyklus efter markedsføringen som omhandlet i definitionen af "andre krav" i artikel 1, stk. 3, i direktiv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For at være omfattet af "andre krav" i den forstand, hvori udtrykket er anvendt i artikel 1, stk. 3, i direktiv 83/189, skal et krav som det i hovedsagen omhandlede forbud mod anvendelse af spilleautomater udgøre en "betingelse", i det foreliggende tilfælde for brug, som kan påvirke produktets sammensætning, art eller markedsføring væsentligt.</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Der opstår imidlertid det spørgsmål, om dette forbud skal anses for en "betingelse" for anvendelsen af det pågældende produkt, eller om det snarere er en national foranstaltning, der henhører under den tredje kategori af tekniske forskrifter, der er omhandlet i artikel 1, stk. 9, i direktiv 83/189, som også blev indført ved direktiv 94/10, nemlig "medlemsstaternes lovgivning [...] om forbud mod fremstilling, import, markedsføring eller anvendelse af et produkt".</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Afgørelsen af, om en national bestemmelse som den, der er genstand for hovedsagen, tilhører den ene eller den anden af disse kategorier, afhænger af rækkevidden af det forbud, der er indeholdt i denne bestemmelse.</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I denne henseende er det vigtigt, at denne tredje kategori af tekniske forskrifter, der er defineret i artikel 1, stk. 9, i direktiv 83/189, til forskel fra den anden kategori, der består af andre krav som omhandlet i artikel 1, stk. 3, i direktiv, ikke omfatter en betingelse om, at det pågældende forbud skal være af en sådan art, at det i væsentlig grad påvirker sammensætningen af produktet, dets art eller markedsføringen heraf.</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For så vidt som denne tredje kategori af tekniske forskrifter vedrører et forbud mod bl.a. anvendelse, skal der være tale om foranstaltninger, der har en rækkevidde, der klart går videre end en begrænsning af visse mulige former for anvendelse af det pågældende produkt, og som således ikke begrænser sig til en simpel indskrænkning af produktets anvendelsesmuligheder.</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Således som generaladvokaten har anført i punkt 70 i forslaget til afgørelse, omfatter denne kategori af tekniske forskrifter nærmere bestemt nationale bestemmelser, der ikke giver mulighed for former for anvendelse af det pågældende produkt, som det med rimelighed kunne forventes anvendt til, men derimod kun for rent marginale former for anvendelse. Det tilkommer den forelæggende ret at undersøge, om dette er tilfældet for så vidt angår det forbud, der er indeholdt i den nationale bestemmelse, der er genstand for hovedsagen.</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Hvis det efter en sådan undersøgelse foretaget af den forelæggende ret skulle vise sig, at dette ikke er tilfældet i hovedsagen, kan denne nationale bestemmelse anses for at være et "andet krav", eftersom det er ubestridt, at overholdelsen af dette krav de jure er obligatorisk for anvendelsen af produktet i den pågældende medlemsstat som omhandlet i artikel 1, stk. 9, i direktiv 83/189. I så fald tilkommer det imidlertid også den forelæggende ret at efterprøve, om det omhandlede forbud i væsentlig grad kan påvirke sammensætningen, arten eller markedsføringen af produktet som omhandlet i artikel 1, stk.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Dom af 9. juni 2011</w:t>
        </w:r>
      </w:hyperlink>
      <w:r>
        <w:t xml:space="preserve"> i sag C-361/10, Intercommunale Intermosane og Fédération de l'industrie et du gaz, præmis 20 og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Nationale bestemmelser, der fastsætter minimumsforskrifter for konstruktion af elektriske installationer og arbejdstagernes sikkerhed, kan ikke kvalificeres som "andre krav", da deres generelle karakter ikke gør det muligt i væsentlig grad at påvirke sammensætningen, arten eller markedsføringen af de pågældende produkter.</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Det følger af retspraksis, at for at kunne kvalificeres som "andre krav" som omhandlet i artikel 1, stk. 4, i direktiv 98/34 skal de minimumskrav, der er fastsat i de omhandlede bestemmelser, udgøre "betingelser", der kan have betydelig indflydelse på det pågældende produkts sammensætning, art eller markedsføring (jf. i denne retning Lindberg-dommen, præmis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Henset til de nævnte kravs generelle karakter kan de ikke udgøre sådanne betingelser og derfor ikke kvalificeres som "andre krav" i den forstand, hvori udtrykket er anvendt i direktivets artikel 1, stk. 4."</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Dom af 19. juli 2012</w:t>
        </w:r>
      </w:hyperlink>
      <w:r>
        <w:t xml:space="preserve">, Fortuna m.fl. (C-213/11, C-214/11 og C-217/11), præmis 35, 36 og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Nationale bestemmelser, der begrænser driften af spilleautomater uden for kasinoer, kan kvalificeres som "andre krav" og dermed som "tekniske forskrifter", hvis de i væsentlig grad påvirker arten eller markedsføringen af de pågældende produkter.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Domstolen har fastslået, at de omhandlede nationale foranstaltninger for at kunne kvalificeres som "andre krav" i den forstand, hvori udtrykket er anvendt i artikel 1, stk. 4, i direktiv 98/34, skal udgøre "betingelser", der kan have betydelig indflydelse på det pågældende produkts sammensætning, art eller markedsføring (jf. i denne retning Lindberg-dommen, præmis 72, og dommen i sagen Intercommunale Intermosane og Fédération de l'industrie et du gaz, præmis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Det bemærkes herved, at overgangsbestemmelserne i lov om hasardspil fastsætter betingelser, som kan påvirke salget af apparater til automatspil med mindre gevinster. Forbuddet mod at udstede, udvide eller ændre tilladelser til virksomhed i forbindelse med automatspil med mindre gevinster uden for kasinoer kan direkte påvirke handelen med spilleautomater med mindre gevinster."</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de forelagte spørgsmål skal besvares med, at artikel 1, stk. 11, i direktiv 98/34 skal fortolkes således, at nationale bestemmelser som dem, der er indeholdt i lov om hasardspil, og som kan begrænse eller endog gradvist gøre det umuligt at drive spil på automater med mindre gevinster andre steder end i kasinoer og spillehaller, kan udgøre "tekniske forskrifter" som omhandlet i denne bestemmelse, hvis udkast skal gøres til genstand for den i direktivets artikel 8, stk. 1, første afsnit, omhandlede meddelelse, for så vidt som det er godtgjort, at disse bestemmelser udgør betingelser, der i væsentlig grad kan påvirke arten eller markedsføringen af det pågældende produkt, hvilket det tilkommer den forelæggende ret at efterprøve."</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Dom af 10. juli 2014</w:t>
        </w:r>
      </w:hyperlink>
      <w:r>
        <w:rPr>
          <w:sz w:val="25"/>
        </w:rPr>
        <w:t>i</w:t>
      </w:r>
      <w:r>
        <w:rPr>
          <w:b/>
          <w:i/>
        </w:rPr>
        <w:t>sag</w:t>
      </w:r>
      <w:r>
        <w:rPr>
          <w:b/>
          <w:i/>
        </w:rPr>
        <w:t xml:space="preserve"> C-307/13, Ivansson m.fl.</w:t>
      </w:r>
      <w:r>
        <w:rPr>
          <w:b/>
          <w:i/>
        </w:rPr>
        <w:t xml:space="preserve">, præmis 26-28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En regel, der fastsætter et generelt mål om fjerkræs komfort og opdrætsfaciliteternes kvalitet, er ikke et "andet krav", da dens generelle karakter næppe vil påvirke sammensætningen, arten eller markedsføringen af det endelige produkt.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Domstolen har allerede fastslået, at de omhandlede nationale foranstaltninger for at kunne kvalificeres som "andre krav" som omhandlet i artikel 1, stk. 4, i direktiv 98/34 skal udgøre "betingelser", der kan have betydelig indflydelse på det pågældende produkts sammensætning, art eller markedsføring (jf. dommen i sagen Fortuna m.fl., præmis 35 og den deri nævnte retspraksis).</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Domstolen har ligeledes fastslået, at når bestemmelserne i en national foranstaltning er af generel karakter, kan de ikke udgøre sådanne betingelser og derfor ikke kvalificeres som "andre krav" som omhandlet i direktivets artikel 1, stk. 4 (jf. i denne retning dommen i sagen Intercommunale Intermosane og Fédération de l'Industrie et du gaz, præmis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Den meget generelle formulering af DSF's § 9, således som den er anført i denne doms præmis 22 og 23, er således til hinder for, at denne bestemmelse anses for at stille betingelser vedrørende sammensætningen eller arten af de pågældende produkter eller markedsføringen heraf."</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Dom af 11. juni 2015</w:t>
        </w:r>
      </w:hyperlink>
      <w:r>
        <w:t xml:space="preserve"> i sag C-98/14, Berlington Hungary m.fl., præmis 98 og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Nationale bestemmelser, der forbyder drift af spilleautomater uden for kasinoer, udgør "andre krav", da de i væsentlig grad kan påvirke arten eller markedsføringen af sådanne maskiner.</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Domstolen har allerede fastslået, at en national foranstaltning, der begrænser afholdelsen af visse hasardspil til kasinoer, kun udgør en "teknisk forskrift" i den forstand, hvori udtrykket er anvendt i direktivets artikel 1, stk. 11, for så vidt som den i væsentlig grad kan påvirke arten eller markedsføringen af de produkter, der anvendes i denne sammenhæng (jf. i denne retning dommen i sagen Kommissionen mod Grækenland, C-65/05, præmis 61, og i de forenede sager C-213/11, C-214/11 og C-217/11, Fortuna m.fl., præmis 24 og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Et forbud mod at drive spilleautomater uden for kasinoer som det, der blev indført ved ændringsloven af 2012, kan imidlertid i væsentlig grad påvirke arten eller markedsføringen af disse maskiner, som udgør varer, der kan være omfattet af artikel 34 TEUF (jf. dom Läärä m.fl., C-124/97, præmis 20 og 24), ved at reducere de salgssteder, hvor de kan anvendes."</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Dom af 13. oktober 2016</w:t>
        </w:r>
      </w:hyperlink>
      <w:r>
        <w:t xml:space="preserve"> i sag C-303/15, Naczelnik Urzędu Celnego I w Hongkong., præmis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En bestemmelse, der betinger udøvelsen af hasardspil af besiddelsen af en tilladelse til at drive kasino, udgør ikke et "andet krav". Selv om bestemmelser, der begrænser afholdelsen af hasardspil til kasinoer, i væsentlig grad kan påvirke markedsføringen af relaterede produkter ved at reducere deres distributionskanaler, kan regler, der regulerer betingelserne for etablering af virksomheder, ikke have nogen væsentlig indvirkning på arten eller markedsføringen af de anvendte produkter.</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Med henblik på at afgøre, om artikel 6, stk. 1, i lov om hasardspil er omfattet af anvendelsesområdet for enten artikel 1, stk. 4, i direktiv 98/34 eller dette direktivs artikel 1, stk. 11, skal det endelig undersøges, om en sådan bestemmelse i væsentlig grad kan påvirke sammensætningen, arten eller markedsføringen af det pågældende produkt, i det foreliggende tilfælde spilleautomater, som en "betingelse" vedrørende anvendelsen af det pågældende produkt, eller om der er tale om en national foranstaltning, der henhører under den kategori af forbud, der er omhandlet i dette direktivs artikel 1, stk. 11.</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Det skal i denne henseende bemærkes, at det er artikel 14, stk. 1, i lov om hasardspil, som begrænser roulettespil, kortspil, terningespil og automatspil til kun at måtte udbydes i spillekasinoer. Denne bestemmelse blev meddelt Kommissionen som en "teknisk forskrift", henset til den omstændighed, at Domstolen allerede har fastslået, dels at en national foranstaltning, der forbeholder afholdelsen af visse hasardspil for kasinoer alene, udgør en "teknisk forskrift" som omhandlet i artikel 1, stk. 11, i direktiv 98/34, for så vidt som den i væsentlig grad kan påvirke arten eller markedsføringen af de produkter, der anvendes i denne sammenhæng, og for det andet, at et forbud mod at drive visse produkter uden for kasinoer i væsentlig grad kan påvirke markedsføringen af disse produkter ved at begrænse de salgssteder, hvor de kan anvendes (jf. i denne retning dom af 11. juni 2015, Berlington Hungary m.fl., C-98/14, Hongkong, præmis 98 og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Lovens artikel 6, stk. 1, som fastsætter, at en driftstilladelse til spillekasinoer er nødvendig for udøvelsen af virksomhed med roulettespil, kortspil, terningespil og automatspil, blev derimod ikke meddelt.</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28.Kommissionens argument om, at den tætte forbindelse mellem de to omhandlede nationale bestemmelser indebærer, at det er umuligt at isolere artikel 14, stk. 1, i lov om hasardspil fra denne lovs artikel 6, stk. 1, kan ikke tiltrædes. Som generaladvokaten har anført i punkt 38-44 i forslaget til afgørelse, har nævnte lovs artikel 6, stk. 1, og samme lovs artikel 14, stk. 1, således forskellige funktioner og anvendelsesområder. Det beskrivende element i denne lovs artikel 6, stk. 1, der betegner den omhandlede tilladelse som en tilladelse "til at drive spillekasinoer", ændrer ikke på denne konklusion.</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Det må derfor fastslås, at artikel 6, stk. 1, i lov om hasardspil ikke kan anses for at henhøre under kategorien "andre krav" som omhandlet i artikel 1, stk. 4, i direktiv 98/34, eftersom den tilladelse, der kræves i henhold til denne bestemmelse i national ret til afholdelse af hasardspil, udgør en betingelse, der er fastsat for den virksomhed, der består i afholdelse af sådanne spil, til forskel fra denne lovs artikel 14, stk. 1, som fastsætter betingelser for de pågældende produkter ved at forbyde deres anvendelse på andet end kasinoer.</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Det følger endvidere af fast retspraksis, at bestemmelser i national ret, der begrænser sig til at fastsætte betingelser for virksomheders etablering eller levering af tjenesteydelser, såsom bestemmelser, der gør udøvelsen af erhvervsvirksomhed betinget af en forudgående tilladelse, ikke udgør tekniske forskrifter som omhandlet i artikel 1, stk. 11, i direktiv 98/34 (jf. i denne retning dom af 4. februar 2016, Ince, C-336/14, præmis 76 og den deri nævnte retspraksis)."</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Dom af 27. oktober 2016</w:t>
        </w:r>
      </w:hyperlink>
      <w:r>
        <w:t xml:space="preserve"> i sag C-613/14, James Elliott Construction, præmis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Nationale bestemmelser, der fastsætter implicitte kontraktvilkår vedrørende de solgte produkters handelskvalitet, brugsegnethed eller kvalitet, udgør ikke "andre krav", da deres generelle karakter gør det usandsynligt, at de vil få væsentlig indflydelse på sammensætningen, arten eller afsætningen af de pågældende produkter.</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I det foreliggende tilfælde fremgår det for det første, at bestemmelser som de i hovedsagen omhandlede enten i sig selv eller som fortolket af de irske domstole ikke er omfattet af begrebet "teknisk specifikation" som omhandlet i artikel 1, stk. 3, i direktiv 98/34. Dette begreb omfatter kun nationale foranstaltninger, der henviser til et produkt eller dets emballage som sådan og således fastlægger et af de kendetegn, der kræves af et produkt (dom af 10. juli 2014, Ivansson m.fl., C-307/13, -dommen, præmis 19 og den deri nævnte retspraksis). Imidlertid er dette tydeligvis ikke tilfældet med hensyn til et krav, der, medmindre parterne har aftalt andet, gælder generelt for salget af alle produkter.</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For det andet og af samme grund kan disse bestemmelser ikke kvalificeres som "andre krav" som omhandlet i artikel 1, stk. 4, i direktiv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I denne henseende har Domstolen præciseret, at de omhandlede nationale foranstaltninger for at kunne kvalificeres som "andre krav" i denne bestemmelses forstand skal udgøre betingelser, der kan påvirke det pågældende produkts sammensætning, art eller markedsføring væsentligt, idet generelle krav ikke kan udgøre sådanne betingelser eller følgelig kvalificeres som "andre krav" (jf. dom af 10. juli 2014, Ivansson m.fl., C-307/13, præmis 26 og 27 og den deri nævnte retspraksis)."</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Dom af 1. februar 2017</w:t>
        </w:r>
      </w:hyperlink>
      <w:r>
        <w:t xml:space="preserve"> i sag C-144/16, Município de Palmela, præmis 23 og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En bestemmelse, der fastsætter emballeringskrav for et produkt af hensyn til forbrugerbeskyttelsen, er et "andet krav", fordi det vedrører produkternes livscyklus efter markedsføring og i væsentlig grad påvirker deres sammensætning og markedsføring.</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På den anden side er en forordning, der kræver, at oplysninger om et fritidsområdes maksimale kapacitet opslås flere steder i dette område, ikke et "andet krav" på grund af dens generelle karakter.</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Hvad angår PRA-bekendtgørelsens artikel 16, stk. 1 og (2), som ændret ved lovdekret nr. 119/2009, bemærkes, således som den forelæggende ret har anført, at den udgør en teknisk forskrift som omhandlet i direktiv 83/189 og 98/34, for så vidt som denne bestemmelse fastsætter krav til et produkt med henblik på at beskytte forbrugerne, som påvirker produktets livscyklus efter markedsføringen og i væsentlig grad påvirker sammensætningen og markedsføringen af et sådant produkt. Denne bestemmelse henhører således under kategorien "andre krav" som omhandlet i både artikel 1, stk. 3, i direktiv 83/189 og artikel 1, stk. 4, i direktiv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en bestemmelse som den i hovedsagen omhandlede udgør ikke et "andet krav" som omhandlet i artikel 1, stk. 4, i direktiv 98/34, henset til den generelle karakter af de krav, den fastsætter (jf. i denne retning dom af 9. juni 2011, Intercommunale Intermosane og Fédération de l'industrie et du</w:t>
        <w:noBreakHyphen/>
        <w:t xml:space="preserve">gaz, C 361/10, præmis 21). På den anden side indeholder den ingen forbud, der kan medføre, at den falder ind under den kategori af forbud, der er fastsat i direktivets artikel 1, stk. 11."</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Dom af 26. september 2018 i sag C-137/17</w:t>
      </w:r>
      <w:r>
        <w:rPr>
          <w:b/>
          <w:bCs/>
          <w:i/>
          <w:iCs/>
          <w:color w:val="0000FF"/>
          <w:sz w:val="22"/>
          <w:szCs w:val="22"/>
          <w:u w:val="single"/>
        </w:rPr>
        <w:fldChar w:fldCharType="end"/>
        <w:t xml:space="preserve">, Van Gennip m.fl., præmis 39 og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Nationale bestemmelser, der gør markedsføringen af produkter betinget af, at køberen er i besiddelse af en tilladelse, er ikke omfattet af begrebet "andre krav", da der er tale om en betingelse, der ikke pålægges varerne, men køberne.</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hvad angår kategorien "andre krav" skal det bemærkes, at en national foranstaltning for at kunne kvalificeres som "andre krav" som omhandlet i artikel 1, nr. 4), i direktiv 98/34 skal udgøre en "betingelse", der kan have betydelig indflydelse på det pågældende produkts sammensætning, art eller markedsføring (dom af 13. oktober 2016, M. og S., C-303/15, Hongkong, præmis 20 og den deri nævnte retspraksis).</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I denne henseende bemærkes, således som generaladvokaten har anført i punkt 76 i forslaget til afgørelse, at salg af pyrotekniske artikler, der indeholder over 1 kg pyroteknisk blanding, kræver, at køberen har opnået en tilladelse. Den krævede tilladelse udgør således ikke et krav for den pågældende vare, men for potentielle købere og indirekte for erhvervsdrivende, der sælger pyrotekniske artikler (jf. i denne retning dom af 21. april 2005, Lindberg, C-267/03, -dommen, præmis 87, og af 13. oktober 2016, M. og S., C-303/15, præmis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Dom af 28. maj 2020</w:t>
        </w:r>
      </w:hyperlink>
      <w:r>
        <w:t xml:space="preserve"> i sag C-727/17, ECO-WIND Construction, præmis 40 og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En forordning, der fastsætter en minimumsafstand for installation af vindmøller, falder ikke ind under kategorien "andre krav", da dens indvirkning på markedsføringen af de pågældende produkter ikke er tilstrækkelig direkte.</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det fremgår af fast retspraksis, at denne kategori omfatter en lovgivning, der fastsætter en betingelse, der kan påvirke et produkts sammensætning, art eller markedsføring væsentligt (dom af 21. april 2005, Lindberg, C-267/03, præmis 69-72, og af 19. juli 2012, Fortuna m.fl., C-213/11, C-214/11 og C-217/11, præmis 35), idet disse "andre krav" omfatter de krav, der følger af hensynet til det pågældende produkts livscyklus efter markedsføringen, og som navnlig vedrører dets anvendelse.</w:t>
      </w:r>
    </w:p>
    <w:p w14:paraId="15144425" w14:textId="77777777">
      <w:pPr>
        <w:pStyle w:val="P68B1DB1-BodyText19"/>
        <w:ind w:left="567"/>
        <w:rPr>
          <w:iCs/>
        </w:rPr>
      </w:pPr>
    </w:p>
    <w:p w14:paraId="45870460" w14:textId="6B88BEBE">
      <w:pPr>
        <w:pStyle w:val="P68B1DB1-BodyText19"/>
        <w:ind w:left="567"/>
        <w:rPr>
          <w:iCs/>
        </w:rPr>
      </w:pPr>
      <w:r>
        <w:t xml:space="preserve">41. I lighed med vurderingen i nærværende doms præmis 37 skal det imidlertid i den foreliggende sag bemærkes, at kravet om, at opstillingen af en vindmølle er underlagt betingelsen om en minimumsafstand mellem denne og ejendomme, der anvendes til beboelse, ikke er direkte forbundet med sammensætningen af et produkt, såsom en vindenergigenerator, dets natur eller afsætningen af det. Selv hvis det antages, at dette krav fører til en begrænsning af de steder, der egner sig til opførelse af vindmøller, og dermed har en indvirkning på markedsføringen af vindmøller, vil denne virkning i denne henseende ikke være tilstrækkelig direkte til, at dette krav henhører under kategorien "andre krav" i artikel 1, stk. 1, litra f), i direktiv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Dom af 4. november 2022</w:t>
        </w:r>
      </w:hyperlink>
      <w:r>
        <w:rPr>
          <w:rFonts w:ascii="Times New Roman" w:hAnsi="Times New Roman" w:cs="Times New Roman" w:eastAsia="Times New Roman"/>
          <w:b/>
          <w:i/>
          <w:szCs w:val="20"/>
        </w:rPr>
        <w:t xml:space="preserve">, Phytofar (</w:t>
        <w:noBreakHyphen/>
        <w:t xml:space="preserve">C 658/21), præmis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En lovgivning, der forbyder personer, der ikke er i besiddelse af en tilladelse til fagfolk, at anvende pesticider, der indeholder glyphosat, kan udgøre et "andet krav", da den i væsentlig grad kan påvirke markedsføringen af glyphosat. Betydningen af denne indflydelse vurderes i forhold til omfanget af køb af de pågældende varer og udviklingen i salgsvanerne.</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I det foreliggende tilfælde fremgår det for det første af præamblen til bekendtgørelsen af 14. juli 2017, at det forbud, som fastsættes heri, er indført for at beskytte menneskers sundhed og miljøet.</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Dernæst bemærkes, at dette forbud vedrører livscyklussen for glyphosatholdige pesticider efter markedsføring, ved at fastsætte en betingelse, der er knyttet til anvendelsen af disse produkter, for så vidt som det på grunde til privat brug kun er erhvervsdrivende, der er indehavere af en fytolicens, der har tilladelse til at anvende dem.</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Endelig må det konstateres, at et sådant forbud kan influere på afsætningen af de pågældende varer.</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Denne foranstaltning medfører nemlig, at en kategori af potentielle købere af glyphosatholdige pesticider forsvinder, dvs. privatpersoner, der selv ønsker at anvende sådanne pesticider, uden at gøre brug af tjenesteydelser fra erhvervsdrivende, der er indehavere af den påkrævede fytolicens. En sådan begrænsning af muligheden for at anvende pesticider, der indeholder glyphosat, påvirker således markedsføringen heraf (jf. analogt dom af 13. oktober 2016, M. og S., C-303/15, præmis 26 og den deri nævnte retspraksis).</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Som Kommissionen har anført i sit skriftlige indlæg, er det, for at den foranstaltning, der er indført ved bekendtgørelsen af 14. juli 2017, kan kvalificeres som en "teknisk forskrift", der henhører under kategorien "andre krav" som omhandlet i artikel 1, stk. 1, litra d) og f), i direktiv 2015/1535, imidlertid nødvendigt, at afsætningen af glyphosatholdige pesticider, "betydeligt" influeres af denne foranstaltning.</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Det tilkommer den forelæggende ret at efterprøve, om dette er tilfældet i den foreliggende sag.</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I forbindelse med denne vurdering kan den forelæggende ret bl.a. tage hensyn til den samlede salgsmængde af glyphosatholdige pesticider på regionen Flanderns område, og til ændringen i købevanerne hos hver kategori af købere på grundlag af hyppigheden af deres køb og den produktmængde, der indkøbes, samt ændringen med hensyn til købssteder og distributionskanaler. I denne sammenhæng kan den forelæggende ret tage hensyn til, i hvilket omfang efterspørgslen fra professionelle brugere på den ene side erstatter efterspørgslen fra personer, der gør brug af ydelser fra professionelle brugere, og på den anden side, at individuelle brugere nu får glyphosatfrie pesticider i stedet for pesticider, der indeholder dette stof."</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Dom af 9. marts 2023</w:t>
        </w:r>
      </w:hyperlink>
      <w:r>
        <w:rPr>
          <w:rFonts w:ascii="Times New Roman" w:hAnsi="Times New Roman" w:cs="Times New Roman" w:eastAsia="Times New Roman"/>
          <w:b/>
          <w:i/>
          <w:szCs w:val="20"/>
        </w:rPr>
        <w:t xml:space="preserve"> i sag C-604/21, Vapo Atlantic, præmis 40 og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National lovgivning, der kræver, at operatører, der frigiver motorbrændstoffer til forbrug, skal bidrage til at nå målene for iblanding af biobrændstoffer i motorbrændstoffer, og hvis overtrædelse kan føre til økonomiske sanktioner, kan det i væsentlig grad påvirke markedsføringen af brændstoffer. Der er således tale om et "andet krav".</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I det foreliggende tilfælde vedrører den forelæggende rets spørgsmål en national lovgivning, som kræver, at erhvervsdrivende, som frigiver brændstoffer til vejtransport til forbrug med undtagelse af LPG og naturgas, skal bidrage til opfyldelsen af formålene om iblanding af biobrændstoffer i de årlige mængder af brændstoffer til vejtransport, som de frigiver til forbrug, dvs. et mål på 10 % for 2020. Selv om en sådan lovgivning hverken præciserer den omhandlede type brændstof til vejtransport eller fastsætter en procentdel af de biobrændstoffer, der fysisk skal iblandes brændstof til vejtransport, eller præciserer, hvilken type biobrændstof der skal iblandes, vedrører det heri fastsatte krav, der er vedtaget med henblik på beskyttelse af miljøet, livscyklussen for brændstoffer til vejtransport efter deres markedsføring og kan influere betydeligt på markedsføringen af disse produkter, for så vidt som tilsidesættelsen af den heri fastsatte forpligtelse til at iblande biobrændstoffer kan medføre pålæggelse af en økonomisk kompensation.</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Det følger heraf, at en national lovgivning, der fastsætter et mål for iblanding af 10 % biobrændstoffer i motorbrændstoffer, der overgår til forbrug af en økonomisk aktør for 2020, er omfattet af begrebet "andre krav" som omhandlet i artikel 1, stk. 4, i direktiv 98/34 og således udgør en "teknisk forskrift" som omhandlet i dette direktivs artikel 1, stk. 11."</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Regler om tjenesteydelser</w:t>
      </w:r>
      <w:bookmarkEnd w:id="5"/>
      <w:bookmarkEnd w:id="68"/>
      <w:bookmarkEnd w:id="69"/>
    </w:p>
    <w:p w14:paraId="19E12A03" w14:textId="77777777">
      <w:pPr>
        <w:pStyle w:val="BodyText"/>
      </w:pPr>
    </w:p>
    <w:p w14:paraId="6D8B2150" w14:textId="77777777">
      <w:pPr>
        <w:pStyle w:val="P68B1DB1-BodyText11"/>
        <w:ind w:left="567"/>
        <w:rPr>
          <w:iCs/>
        </w:rPr>
      </w:pPr>
      <w:r>
        <w:t xml:space="preserve">"forskrift vedrørende tjenesteydelser": et krav af generel karakter vedrørende adgang til at optage og udøve servicevirksomhed som omhandlet i litra b), navnlig bestemmelser vedrørende tjenesteyderen, tjenesteydelserne og tjenestemodtageren, bortset fra forskrifter, der ikke specifikt vedrører de i nævnte litra definerede tjenesteydelser. </w:t>
      </w:r>
    </w:p>
    <w:p w14:paraId="7C9B8AC3" w14:textId="77777777">
      <w:pPr>
        <w:pStyle w:val="P68B1DB1-BodyText11"/>
        <w:ind w:left="567"/>
        <w:rPr>
          <w:iCs/>
        </w:rPr>
      </w:pPr>
    </w:p>
    <w:p w14:paraId="46FCE36C" w14:textId="0D89DACC">
      <w:pPr>
        <w:pStyle w:val="P68B1DB1-BodyText11"/>
        <w:ind w:left="567"/>
        <w:rPr>
          <w:iCs/>
        </w:rPr>
      </w:pPr>
      <w:r>
        <w:t xml:space="preserve">Med henblik på denne definition: </w:t>
      </w:r>
    </w:p>
    <w:p w14:paraId="0FA17B64" w14:textId="77777777">
      <w:pPr>
        <w:pStyle w:val="P68B1DB1-BodyText11"/>
        <w:ind w:left="567"/>
        <w:rPr>
          <w:iCs/>
        </w:rPr>
      </w:pPr>
    </w:p>
    <w:p w14:paraId="5287D99C" w14:textId="40B4253E">
      <w:pPr>
        <w:pStyle w:val="P68B1DB1-BodyText11"/>
        <w:numPr>
          <w:ilvl w:val="0"/>
          <w:numId w:val="30"/>
        </w:numPr>
        <w:rPr>
          <w:iCs/>
        </w:rPr>
      </w:pPr>
      <w:r>
        <w:t xml:space="preserve">anses en forskrift for specifikt at tage sigte på informationssamfundets tjenester, når det af begrundelsen og de dispositive bestemmelser fremgår, at den i sin helhed eller i visse enkelte bestemmelser har specifikt til hensigt og formål at give forskrifter for disse tjenester på eksplicit og målrettet måde </w:t>
      </w:r>
    </w:p>
    <w:p w14:paraId="112BC54B" w14:textId="13ACB17B">
      <w:pPr>
        <w:pStyle w:val="P68B1DB1-BodyText11"/>
        <w:numPr>
          <w:ilvl w:val="0"/>
          <w:numId w:val="30"/>
        </w:numPr>
        <w:rPr>
          <w:iCs/>
        </w:rPr>
      </w:pPr>
      <w:r>
        <w:t xml:space="preserve">en regel anses ikke for at være specifikt rettet mod informationssamfundets tjenester, hvis den kun implicit eller tilfældigt påvirker sådanne tjenester"</w:t>
      </w:r>
    </w:p>
    <w:p w14:paraId="573C811F" w14:textId="77777777">
      <w:pPr>
        <w:pStyle w:val="BodyText"/>
        <w:ind w:left="567"/>
        <w:rPr>
          <w:i/>
          <w:iCs/>
        </w:rPr>
      </w:pPr>
    </w:p>
    <w:p w14:paraId="2735376A" w14:textId="709F0465">
      <w:pPr>
        <w:pStyle w:val="BodyText"/>
        <w:ind w:left="1440"/>
        <w:jc w:val="right"/>
      </w:pPr>
      <w:r>
        <w:t xml:space="preserve">(Artikel 1, stk. 1, litra e), i direktiv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"tjeneste": enhver tjeneste i informationssamfundet, dvs. enhver tjeneste, der normalt ydes mod betaling, og som teleformidles ad elektronisk vej på individuel anmodning fra en tjenestemodtager.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Med henblik på denne definition: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"på afstand": at tjenesteydelsen leveres, uden at parterne er til stede samtidig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"ad elektronisk vej": at tjenesten i første omgang sendes og på bestemmelsesstedet modtages ved hjælp af elektronisk databehandlingsudstyr (herunder digital komprimering) og datalagringsudstyr, og som udelukkende sendes, rutes og modtages via tråd, radio, optiske midler eller andre elektromagnetiske midler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"på individuel anmodning fra en tjenestemodtager": at tjenesten leveres ved fremsendelse af data på individuel anmodning.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Bilag I indeholder en vejledende liste over tjenesteydelser, der ikke er omfattet af denne definition."</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(Artikel 1, stk. 1, litra b), i direktiv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"Vejledende liste over tjenesteydelser, der ikke er omfattet af artikel 1, stk. 1, litra b), andet afsnit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Tjenester, der ikke "teleformidles"</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Tjenester, der ydes, også under anvendelse af elektroniske anordninger, og hvor tjenesteyderen og -modtageren er fysisk til stede: </w:t>
      </w:r>
    </w:p>
    <w:p w14:paraId="3362CCDE" w14:textId="74A453DA">
      <w:pPr>
        <w:spacing w:after="0" w:line="240" w:lineRule="auto"/>
        <w:ind w:left="1287"/>
        <w:rPr>
          <w:rFonts w:ascii="Times New Roman" w:hAnsi="Times New Roman" w:cs="Times New Roman"/>
          <w:i/>
          <w:sz w:val="24"/>
          <w:szCs w:val="24"/>
        </w:rPr>
        <w:pStyle w:val="P68B1DB1-Normal12"/>
      </w:pPr>
      <w:r>
        <w:t xml:space="preserve">a) lægeundersøgelser eller behandling ved en læges kirurgiske indgreb ved hjælp af elektronisk udstyr, hvor patienten er fysisk til stede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søgning i et elektronisk katalog i en butik hos kunden på stedet </w:t>
      </w:r>
    </w:p>
    <w:p w14:paraId="7DA6C469" w14:textId="5F31D5B1">
      <w:pPr>
        <w:spacing w:after="0" w:line="240" w:lineRule="auto"/>
        <w:ind w:left="1287"/>
        <w:rPr>
          <w:rFonts w:ascii="Times New Roman" w:hAnsi="Times New Roman" w:cs="Times New Roman"/>
          <w:i/>
          <w:sz w:val="24"/>
          <w:szCs w:val="24"/>
        </w:rPr>
        <w:pStyle w:val="P68B1DB1-Normal12"/>
      </w:pPr>
      <w:r>
        <w:t xml:space="preserve">c) reservation af flybilletter hos et rejsebureau under kundens fysiske tilstedeværelse ved hjælp af et computernetværk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elektroniske spil, der stilles til rådighed i en videoarkade, hvor kunden er fysisk til stede.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Tjenester, der ikke formidles "ad elektronisk vej"</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tjenesteydelser med materielt indhold, selv om de leveres via elektronisk udstyr: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automatiske kontantautomater eller billetautomater (pengesedler, togbilletter) </w:t>
      </w:r>
    </w:p>
    <w:p w14:paraId="07693B6B" w14:textId="1A59726A">
      <w:pPr>
        <w:spacing w:after="0" w:line="240" w:lineRule="auto"/>
        <w:ind w:left="1287"/>
        <w:rPr>
          <w:rFonts w:ascii="Times New Roman" w:hAnsi="Times New Roman" w:cs="Times New Roman"/>
          <w:i/>
          <w:sz w:val="24"/>
          <w:szCs w:val="24"/>
        </w:rPr>
        <w:pStyle w:val="P68B1DB1-Normal12"/>
      </w:pPr>
      <w:r>
        <w:t xml:space="preserve">b) adgang til vejnet, parkeringspladser osv., opladning for brug, også selv om der ved indgangen/udgangen findes elektroniske anordninger, der styrer adgangen og/eller sikrer korrekt betaling </w:t>
      </w:r>
    </w:p>
    <w:p w14:paraId="6B193BE7" w14:textId="77777777">
      <w:pPr>
        <w:spacing w:after="0" w:line="240" w:lineRule="auto"/>
        <w:ind w:left="567"/>
        <w:rPr>
          <w:rFonts w:ascii="Times New Roman" w:hAnsi="Times New Roman" w:cs="Times New Roman"/>
          <w:i/>
          <w:sz w:val="24"/>
          <w:szCs w:val="24"/>
        </w:rPr>
        <w:pStyle w:val="P68B1DB1-Normal12"/>
      </w:pPr>
      <w:r>
        <w:t xml:space="preserve">— offlinetjenester: distribution af cd-rom'er eller software på disketter </w:t>
      </w:r>
    </w:p>
    <w:p w14:paraId="421C0A6C" w14:textId="77777777">
      <w:pPr>
        <w:spacing w:after="0" w:line="240" w:lineRule="auto"/>
        <w:ind w:left="567"/>
        <w:rPr>
          <w:rFonts w:ascii="Times New Roman" w:hAnsi="Times New Roman" w:cs="Times New Roman"/>
          <w:i/>
          <w:sz w:val="24"/>
          <w:szCs w:val="24"/>
        </w:rPr>
        <w:pStyle w:val="P68B1DB1-Normal12"/>
      </w:pPr>
      <w:r>
        <w:t xml:space="preserve">— tjenester, der ikke leveres via elektroniske databehandlings-/lagersystemer: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taletelefonitjenester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telefax/telex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tjenester, der leveres via taletelefoni eller telefax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lægekonsultation pr. telefon/telefax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telefon- og telefaxkonsultation hos en advokat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direkte markedsføring pr. telefon/telefax.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Tjenester, der ikke formidles "på individuel anmodning af en tjenestemodtager"</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Tjenester, der ydes ved datatransmission uden en individuel anmodning med henblik på at kunne modtages samtidig af et ubegrænset antal modtagere (punkt-til-multipunkt-transmission) </w:t>
      </w:r>
    </w:p>
    <w:p w14:paraId="7348FF90" w14:textId="622E29E3">
      <w:pPr>
        <w:spacing w:after="0" w:line="240" w:lineRule="auto"/>
        <w:ind w:left="1287"/>
        <w:rPr>
          <w:rFonts w:ascii="Times New Roman" w:hAnsi="Times New Roman" w:cs="Times New Roman"/>
          <w:i/>
          <w:sz w:val="24"/>
          <w:szCs w:val="24"/>
        </w:rPr>
        <w:pStyle w:val="P68B1DB1-Normal12"/>
      </w:pPr>
      <w:r>
        <w:t xml:space="preserve">a) tv-spredningstjenester (herunder "near video on demand" -tjenester), der er omfattet af artikel 1, stk. 1, litra e), i direktiv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radiospredningstjenester </w:t>
      </w:r>
    </w:p>
    <w:p w14:paraId="50FD6B17" w14:textId="6C6940F1">
      <w:pPr>
        <w:spacing w:after="0" w:line="240" w:lineRule="auto"/>
        <w:ind w:left="567" w:firstLine="720"/>
        <w:pStyle w:val="P68B1DB1-Normal12"/>
      </w:pPr>
      <w:r>
        <w:t xml:space="preserve">c) (fjernsynstekst)."</w:t>
      </w:r>
    </w:p>
    <w:p w14:paraId="4CB8A09D" w14:textId="49490E91">
      <w:pPr>
        <w:pStyle w:val="BodyText"/>
        <w:ind w:left="1440"/>
        <w:jc w:val="right"/>
      </w:pPr>
      <w:r>
        <w:t xml:space="preserve">(Bilag I til direktiv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Dom af 2. juni 2005</w:t>
        </w:r>
      </w:hyperlink>
      <w:r>
        <w:rPr>
          <w:rFonts w:ascii="Times New Roman" w:hAnsi="Times New Roman" w:cs="Times New Roman" w:eastAsia="Times New Roman"/>
          <w:b/>
          <w:i/>
          <w:szCs w:val="20"/>
        </w:rPr>
        <w:t xml:space="preserve"> i sag C-89/04, Mediakabel BV, præmis 38 og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tv-spredningstjeneste, der stilles til rådighed på abonnentens anmodning, men for hvilken filmhyppigheden og -timingen fastsættes af udbyderen, udgør ikke en "informationssamfundstjeneste", da indholdet udvælges og planlægges af udbyderen og derfor ikke leveres på individuel anmodning fra modtageren.</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Selv om en sådan tjeneste opfylder de to første kriterier for at udgøre en "informationssamfundstjeneste" som omhandlet i artikel 1, stk. 2, i direktiv 98/34, dvs. at den leveres på afstand og delvist transmitteres ved hjælp af elektronisk udstyr, opfylder den ikke det tredje kriterium i begrebet, hvorefter den pågældende tjeneste skal leveres "på individuel anmodning fra en tjenestemodtager". Listen over film, der udbydes inden for rammerne af en tjeneste som "Filmtime", udarbejdes af tjenesteyderen. Dette udvalg af film tilbydes alle abonnenterne på samme betingelser, enten ved hjælp af aviser eller ved oplysninger, der gives på tv-skærmen, og nævnte film er tilgængelig på sendingstidspunkter, der fastsættes af udbyderen. Den personlige kode, der gør det muligt at se filmene, er kun et middel til dekryptering af billeder, hvis signaler udsendes samtidig til alle abonnenterne.</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En sådan tjeneste bestilles således ikke individuelt af en isoleret modtager, der har et frit interaktivt programvalg. Den skal anses for at være en "near-video on demand" -tjeneste, der leveres "fra punkt til punkt" og ikke "på individuel anmodning fra en tjenestemodtager"."</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Dom af 2. februar 2016</w:t>
        </w:r>
      </w:hyperlink>
      <w:r>
        <w:t xml:space="preserve"> i sag C-336/14, Ince, præmis 75 og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der begrænser udbuddet af onlinespil eller forbyder onlinereklame for sådanne spil, kan betragtes som "regler om tjenesteydelser", da de vedrører en "informationssamfundstjeneste". Bestemmelser, der kræver forudgående tilladelse til operatører, der organiserer hasardspil, eller forbyder, at en sådan tilladelse gives til private operatører, vedrører derimod betingelserne for etablering af virksomheder og udgør derfor ikke "regler om tjenesteydelser".</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visse af traktatens bestemmelser om hasardspil kan kvalificeres som "forskrifter vedrørende tjenester", for så vidt som de vedrører en "informationssamfundstjeneste" som omhandlet i artikel 1, nr. 2), i direktiv 98/34. Disse bestemmelser omfatter forbuddet mod at udbyde hasardspil på internettet i henhold til § 4 (4) i lov om hasardspil, de undtagelser fra dette forbud, der er opregnet i denne traktats § 25 (6), de restriktioner for udbud af sportsvæddemål via telemedietjenester, der er fastsat i denne traktats § 21 (2), og forbuddet mod at udsende reklamer for hasardspil på internettet eller via telekommunikationsudstyr i henhold til denne traktats § 5 (3).</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Hvad derimod angår andre bestemmelser i statsaftalen om hasardspil end dem, der vedrører en "tjeneste i informationssamfundet" som omhandlet i artikel 1, nr. 2), i direktiv 98/34, såsom de bestemmelser, der indfører et krav om at opnå en tilladelse til foranstaltning af eller indsamling af indsatser i sportsvæddemål, eller hvorefter det ikke er muligt at udstede en sådan tilladelse til private aktører, udgør de ikke "tekniske forskrifter" som omhandlet i dette direktivs artikel 1, nr. 11). Nationale bestemmelser, der begrænser sig til at fastsætte betingelser for virksomheders etablering eller levering af tjenesteydelser, såsom bestemmelser, der underlægger udøvelsen af en aktivitet en forudgående tilladelse, udgør ikke tekniske forskrifter i denne bestemmelses forstand (jf. i denne retning Lindberg-dommen, C-267/03, præmis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Domstolens dom af 13. oktober 2016</w:t>
        </w:r>
      </w:hyperlink>
      <w:r>
        <w:t xml:space="preserve"> i sag 303/15, Naczelnik Urzędu Celnego I w</w:t>
        <w:noBreakHyphen/>
        <w:t xml:space="preserve">., præmis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En bestemmelse, der betinger udøvelsen af hasardspil af besiddelsen af en licens til drift af et kasino, udgør ikke en "forskrift vedrørende tjenesteydelser", da den ikke vedrører en "informationssamfundstjeneste".</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denne bestemmelse kan ikke henføres under kategorien "forskrifter for informationssamfundstjenester" som omhandlet i artikel 1, stk. 5, i direktiv 98/34, eftersom den ikke vedrører en "informationssamfundstjeneste" som omhandlet i dette direktivs artikel 1, stk. 2."</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Dom af 20. december 2017 i sag 255/16</w:t>
      </w:r>
      <w:r>
        <w:rPr>
          <w:color w:val="0000FF"/>
          <w:u w:val="single"/>
        </w:rPr>
        <w:fldChar w:fldCharType="end"/>
        <w:noBreakHyphen/>
        <w:t xml:space="preserve">, Falbert m.fl., præmis 27-29, 32 og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om spil eller reklametjenester kan udgøre "regler om tjenesteydelser", hvis de direkte vedrører tjenester, der leveres på afstand, ad elektronisk vej og efter individuel anmodning fra modtageren. Selv om ordlyden af sådanne bestemmelser ikke sondrer mellem online- og offline-tjenester, kan deres formål med hensyn til "informationssamfundstjenester" udledes af deres betragtninger eller </w:t>
      </w:r>
      <w:r>
        <w:rPr>
          <w:i/>
        </w:rPr>
        <w:t>forarbejderne</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Det bemærkes, at begrebet "teknisk forskrift" i henhold til dette direktivs artikel 1, stk. 2, udelukkende omfatter forskrifter vedrørende informationssamfundstjenester, dvs. enhver tjeneste, der teleformidles ad elektronisk vej på individuel anmodning fra en tjenestemodtager (jf. dom af 13. oktober 2016, M. og S., C-303/15, præmis 21, og af 1. februar 2017, Município de Palmela, C-144/16, anført ovenfor, præmis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Det skal i denne forbindelse bemærkes, at spillelovens § 10 (3) (3) i princippet vedrører to typer tjenesteydelser, nemlig dels reklameydelser, der straks sanktioneres i henhold til denne bestemmelse, dels spilletjenester, der er omfattet af reklameforbuddet, og som er hovedformålet med spilleloven, læst i sin helhed.</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Såvel reklametjenester som spiltjenester, for så vidt som de bl.a. leveres ad elektronisk vej (online), udgør "informationssamfundstjenester" som omhandlet i artikel 1, stk. 2, i direktiv 98/34 og de regler, der er knyttet hertil, og som derfor kan anses for "forskrifter vedrørende tjenester" som omhandlet i artikel 1, stk. 5, i direktiv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Det skal i denne forbindelse for det første bemærkes, at det følger af artikel 1, stk. 5, første led, i direktiv 98/34, at spørgsmålet om, hvorvidt en regel specifikt vedrører informationssamfundstjenester, skal afgøres på grundlag af såvel begrundelsen som bestemmelsens ordlyd. I medfør af denne bestemmelse er det desuden ikke et krav, at den pågældende forskrift i sin helhed har "til hensigt og formål" at give forskrifter for tjenester i informationssamfundet, eftersom det er tilstrækkeligt, at denne forskrift forfølger denne hensigt eller dette formål i visse af sine bestemmelser.</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Hvis det ikke alene fremgår af ordlyden af en national bestemmelse, at den i det mindste delvist har til formål specifikt at regulere informationssamfundstjenester — som i den foreliggende sag, hvor ordlyden ikke sondrer mellem tjenester, der leveres offline, og tjenester, der leveres online — kan denne genstand ikke desto mindre uden videre udledes af begrundelsen for reglen — som i den foreliggende sag i henhold til de relevante nationale fortolkningsregler, der bl.a. giver mulighed for at give vejledning i forarbejderne til reglen."</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Dom af 20. december 2017</w:t>
        </w:r>
      </w:hyperlink>
      <w:r>
        <w:t xml:space="preserve">, Asociación Profesional Elite Taxi (</w:t>
        <w:noBreakHyphen/>
        <w:t xml:space="preserve">C 434/15), præmis 37 og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En formidlingstjeneste, der via en smartphoneapplikation forbinder ikke-professionelle chauffører, der anvender deres egne køretøjer, med personer, der søger bytransport, skal anses for at være uløseligt forbundet med en transporttjeneste og derfor kvalificeres som en "tjenesteydelse på transportområdet" (ikke som en "informationssamfundstjeneste").</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Det skal imidlertid bemærkes, at en tjenesteydelse som den i hovedsagen omhandlede er mere end en formidlingstjeneste, der består i ved hjælp af en smartphone-applikation at forbinde en ikke-professionel chauffør med sit eget køretøj med en person, der ønsker at foretage en bykørsel."</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I denne henseende fremgår det af de oplysninger, som Domstolen råder over, at Ubers formidlingstjeneste omfatter en udvælgelse af ikke-erhvervsdrivende chauffører, som anvender eget køretøj, og over for hvilke dette selskab stiller en applikation til rådighed, uden hvilken disse chauffører ikke vil levere transportydelser, og uden hvilken de personer, som ønsker at foretage en køretur i et byområde, ikke vil benytte sig af disse chaufførers tjenesteydelser. Endvidere udøver Uber en afgørende indflydelse på de betingelser, under hvilke disse chauffører udbyder disse tjenesteydelser. I forbindelse hermed fremgår det bl.a., at Uber ved hjælp af applikationen "Uber" i det mindste fastsætter en maksimalpris for turen, at selskabet opkræver denne pris hos kunden, inden det betaler en del heraf til den ikke-erhvervsdrivende chauffør, som fører køretøjet, og at selskabet udøver en vis kontrol med kvaliteten af køretøjerne og af chaufførerne samt med chaufførernes optræden, idet chaufførerne på grundlag af denne kontrol i givet fald kan ekskluderes.</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Denne formidlingstjeneste skal således anses for at udgøre en integrerende del af en samlet tjenesteydelse, hvis hovedelement er en transporttjeneste, og skal derfor ikke kvalificeres som "en informationssamfundstjeneste" som omhandlet i artikel 1, stk. 2, i direktiv 98/34, som artikel 2, litra a), i direktiv 2000/31 henviser til, men som en "tjenesteydelse på transportområdet" som omhandlet i artikel 2, stk. 2, litra d), i direktiv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Denne kvalificering bekræftes ganske vist af Domstolens praksis, hvorefter begrebet "tjenesteydelser på transportområdet" ikke kun omfatter transportydelser i sig selv, men også enhver tjenesteydelse, der er uløseligt forbundet med enhver fysisk handling, der består i at flytte personer eller varer fra et sted til et andet ved hjælp af transportmidler (jf. i denne retning dom af 15. oktober 2015, Grupo Itevelesa m.fl., C-168/14, præmis 45 og 46, og udtalelse 2/15 (frihandelsaftalen med Singapore) af 16. maj 2017, præmis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Dom af 10. april 2018</w:t>
        </w:r>
      </w:hyperlink>
      <w:r>
        <w:t xml:space="preserve"> i sag C 320/16, Uber France</w:t>
        <w:noBreakHyphen/>
        <w:t xml:space="preserve">, præmis 21 og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bestemmelse i national ret, der pålægger strafferetlige sanktioner for at organisere et system til at forbinde kunder med chauffører uden den nødvendige tilladelse, vedrører en "tjenesteydelse på transportområdet" (og ikke en "informationssamfundstjeneste"), for så vidt som den formidlingstjeneste, som den finder anvendelse på, udgør en integrerende del af en samlet tjenesteydelse, hvis hovedkomponent er transporttjenesten.</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Domstolen fastslog, at den formidlingstjeneste, som det pågældende selskab leverede, var uløseligt forbundet med dette selskabs udbud af ikke-offentlige transporttjenester i byområder, henset til den omstændighed, at dette selskab for det første leverede en ansøgning, uden hvilken disse chauffører ikke ville være blevet foranlediget til at levere transportydelser, og at de personer, der ønskede at foretage en bykørsel, ikke ville have benyttet sig af de tjenesteydelser, som disse chauffører leverede, og for det andet dette selskab udøvede en afgørende indflydelse på betingelserne for disse chaufførers levering af tjenesteydelser, bl.a. ved at fastsætte den maksimale billetpris, ved at opkræve denne pris hos kunden, inden den betalte en del heraf til den ikke-erhvervsmæssige fører af køretøjet, og ved at udøve en vis kontrol med kvaliteten af køretøjerne, førerne og deres adfærd, hvilket i givet fald kunne føre til, at de blev udelukket (jf. i denne retning dom af 20. december 2017, Asociación Profesional Elite Taxi, C-434/15, Hongkong, præmis 38 og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På grundlag af disse forhold fastslog Domstolen, at den i denne sag omhandlede formidlingstjeneste skulle anses for at udgøre en integrerende del af en samlet tjenesteydelse, hvis hovedelement var en transportydelse, og derfor ikke skulle kvalificeres som en "informationssamfundstjeneste" som omhandlet i artikel 1, stk. 2, i direktiv 98/34, men som en "tjenesteydelse på transportområdet" som omhandlet i artikel 2, stk. 2, litra d), i direktiv 2006/123 (jf. i denne retning dom af 20. december 2017, Asociación Profesional Elite Taxi, C-434/15, præmis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Dom af 26. september 2018</w:t>
        </w:r>
      </w:hyperlink>
      <w:r>
        <w:t xml:space="preserve"> i sag C-137/17, Van Gennip m.fl., præmis 42 og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der gør markedsføringen af produkter betinget af, at køberen er i besiddelse af en tilladelse, er ikke omfattet af begrebet "forskrift vedrørende tjenesteydelser", da de ikke vedrører "informationssamfundstjenester".</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Hvad for det tredje angår kategorien "forskrift vedrørende tjenester" bemærkes, at en sådan regel i henhold til artikel 1, nr. 5), i direktiv 98/34 udgør ethvert krav af generel karakter vedrørende adgang til og udøvelse af de tjenester, der er omhandlet i dette direktivs artikel 1, nr. 2), som betegner "enhver tjeneste i informationssamfundet, dvs. enhver tjeneste, der normalt ydes mod betaling, og som teleformidles ad elektronisk vej på individuel anmodning fra en tjenestemodtager" (dom af 4. februar 2016, Ince, C-336/14, præmis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I det foreliggende tilfælde skal det fastslås, således som generaladvokaten har anført i punkt 73 i forslaget til afgørelse, at den i hovedsagen omhandlede lovgivning ikke vedrører informationssamfundets tjenester som omhandlet i artikel 1, nr. 2), i direktiv 98/34. Denne lovgivning kan derfor ikke henhøre under kategorien "forskrift vedrørende tjenester" i informationssamfundet som omhandlet i dette direktivs artikel 1, nr. 5)."</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Dom af 12. september 2019</w:t>
        </w:r>
      </w:hyperlink>
      <w:r>
        <w:t xml:space="preserve"> i sag C-299/17, VG Media, præmis 32, 33 og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national bestemmelse, der forbyder kommercielle udbydere af søgemaskiner og udbydere af kommercielle indholdstjenester at gøre aviser tilgængelige for offentligheden, udgør en "teknisk forskrift" og skal meddeles Kommissionen.</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regel anses for at være specifikt rettet mod "informationssamfundstjenester", hvis visse bestemmelser forfølger dette formål, selv om det ikke er bestemmelsens eneste formål. Dette formål kan udledes af begrundelsen for reglen, som kan fremgå af forarbejderne, selv om de ikke fremgår udtrykkeligt af selve bestemmelsens ordlyd.</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Det skal i denne forbindelse bemærkes, at i henhold til dette direktivs artikel 1, stk. 5, første led, anses en regel for at være specifikt rettet mod informationssamfundstjenester, både henset til dens begrundelse og dens dispositive del. I henhold til samme bestemmelse er det i øvrigt ikke et krav, at alle de pågældende bestemmelsers "særlige formål og formål" er at regulere informationssamfundstjenester, da det er tilstrækkeligt, at reglen forfølger dette formål eller formål i visse af dens bestemmelser (dom af 20. december 2017, Falbert m.fl., C-255/16, præmis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Selv om det ikke alene fremgår af ordlyden af en national bestemmelse, at den i det mindste delvist har til formål specifikt at regulere informationssamfundstjenester, kan dette formål ikke desto mindre uden videre udledes af begrundelsen for reglen, således som den fremgår, i overensstemmelse med de relevante nationale fortolkningsregler i denne henseende, bl.a. af forarbejderne til denne regel (jf. i denne retning dom af 20. december 2017, Falbert m.fl., C-255/16, præmis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Selv om den forelæggende ret ikke har givet nogen klare angivelser med henblik på at forklare, hvad der specifikt er hensigten og formålet med den i hovedsagen omhandlede nationale lovgivning, fremgår det imidlertid af de bemærkninger, som den tyske regering har afgivet i retsmødet for Domstolen, at formålet med ændringen af UrhG specifikt vedrørte udbyderne af søgemaskiner på internettet. Parterne i hovedsagen og Kommissionen har desuden i deres skriftlige indlæg angivet, at formålet med denne lovgivning var at beskytte udgivere af dagblade og tidsskrifters berettigede interesser i den digitale verden. Den primære hensigt og formålet med den i hovedsagen omhandlede nationale bestemmelse var dermed tilsyneladende at være at beskytte disse udgivere mod ophavsretlige krænkelser foretaget af onlinesøgemaskiner. I den forbindelse synes beskyttelse kun at være blevet anset for nødvendig for leverandører af informationssamfundstjenesters systematiske overtrædelser af onlineudgiveres værker."</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Dom af 19. december 2019</w:t>
        </w:r>
      </w:hyperlink>
      <w:r>
        <w:t xml:space="preserve"> i sag C 390/18</w:t>
        <w:noBreakHyphen/>
        <w:t xml:space="preserve">, Airbnb Ireland, præmis 64-68 og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formidlingstjeneste, der forbinder kunder med udlejere, der tilbyder korttidsudlejning via en elektronisk platform, samtidig med at de leverer accessoriske tjenester, udgør en "informationssamfundstjeneste", fordi de accessoriske tjenester ikke giver væsentlig indflydelse på leveringen af indkvarteringstjenesterne.</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For at en tjeneste kan klassificeres som en "informationssamfundstjeneste", skal den kumulativt opfylde fire betingelser: den skal ydes mod betaling, ved fjernsalg, ad elektronisk vej og efter individuel anmodning fra modtageren.</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Selv samlet betragtet danner de i denne doms præmis 59-63 omtalte ydelser, som leveres af Airbnb Ireland, hvad enten de er valgfrie eller ej, ikke grundlag for at rejse tvivl om, at den formidlingstjeneste, som dette selskab yder, kan adskilles, og dermed om, at den kan kvalificeres som "informationssamfundstjeneste", idet de ikke væsentligt ændrer de særlige kendetegn ved denne tjenesteydelse. I denne henseende ville det i øvrigt være paradoksalt, at sådanne sekundære tillægsydelser, som en elektronisk platform leverer til sine kunder, bl.a. for at skille sig ud fra sine konkurrenter, uden at der foreligger yderligere oplysninger, kunne føre til en ændring af karakteren af og dermed den retlige kvalificering af denne platforms virksomhed, således som generaladvokaten har anført i punkt 46 i forslaget til afgørelse.</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I modsætning til, hvad AHTOP og den franske regering har gjort gældende, kan reglerne for driften af en formidlingstjeneste som den, der leveres af Airbnb, i øvrigt ikke sidestilles med reglerne for den formidlingstjeneste, der gav anledning til dom af 20. december 2017, Asociación Profesional Elite Taxi (C-434/15, præmis 39), og af 10. april 2018, Uber France (C-320/16, præmis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Ud over den omstændighed, at de nævnte domme indgår i den særlige kontekst for passagerbefordring i byområder, som er omfattet af anvendelsesområdet for artikel 58, stk. 1, TEUF, og at de tjenesteydelser, som leveres af Airbnb Ireland, ikke kan sammenlignes med dem, der er omhandlet i de sager, som gav anledning til de domme, der er nævnt i den foregående præmis, kan der ikke på grundlag af de i denne doms præmis 59-63 anførte sekundære ydelser påvises et kontrolniveau som det, Domstolen fastslog i de nævnte domme.</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Domstolen fastslog således i disse domme, at Uber udøvede en afgørende indflydelse på betingelserne for levering af transportydelser fra ikke-erhvervsmæssige chauffører ved hjælp af den anmodning, som dette selskab stillede til rådighed (dom af 20. december 2017, Asociación Profesional Elite Taxi, C-434/15, -dommen, præmis 39, og af 10. april 2018, Uber France, C-320/16, -dommen, præmis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De forhold, som den forelæggende ret har henvist til, og som er nævnt i denne doms præmis 19, godtgør ikke, at Airbnb Ireland udøver en sådan afgørende indflydelse på betingelserne for levering af de indkvarteringstjenester, som selskabets formidlingstjeneste vedrører, så meget desto mere som Airbnb Ireland hverken direkte eller indirekte fastsætter den fakturerede lejepris, således som det er fastslået i denne doms præmis 56 og 62, og endnu mindre udvælger udlejerne eller den indkvartering, der udlejes på selskabets platform."</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Henset til, at Den Franske Republik ikke har givet meddelelse om Hoguet-loven, og henset til den kumulative karakter af de betingelser, der er fastsat i artikel 3, stk. 4, i direktiv 2000/31, og som er nævnt i denne doms præmis 84 og 85, skal det fastslås, at denne lov under alle omstændigheder ikke kan finde anvendelse på en borger, der befinder sig i en situation som Airbnb Ireland i hovedsagen, uanset om denne lov opfylder de øvrige betingelser, der er fastsat i denne bestemmelse."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Dom af 22. oktober 2020</w:t>
        </w:r>
      </w:hyperlink>
      <w:r>
        <w:t xml:space="preserve"> i sag C 275/19, Sportingbet og Internet Opportunity Entertainment</w:t>
        <w:noBreakHyphen/>
        <w:t xml:space="preserve">, præmis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En lovgivning, der giver en offentlig enhed eneret til at drive visse hasardspil, herunder på internettet, er omfattet af definitionen af "forskrifter vedrørende tjenesteydelser", for så vidt som de vedrører en informationssamfundstjeneste.</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I henhold til direktivets artikel 1, stk. 5, består "forskrifter vedrørende tjenester" af ethvert krav af generel karakter i forbindelse med adgang til og udøvelse af den i direktivets artikel 1, stk. 2, omhandlede servicevirksomhed, herunder "enhver tjeneste i informationssamfundet, dvs. enhver tjeneste, der normalt ydes mod betaling, og som teleformidles ad elektronisk vej på individuel anmodning fra en tjenestemodtager".</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I denne henseende har Domstolen allerede fastslået, at bestemmelserne om forbuddet mod at udbyde hasardspil på internettet, undtagelserne fra dette forbud, restriktionerne for udbud af sportsvæddemål på internettet og forbuddet mod at udsende reklamer for hasardspil på internettet kan kvalificeres som "forskrifter vedrørende tjenesteydelser" som omhandlet i artikel 1, stk. 5, i direktiv 98/34, for så vidt som de vedrører en "informationssamfundstjeneste" som omhandlet i dette direktivs artikel 1, stk. 2 (jf. analogt dom af 4. februar 2016, Ince, C-336/14, -dommen, præmis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I det foreliggende tilfælde vedrører reglerne i artikel 2 og 3 i lovdekret nr. 282/2003 imidlertid specifikt informationssamfundets tjenester. Som følge af tildelingen af eneretten til at drive hasardspil på internettet til Santa Casa forbyder disse bestemmelser desuden alle erhvervsdrivende at levere disse tjenesteydelser, med undtagelse af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Dom af 3. december 2020</w:t>
        </w:r>
      </w:hyperlink>
      <w:r>
        <w:t xml:space="preserve">, Star Taxi App (C</w:t>
        <w:noBreakHyphen/>
        <w:t xml:space="preserve">62/19), præmis 52-54 og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En formidlingstjeneste, der blot forbinder kunder med allerede godkendte taxachauffører — uden selv at organisere transporttjenesten, udvælge chauffører, fastsætte takster eller udøve kontrol over køretøjer eller førere — henhører under kategorien "informationssamfundstjenester".</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Desuden kan en lovgivning, der ikke specifikt er rettet mod sådanne tjenester, men som finder anvendelse uden forskel på alle former for forsendelse, herunder telefonisk eller via en applikation, ikke kvalificeres som en "regel om tjenesteydelser".</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For det første fremgår det af forelæggelsesafgørelsen, at til forskel fra den formidlingstjeneste, der var omhandlet i den sag, der gav anledning til dom af 20. december 2017, Asociación Profesional Elite Taxi (sag C-434/15), som tilbød og gav adgang til bytransporttjenester, der blev drevet af ikke-professionelle chauffører, der tidligere var fraværende fra markedet, er den i hovedsagen omhandlede tjenesteydelse, således som generaladvokaten har anført i punkt 49 i forslaget til afgørelse, begrænset til kun at sætte personer, der ønsker at foretage rejser i byområder, i kontakt med godkendte taxachauffører, der allerede udøver denne virksomhed, og for hvem formidlingstjenesten blot er en af flere måder at erhverve kunder på, og ikke en anden, som de på nogen måde er forpligtet til at anvende.</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For det andet kan en sådan formidlingstjeneste ikke anses for at tilrettelægge den generelle funktionsmåde for den efterfølgende bytransporttjeneste, eftersom tjenesteyderen hverken vælger taxachaufførerne, fastsætter eller opkræver prisen for køreturen endsige udøver nogen kontrol med kvaliteten af køretøjerne og chaufførerne eller med sidstnævntes adfærd.</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Det følger heraf, at en formidlingstjeneste som den, der leveres af Star Taxi App, ikke kan anses for en integrerende del af en samlet tjenesteydelse, hvis hovedbestanddel er en transporttjeneste, og derfor skal kvalificeres som en "informationssamfundstjeneste" som omhandlet i artikel 2, litra a), i direktiv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I det foreliggende tilfælde fremgår det af forelæggelsesafgørelsen, at den i hovedsagen omhandlede rumænske lovgivning, hverken lov nr. 38/2003 eller afgørelse nr. 178/2008, på nogen måde nævner tjenester i informationssamfundet. Endvidere vedrører artikel 3, artikel 21, stk. 1 og (31), og artikel 41, stk. 21, i bilag I til afgørelse nr. 178/2008 uden forskel alle typer lastfordelingstjenester, uanset om de leveres telefonisk eller på anden måde, såsom en softwareapplikation.</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Som generaladvokaten har anført i punkt 108 i forslaget til afgørelse, pålægger lov nr. 38/2003 desuden leverandører af taxidispatchingtjenester, som udøver deres virksomhed ved hjælp af en applikation til smartphone, ligesom alle andre operatører, der leverer en dispatchingtjeneste, at være i besiddelse af udstyr — i det foreliggende tilfælde radiosendere/-modtagere — som er uden nytte som følge af de tekniske metoder til leveringen af denne tjeneste.</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Når en lovgivning som den i hovedsagen omhandlede ikke specifikt tager sigte på tjenester i informationssamfundet, vedrører den således kun disse tjenester indirekte eller tilfældigt. En sådan regel kan derfor ikke anses for en "forskrift vedrørende tjenester" som omhandlet i artikel 1, stk. 1, litra e), i direktiv 2015/1535 eller følgelig for en "teknisk forskrift" som omhandlet i dette direktivs artikel 1, stk. 1, litra f)."</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Dom af 29. februar 2024</w:t>
        </w:r>
      </w:hyperlink>
      <w:r>
        <w:rPr>
          <w:rFonts w:ascii="Times New Roman" w:hAnsi="Times New Roman" w:cs="Times New Roman" w:eastAsia="Times New Roman"/>
          <w:b/>
          <w:i/>
          <w:szCs w:val="20"/>
        </w:rPr>
        <w:t xml:space="preserve"> i sag C-606/21, Doctipharma SAS, præmis 26-30 og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Vederlaget for en tjenesteydelse, der leveres af en tjenesteyder som led i en økonomisk aktivitet, skal ikke nødvendigvis betales af modtagerne. Dette gælder for en tjeneste, der leveres på et websted, og som består i at forbinde apotekere og kunder med henblik på salg af lægemidler, hvor tjenesteydelsen betales af de apotekere, der abonnerer på platformen, på grundlag af et fast gebyr.</w:t>
      </w:r>
    </w:p>
    <w:p w14:paraId="60E238C1" w14:textId="77777777">
      <w:pPr>
        <w:pStyle w:val="P68B1DB1-BodyText22"/>
      </w:pPr>
    </w:p>
    <w:p w14:paraId="16BCA1E5" w14:textId="5221BD03">
      <w:pPr>
        <w:pStyle w:val="P68B1DB1-BodyText22"/>
      </w:pPr>
      <w:r>
        <w:t xml:space="preserve">En sådan tjeneste er ikke en del af en samlet tjeneste, hvis hovedelement er underlagt en anden retlig kvalificering end "informationssamfundstjeneste".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Artikel 1, stk. 2, i direktiv 98/34 og artikel 1, stk. 1, litra b), i direktiv 2015/1535 definerer begrebet "informationssamfundstjeneste" som "enhver tjeneste, der normalt ydes mod betaling, og som teleformidles ad elektronisk vej på individuel anmodning fra en tjenestemodtager".</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Hvad i det foreliggende tilfælde angår den første betingelse i disse bestemmelser skal det bemærkes, at det følger af fast retspraksis, at vederlaget for en tjenesteydelse, der leveres af en tjenesteyder som led i en økonomisk virksomhed, ikke nødvendigvis skal betales af modtagerne (jf. i denne retning dom af 15. september 2016, Mc Fadden, C-484/14, præmis 41, og af 4. maj 2017, Vanderborght, C-339/15, EU:C:borght, præmis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Med henblik på at kvalificere en tjeneste som den i hovedsagen omhandlede som omfattet af begrebet "informationssamfundstjeneste" som omhandlet i artikel 1, stk. 2, i direktiv 98/34 og artikel 1, stk. 1, litra b), i direktiv 2015/1535 er det således uden betydning, om denne tjenesteydelse leveres gratis til den person, der køber det ikke-receptpligtige lægemiddel, hvis den giver anledning til, at udbyderen af denne tjeneste og hver enkelt apoteker, der benytter denne tjeneste, indgår en aftale om levering af tjenesteydelser, der indebærer betaling.</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På samme måde er det i denne henseende uden betydning, at Doctipharma — således som selskabet har anført — i henhold til de almindelige salgsbetingelser modtog et vederlag fra de farmaceuter, der havde tilmeldt sig dets platform, på grundlag af et fast beløb, eller at den af Doctipharma leverede ydelse — således som den franske regering har anført — var genstand for et månedligt abonnement, der blev betalt til Doctipharma af de farmaceuter, som var kunder, og en afståelse af en procentdel af salgsbeløbet opkrævet af platformen.</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Det følger heraf, at med forbehold af den efterprøvelse, som det tilkommer den forelæggende ret at foretage, skal den i hovedsagen omhandlede tjenesteydelse under alle omstændigheder anses for at være leveret mod vederlag."</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Denne konklusion drages ikke i tvivl af den praksis, som Domstolen har fastlagt i dom af 20. december 2017, Asociación Profesional Elite Taxi (sag C-434/15), af 19. december 2019, Airbnb Ireland (sag C-390/18), og af 3. december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Det følger af denne retspraksis, at en tjeneste, der har til formål at forbinde kunder med andre udbydere af en anden tjeneste, og som opfylder alle betingelserne i artikel 1, stk. 2, i direktiv 98/34 og artikel 1, stk. 1, litra b), i direktiv 2015/1535, skal kvalificeres som en "informationssamfundstjeneste", når en sådan tjeneste adskiller sig fra den tjeneste af en anden art, der leveres af disse tjenesteydere. Det må imidlertid forholde sig anderledes, hvis det viser sig, at denne tjeneste, der forbinder sælgerne med kunderne, udgør en integrerende del af en samlet tjeneste, hvis hovedelement er underlagt en anden retlig kvalificering end "informationssamfundstjeneste" (dom af 3. december 2020, Star Taxi App, C-62/19, -dommen, præmis 49 og den deri nævnte retspraksis).</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Som generaladvokaten har anført i punkt 28 og 29 i forslaget til afgørelse, kan en tjeneste, der består i at forbinde apotekere og kunder med henblik på salg af ikke-receptpligtige lægemidler fra websteder tilhørende apoteker, der har tilsluttet sig denne tjeneste, ikke udgøre en integrerende del af en samlet tjeneste, hvis hovedelement ikke kan kvalificeres som en "informationssamfundstjeneste"."</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Dom af 13. marts 2025</w:t>
        </w:r>
      </w:hyperlink>
      <w:r>
        <w:rPr>
          <w:rFonts w:ascii="Times New Roman" w:hAnsi="Times New Roman" w:cs="Times New Roman" w:eastAsia="Times New Roman"/>
          <w:b/>
          <w:i/>
          <w:szCs w:val="20"/>
        </w:rPr>
        <w:t xml:space="preserve">, Unigames UAB</w:t>
        <w:noBreakHyphen/>
        <w:t xml:space="preserve">, C 120/24, præmis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Forbuddet mod at reklamere for hasardspil på spillesteder vedrører ikke en reklametjeneste, der er uafhængig af spilletjenesten, men en tjeneste, der ikke kan adskilles fra onlinespilletjenesten. For at afgøre, om der er tale om en "forskrift vedrørende tjenester", skal der derfor først foretages en undersøgelse af kvalificeringen af onlinespiltjenester som "informationssamfundstjenester".</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De betragtninger, der er anført i denne doms præmis 36 og 37</w:t>
      </w:r>
      <w:r>
        <w:rPr>
          <w:i w:val="0"/>
        </w:rPr>
        <w:t xml:space="preserve"> [hvorefter onlinespiltjenester skal anses for at være "informationssamfundstjenester"]</w:t>
      </w:r>
      <w:r>
        <w:t xml:space="preserve">, drages ikke i tvivl af den omstændighed, at de oplysninger om hasardspil, der offentliggøres af udbyderen af hasardspil på dennes websted, ikke nødvendigvis stilles til rådighed "efter individuel anmodning fra en tjenestemodtager". Denne offentliggørelse af oplysninger kan under omstændigheder som de i hovedsagen omhandlede ikke anses for at være en reklametjeneste eller en anden tjeneste, der leveres til modtagere af fjernspilstjenester, men udgør en aktivitet, der er accessorisk og uadskillelig fra de omhandlede fjernspilstjenester, som den har hele sin økonomiske betydning af (jf. analogt dom af 1. oktober 2020, A (Reklame og onlinesalg af lægemidler), C-649/18, -dommen, præmis 56). Det er derfor kun selve spilletjenesterne, der skal opfylde de relevante betingelser for at være omfattet af begrebet "tjeneste" som omhandlet i artikel 1, stk. 1, litra b), i direktiv 2015/1535, og det i hovedsagen omhandlede forbud, der vedrører en sådan offentliggørelse af oplysninger, skal opfylde de specifikke kriterier, der er fastsat i dette direktivs artikel 1, stk. 1, litra e), for at kunne anses for en "regel" vedrørende disse tjenester som omhandlet i sidstnævnte bestemmelse.</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Selv om det i sidstnævnte henseende er ubestridt, at det i hovedsagen omhandlede forbud udgør "et generelt krav" som omhandlet i artikel 1, stk. 1, litra e), i direktiv 2015/1535, skal det for det første undersøges, om det kan anses for at "vedrøre adgang til at optage og udøve servicevirksomhed", idet denne bestemmelse præciserer, at dette navnlig er tilfældet for så vidt angår bestemmelser vedrørende tjenesteyderen, tjenesteydelserne og modtageren af tjenesteydelserne.</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Det skal i denne henseende bemærkes, at spillelovens artikel 10, stk. 19, kan være omfattet af begrebet "forskrift vedrørende tjenesteydelser", for så vidt som den fastsætter et forbud mod bl.a. at tilskynde til deltagelse i fjernspil og navnlig mod at offentliggøre oplysninger om hasardspil på en spiludbyders websted eller mod at foretage handlinger, der tilskynder til deltagelse i spil (jf. i denne retning dom af 22. oktober 2020, Sportingbet og Internet Opportunity Entertainment, C-275/19, deri nævnte dom, præmis 48 og den deri nævnte retspraksis).</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For det andet skal det i hovedsagen omhandlede forbud, således som det fremgår af selve ordlyden af artikel 1, stk. 1, litra e), i direktiv 2015/1535, for at kunne kvalificeres som en "forskrift vedrørende tjenester" være "specifikt" rettet mod informationssamfundets tjenester (jf. i denne retning dom af 12. september 2019, VG Media, C-299/17, -dommen, præmis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I denne henseende fremgår det af artikel 1, stk. 1, litra e), andet afsnit, nr. i), i direktiv 2015/1535, at efterprøvelsen af, om en regel specifikt vedrører informationssamfundets tjenester, skal foretages i lyset af såvel denne bestemmelses ordlyd som det formål, den forfølger. Hertil kommer, at det i henhold til denne bestemmelse ikke kræves, at alle de pågældende bestemmelsers "særlige formål og formål" er at regulere informationssamfundets tjenester, men det er tilstrækkeligt, at den forfølger dette formål ved hjælp af visse af dens bestemmelser (jf. i denne retning dom af 12. september 2019, VG Media, C-299/17, -dommen, præmis 32 og den deri nævnte retspraksis). Endelig fremgår det af dette direktivs artikel 1, stk. 1, litra e), andet afsnit, nr. ii), at en regel ikke anses for specifikt at være rettet mod informationssamfundets tjenester, hvis den kun indirekte eller tilfældigt berører sådanne tjenester."</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Forbudsbestemmelser</w:t>
      </w:r>
      <w:bookmarkEnd w:id="98"/>
      <w:bookmarkEnd w:id="99"/>
    </w:p>
    <w:p w14:paraId="11A12362" w14:textId="77777777">
      <w:pPr>
        <w:pStyle w:val="BodyText"/>
      </w:pPr>
    </w:p>
    <w:p w14:paraId="6DD7108F" w14:textId="22E84863">
      <w:pPr>
        <w:pStyle w:val="P68B1DB1-BodyText11"/>
        <w:ind w:left="567"/>
        <w:rPr>
          <w:iCs/>
        </w:rPr>
      </w:pPr>
      <w:r>
        <w:t xml:space="preserve">"" teknisk forskrift ": medlemsstaternes love og administrative bestemmelser om forbud mod fremstilling, import, markedsføring eller anvendelse af et produkt eller forbud mod levering eller anvendelse af en tjeneste eller mod, at en tjenesteyder etablerer sig, jf. dog artikel 7."</w:t>
      </w:r>
    </w:p>
    <w:p w14:paraId="6EA3335C" w14:textId="77777777">
      <w:pPr>
        <w:pStyle w:val="BodyText"/>
        <w:ind w:left="567"/>
        <w:rPr>
          <w:i/>
          <w:iCs/>
        </w:rPr>
      </w:pPr>
    </w:p>
    <w:p w14:paraId="05F6428B" w14:textId="3C27EE7A">
      <w:pPr>
        <w:pStyle w:val="BodyText"/>
        <w:ind w:left="1440"/>
        <w:jc w:val="right"/>
      </w:pPr>
      <w:r>
        <w:t xml:space="preserve">(artikel 1, stk. 1, litra f), første punktum, i direktiv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Dom af 16. september 1996</w:t>
        </w:r>
      </w:hyperlink>
      <w:r>
        <w:t xml:space="preserve"> i sag C-279/94, Kommissionen mod Italien, præmis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Forbuddet mod markedsføring og anvendelse af asbest er en anmeldelsespligtig "teknisk forskrift", der skal anmeldes, fordi det forbyder markedsføring og anvendelse af et produkt.</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For så vidt angår artikel 1, stk. 2, i lov nr. 257/92 bemærkes det, at bestemmelsen forbyder udvinding, import, eksport, markedsføring og produktion af asbest, af produkter af asbest og af asbestholdige produkter, efter udløbet af en frist på et år regnet fra lovens ikrafttrædelse. En sådan bestemmelse, der forbyder markedsføring og anvendelse af asbest, udgør en teknisk forskrift, som den italienske regering burde have givet meddelelse om i henhold til direktivets artikel 8, stk. 1, første afsnit."</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Dom af 21. april 2005</w:t>
        </w:r>
      </w:hyperlink>
      <w:r>
        <w:t xml:space="preserve"> i sag C-267/03, Lindberg, præmis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Et nationalt forbud mod visse hasardspil kan kvalificeres som en forbudsbestemmelse, hvis det ikke giver plads til nogen anden anvendelse af det pågældende produkt end en rent marginal anvendelse. Kvalificeringen som et forbud afhænger derimod ikke af, hvilken virkning forbuddet har på sammensætningen, arten eller markedsføringen af de pågældende produkter.</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I denne henseende er det vigtigt, at denne tredje kategori af tekniske forskrifter, der er defineret i artikel 1, stk. 9, i direktiv 83/189, til forskel fra den anden kategori, der består af andre krav som omhandlet i artikel 1, stk. 3, i direktiv, ikke omfatter en betingelse om, at det pågældende forbud skal være af en sådan art, at det i væsentlig grad påvirker sammensætningen af produktet, dets art eller markedsføringen heraf.</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For så vidt som denne tredje kategori af tekniske forskrifter vedrører et forbud mod bl.a. anvendelse, skal der være tale om foranstaltninger, der har en rækkevidde, der klart går videre end en begrænsning af visse mulige former for anvendelse af det pågældende produkt, og som således ikke begrænser sig til en simpel indskrænkning af produktets anvendelsesmuligheder.</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Således som generaladvokaten har anført i punkt 70 i forslaget til afgørelse, omfatter denne kategori af tekniske forskrifter nærmere bestemt nationale bestemmelser, der ikke giver mulighed for former for anvendelse af det pågældende produkt, som det med rimelighed kunne forventes anvendt til, men derimod kun for rent marginale former for anvendelse. Det tilkommer den nationale ret at efterprøve, om det forbud, der følger af den i hovedsagen omhandlede nationale bestemmelse, udgør en sådan foranstaltning."</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Dom af 8. september 2005</w:t>
        </w:r>
      </w:hyperlink>
      <w:r>
        <w:t xml:space="preserve"> i sag C-303/04, Lidl Italia, præmis 12 og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Et nationalt forbud mod markedsføring af produkter, der ikke er fremstillet af bestemte materialer, udgør en bestemmelse, der forbyder fremstilling og markedsføring af produkter.</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i henhold til artikel 1, stk. 11, i direktiv 98/34 skal en national bestemmelse i en medlemsstat, der forbyder fremstilling, import, markedsføring eller anvendelse af et produkt, anses for en kategori af tekniske forskrifter (jf. dom af 2005, sag C-267/03, Lindberg, Sml. I, s. 0000, præmis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I det foreliggende tilfælde er det tilstrækkeligt at fastslå, at artikel 19, stk. 2, i lov nr. 93/2001 er en sådan bestemmelse. I henhold til denne bestemmelse udgør fremstilling og markedsføring af bomuldsknopper, der ikke udviser de nævnte egenskaber, dvs. knopper, der ikke udelukkende er fremstillet af bionedbrydelige materialer i overensstemmelse med UNI 10785-normerne, overtrædelser, der kan medføre administrative sanktioner."</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Dom af 26. oktober 2006</w:t>
        </w:r>
      </w:hyperlink>
      <w:r>
        <w:t xml:space="preserve"> i sag C-65/05, Kommissionen mod Grækenland, præmis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Foranstaltninger, der forbyder installation uden for kasinoer af alle former for elektrisk eller elektronisk spiludstyr og anvendelse af computerspil i virksomheder, der leverer internettjenester, samt krav om udstedelse af en særlig licens for disse virksomheders drift, skal anses for tekniske forskrifter.</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foranstaltninger som dem, der er fastsat i artikel 2 (1) og 3 i lov nr. 3037/2002, for så vidt som de forbyder installation i Grækenland af alle elektriske, elektromekaniske og elektroniske spil, herunder alle computerspil, i alle offentlige og private lokaler, bortset fra kasinoer, og anvendelse af spil på computere i virksomheder, der leverer internettjenester, og gør disse virksomheders drift betinget af, at der udstedes en særlig tilladelse, skal anses for tekniske forskrifter som omhandlet i artikel 1, stk. 11, i direktiv 98/34 (jf. i denne retning dom af 2005, sag</w:t>
        <w:noBreakHyphen/>
        <w:t xml:space="preserve">267/03, Lindberg, Sml. I</w:t>
        <w:noBreakHyphen/>
        <w:t xml:space="preserve">, s. 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Dom af 19. juli 2012</w:t>
        </w:r>
      </w:hyperlink>
      <w:r>
        <w:t xml:space="preserve">, Fortuna m.fl. (C-213/11, C-214/11 og C-217/11), præmis 24 og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En foranstaltning, der forbyder anvendelse af spilleautomater uden for kasinoer, skal kvalificeres som en "teknisk forskrift".</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Domstolen har allerede fastslået, at foranstaltninger, der forbyder anvendelsen af alle elektriske, elektromekaniske og elektroniske spil i alle offentlige og private lokaler med undtagelse af kasinoer, skal betragtes som tekniske forskrifter i den forstand, hvori udtrykket er anvendt i artikel 1, stk. 11, i direktiv 98/34 (dom af 2006, sag C-65/05, Kommissionen mod Grækenland, Sml. I, s. 10341, præmis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En foranstaltning som artikel 14, stk. 1, i lov om hasardspil, som kun tillader spillekasinoer at foranstalte automatspil, skal derfor kvalificeres som en "teknisk forskrift" som omhandlet i artikel 1, stk. 11, i direktiv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Dom af 27. oktober 2016</w:t>
        </w:r>
      </w:hyperlink>
      <w:r>
        <w:t xml:space="preserve"> i sag C-613/14, James Elliott Construction, præmis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der fastsætter implicitte kontraktvilkår vedrørende salgsegnethed, brugsegnethed eller den generelle kvalitet af de solgte produkter, udgør ikke bestemmelser om forbud.</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den i hovedsagen omhandlede lovgivning er ikke omfattet af anvendelsesområdet for de tekniske forskrifter, der er omhandlet i artikel 1, stk. 11, i direktiv 98/34, for så vidt som den ved blot at fastsætte implicitte kontraktlige krav ikke indeholder noget forbud i dette direktivs forstand mod fremstilling, import, markedsføring eller anvendelse af et produkt, levering eller anvendelse af en tjenesteydelse eller etablering som tjenesteyder."</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Dom af 28. maj 2020</w:t>
        </w:r>
      </w:hyperlink>
      <w:r>
        <w:t xml:space="preserve"> i sag C-727/17, ECO-WIND Construction, præmis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En lovgivning, der fastsætter en minimumsafstand for installation af vindmøller, udgør ikke et forbud mod fremstilling, import, markedsføring eller anvendelse af et produkt, medmindre den indebærer et faktisk forbud mod markedsføring af vindmøller, der ikke giver plads til anden anvendelse af vindmøller end en rent marginal.</w:t>
      </w:r>
    </w:p>
    <w:p w14:paraId="57350EE4" w14:textId="77777777">
      <w:pPr>
        <w:pStyle w:val="BodyText"/>
        <w:jc w:val="left"/>
      </w:pPr>
    </w:p>
    <w:p w14:paraId="671DACC6" w14:textId="1CB89713">
      <w:pPr>
        <w:pStyle w:val="P68B1DB1-BodyText19"/>
        <w:ind w:left="567"/>
        <w:rPr>
          <w:iCs/>
        </w:rPr>
      </w:pPr>
      <w:r>
        <w:t xml:space="preserve">"45. Denne kategori forudsætter, at den omhandlede foranstaltning har en rækkevidde, der klart går ud over en begrænsning til visse anvendelser af det omhandlede produkt, og at den ikke er begrænset til en simpel begrænsning af dets anvendelse (dom af 21. april 2005, Lindberg, C-267/03, -dommen, præmis 76, og af 19. juli 2012, Fortuna m.fl., C-213/11, C-214/11 og C-217/11, præmis 31).</w:t>
      </w:r>
    </w:p>
    <w:p w14:paraId="787A0A4F" w14:textId="77777777">
      <w:pPr>
        <w:pStyle w:val="P68B1DB1-BodyText19"/>
        <w:ind w:left="567"/>
        <w:rPr>
          <w:iCs/>
        </w:rPr>
      </w:pPr>
    </w:p>
    <w:p w14:paraId="7CEA657E" w14:textId="35F61E5B">
      <w:pPr>
        <w:pStyle w:val="P68B1DB1-BodyText19"/>
        <w:ind w:left="567"/>
        <w:rPr>
          <w:iCs/>
        </w:rPr>
      </w:pPr>
      <w:r>
        <w:t xml:space="preserve">46. Denne kategori har navnlig til formål at dække nationale foranstaltninger, der ikke giver mulighed for anden anvendelse af det pågældende produkt end en rent marginal anvendelse (dom af 21. april 2005, Lindberg, C-267/03, præmis 77, og af 19. juli 2012, Fortuna m.fl., C-213/11, C-214/11 og C-217/11, præmis 32).</w:t>
      </w:r>
    </w:p>
    <w:p w14:paraId="47448916" w14:textId="77777777">
      <w:pPr>
        <w:pStyle w:val="P68B1DB1-BodyText19"/>
        <w:ind w:left="567"/>
        <w:rPr>
          <w:iCs/>
        </w:rPr>
      </w:pPr>
    </w:p>
    <w:p w14:paraId="6508CA59" w14:textId="00D7F268">
      <w:pPr>
        <w:pStyle w:val="P68B1DB1-BodyText19"/>
        <w:ind w:left="567"/>
        <w:rPr>
          <w:iCs/>
        </w:rPr>
      </w:pPr>
      <w:r>
        <w:t xml:space="preserve">47. Selv om kravet om, at opstillingen af en vindmølle er betinget af, at betingelsen om en minimumsafstand mellem denne vindmølle og beboelsesejendomme, som er fastsat i den i hovedsagen omhandlede nationale lovgivning, er opfyldt i det foreliggende tilfælde, ganske vist omfatter et forbud mod at installere en vindmølle i en minimumsafstand, der er mindre end ti gange den samlede højde af den planlagte installation fra enhver bygning, der anvendes til beboelse, skal det imidlertid bemærkes, at denne lovgivning imidlertid ikke forbyder de erhvervsdrivende at fortsætte med at installere vindmøller og dermed anvende og markedsføre vindmøller."</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Fakto-tekniske forskrifter</w:t>
      </w:r>
      <w:bookmarkEnd w:id="109"/>
      <w:bookmarkEnd w:id="110"/>
    </w:p>
    <w:p w14:paraId="297F85EC" w14:textId="77777777">
      <w:pPr>
        <w:pStyle w:val="BodyText"/>
      </w:pPr>
    </w:p>
    <w:p w14:paraId="6C908457" w14:textId="3B825828">
      <w:pPr>
        <w:pStyle w:val="P68B1DB1-BodyText11"/>
        <w:ind w:left="567"/>
        <w:rPr>
          <w:i/>
        </w:rPr>
      </w:pPr>
      <w:r>
        <w:t xml:space="preserve">"De facto tekniske forskrifter skal omfatte: </w:t>
      </w:r>
    </w:p>
    <w:p w14:paraId="277715A6" w14:textId="77777777">
      <w:pPr>
        <w:pStyle w:val="BodyText"/>
        <w:ind w:left="567"/>
        <w:rPr>
          <w:i/>
        </w:rPr>
      </w:pPr>
    </w:p>
    <w:p w14:paraId="28BCD2BD" w14:textId="757EEC79">
      <w:pPr>
        <w:pStyle w:val="P68B1DB1-BodyText11"/>
        <w:numPr>
          <w:ilvl w:val="0"/>
          <w:numId w:val="31"/>
        </w:numPr>
        <w:rPr>
          <w:i/>
        </w:rPr>
      </w:pPr>
      <w:r>
        <w:t xml:space="preserve">en medlemsstats love eller administrative bestemmelser, der henviser enten til tekniske specifikationer eller andre krav eller forskrifter vedrørende tjenester, eller til fagkodekser eller kodekser for god praksis, der igen henviser til tekniske specifikationer eller andre krav eller forskrifter vedrørende tjenester, og hvis overholdelse giver formodning om, at der er overensstemmelse med de krav, der er fastsat i de nævnte love eller administrative bestemmelser </w:t>
      </w:r>
    </w:p>
    <w:p w14:paraId="32E4257D" w14:textId="77777777">
      <w:pPr>
        <w:pStyle w:val="BodyText"/>
        <w:ind w:left="1287"/>
        <w:rPr>
          <w:i/>
        </w:rPr>
      </w:pPr>
    </w:p>
    <w:p w14:paraId="5E0B6B62" w14:textId="2D5EF06C">
      <w:pPr>
        <w:pStyle w:val="P68B1DB1-BodyText11"/>
        <w:numPr>
          <w:ilvl w:val="0"/>
          <w:numId w:val="31"/>
        </w:numPr>
        <w:rPr>
          <w:i/>
        </w:rPr>
      </w:pPr>
      <w:r>
        <w:t xml:space="preserve">frivillige aftaler, som de offentlige myndigheder er kontraherende part i, og som af hensyn til almenvellet tager sigte på at opfylde tekniske specifikationer eller andre krav eller forskrifter vedrørende tjenester, bortset fra udbudsbetingelser i forbindelse med offentlige indkøbsaftaler </w:t>
      </w:r>
    </w:p>
    <w:p w14:paraId="4BEF10A9" w14:textId="77777777">
      <w:pPr>
        <w:pStyle w:val="BodyText"/>
        <w:rPr>
          <w:i/>
        </w:rPr>
      </w:pPr>
    </w:p>
    <w:p w14:paraId="5C79F6B1" w14:textId="7967F579">
      <w:pPr>
        <w:pStyle w:val="P68B1DB1-BodyText11"/>
        <w:numPr>
          <w:ilvl w:val="0"/>
          <w:numId w:val="31"/>
        </w:numPr>
        <w:rPr>
          <w:i/>
        </w:rPr>
      </w:pPr>
      <w:r>
        <w:t xml:space="preserve">tekniske specifikationer, andre krav eller forskrifter vedrørende tjenester, til hvilke der er knyttet skattemæssige eller finansielle foranstaltninger, som påvirker forbruget af produkterne eller tjenesterne ved at tilskynde til overholdelse af disse tekniske specifikationer eller andre krav eller forskrifter vedrørende tjenester; tekniske specifikationer eller andre krav eller forskrifter vedrørende tjenester, som er knyttet til de nationale sociale sikringsordninger, er ikke omfattet. </w:t>
      </w:r>
    </w:p>
    <w:p w14:paraId="712A28B1" w14:textId="77777777">
      <w:pPr>
        <w:pStyle w:val="BodyText"/>
        <w:rPr>
          <w:i/>
        </w:rPr>
      </w:pPr>
    </w:p>
    <w:p w14:paraId="24545D3F" w14:textId="615DFC82">
      <w:pPr>
        <w:pStyle w:val="P68B1DB1-BodyText11"/>
        <w:ind w:left="567"/>
        <w:rPr>
          <w:i/>
        </w:rPr>
      </w:pPr>
      <w:r>
        <w:t xml:space="preserve">Dette omfatter tekniske forskrifter, der er pålagt af de af medlemsstaterne udpegede myndigheder, og som er opført på en liste, som Kommissionen udarbejder og ajourfører i givet fald inden for rammerne af det udvalg, der er omhandlet i artikel 2."</w:t>
      </w:r>
    </w:p>
    <w:p w14:paraId="5E87FB40" w14:textId="77777777">
      <w:pPr>
        <w:pStyle w:val="BodyText"/>
        <w:ind w:left="567"/>
        <w:rPr>
          <w:i/>
        </w:rPr>
      </w:pPr>
    </w:p>
    <w:p w14:paraId="5389ED96" w14:textId="0CBC1966">
      <w:pPr>
        <w:pStyle w:val="BodyText"/>
        <w:jc w:val="right"/>
      </w:pPr>
      <w:r>
        <w:t xml:space="preserve">(artikel 1, stk. 1, litra f), andet og tredje punktum, i direktiv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Dom af 20. marts 1997</w:t>
        </w:r>
      </w:hyperlink>
      <w:r>
        <w:t xml:space="preserve"> i sag C-13/96, Bic Benelux, præmis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Et mærkningskrav, der har til formål at oplyse forbrugeren om visse varers miljøaftryk, og som er knyttet til en afgift, men udgør en teknisk specifikation. Den kan ikke anses for udelukkende at være "knyttet til en skattemæssig foranstaltning" og er derfor ikke omfattet af definitionen af "de facto tekniske forskrifter".</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for det første udgør det i hovedsagen omhandlede mærkningskrav i henhold til definitionen i artikel 1, stk. 5, i direktiv 83/189 en retlig teknisk forskrift, for så vidt som den "skal overholdes [...] i forbindelse med markedsføring" af det pågældende produkt, og for så vidt som den ifølge definitionen i artikel 1, stk. 1, er en teknisk specifikation, idet der i forordningen defineres "de egenskaber, der kræves af et produkt, såsom [...] de krav, der gælder for produktet med hensyn til mærkning eller etikettering".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Det bemærkes for det andet, at den pågældende mærkning navnlig har til formål at informere offentligheden om varernes indvirkning på miljøet, og at den belgiske regering har bekræftet den betydning, som dette aspekt af mærkningsforskrifterne skal tillægges. Formålet med miljøafgiften, der vedrører miljøbeskyttelse, forstærkes således gennem mærkningen, der ligesom andre miljømærker med eller uden anvendelse af miljøafgifter påminder forbrugerne om de pågældende varers skadelige indvirkning på miljøet.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Da det omtvistede mærkningskrav på ingen måde kan anses for udelukkende at være en fiskal ledsageforanstaltning, udgør det derfor ikke et krav, der er knyttet til en fiskal foranstaltning som omhandlet i artikel 1, stk. 9, andet afsnit, tredje led, i direktiv 83/189, som ændret ved direktiv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Dom af 10. juli 2014 i sag</w:t>
        </w:r>
        <w:r>
          <w:rPr>
            <w:b/>
            <w:i/>
          </w:rPr>
          <w:t xml:space="preserve"> C-307/13,</w:t>
        </w:r>
        <w:r>
          <w:rPr>
            <w:b/>
            <w:i/>
            <w:color w:val="0000FF"/>
            <w:u w:val="single"/>
          </w:rPr>
          <w:t xml:space="preserve"> </w:t>
        </w:r>
        <w:r>
          <w:rPr>
            <w:b/>
            <w:i/>
          </w:rPr>
          <w:t xml:space="preserve"> Ivansson m.fl.</w:t>
        </w:r>
        <w:r>
          <w:rPr>
            <w:b/>
            <w:i/>
            <w:color w:val="0000FF"/>
            <w:u w:val="single"/>
          </w:rPr>
          <w:t xml:space="preserve">, præmis 30 og 31</w:t>
        </w:r>
      </w:hyperlink>
      <w:r>
        <w:rPr>
          <w:sz w:val="25"/>
        </w:rPr>
        <w: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En henvisning til detaljerede administrative forskrifter, der indeholder "tekniske specifikationer" eller "andre krav", kan give et lovforslag status som "faktisk teknisk forskrift".</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det må fastslås, at selv om denne </w:t>
      </w:r>
      <w:r>
        <w:rPr>
          <w:i w:val="0"/>
        </w:rPr>
        <w:t xml:space="preserve">bestemmelse ikke</w:t>
      </w:r>
      <w:r>
        <w:t xml:space="preserve"> i sig selv udgør en teknisk forskrift, henviser den i andet afsnit til supplerende bestemmelser vedrørende hønseopdræt, som på et senere tidspunkt ville blive meddelt af Landbrugsstyrelsen.</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En sådan henvisning til mere detaljerede administrative forskrifter kan, for så vidt som disse regler i sig selv kan anses for at udgøre "tekniske specifikationer" eller "andre krav", give DSF's § 9 karakter af "faktisk teknisk forskrift" i henhold til artikel 1, stk. 11, første led, i direktiv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Dom af 11. juni 2015</w:t>
        </w:r>
      </w:hyperlink>
      <w:r>
        <w:t xml:space="preserve"> i sag C-98/14, Berlington Hungary m.fl., præmis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Nationale bestemmelser, der multiplicerer afgiften på spilleautomater, der drives i spillehaller, med fem, og som også indfører en proportional afgift på denne virksomhed, udgør ikke "de facto tekniske forskrifter", da der er tale om fiskale bestemmelser og ikke "tekniske specifikationer, der er knyttet til en fiskal forskrift" i direktivets forstand.</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I henhold til dette direktivs artikel 1, stk. 11, tredje led, består "de facto tekniske forskrifter" i denne bestemmelses forstand af "tekniske specifikationer eller andre krav eller forskrifter vedrørende tjenester, der er knyttet til skattemæssige eller finansielle foranstaltninger, der påvirker forbruget af produkter eller tjenester ved at tilskynde til overholdelse af sådanne tekniske specifikationer eller andre krav eller forskrifter vedrørende tjenester".</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Det følger af denne ordlyd, at begrebet "de facto tekniske forskrifter" ikke omfatter selve skatteforanstaltningerne, men de tekniske specifikationer eller andre krav, der er knyttet hertil.</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En skattelovgivning som den i hovedsagen omhandlede, der ikke er ledsaget af nogen teknisk specifikation eller noget andet krav, som den angiveligt har til formål at sikre overholdelse af, kan derfor ikke betegnes som en "faktisk teknisk forskrift"."</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Dom af 8. oktober 2020</w:t>
        </w:r>
      </w:hyperlink>
      <w:r>
        <w:t xml:space="preserve">, Admiral Sportwetten m.fl., præmis 38 og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Skattelovgivning, der ikke er ledsaget af nogen "teknisk specifikation" eller noget andet krav, som den har til formål at sikre overholdelsen af, kan ikke kvalificeres som en "faktisk teknisk forskrift". En national skattelovgivning, der fastsætter beskatning af driften af spilleautomater til sportsvæddemål, udgør derfor ikke en "teknisk forskrift".</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hvad angår de facto-tekniske forskrifter som omhandlet i artikel 1, stk. 1, litra f), nr. iii), i direktiv 2015/1535 har Domstolen allerede fastslået, at en skattelovgivning, der ikke er ledsaget af nogen teknisk specifikation eller noget andet krav, som den angiveligt har til formål at sikre overholdelsen af, ikke kan kvalificeres som en "faktisk teknisk forskrift" (jf. i denne retning dom af 11. juni 2015, Berlington Hungary m.fl.,</w:t>
        <w:noBreakHyphen/>
        <w:t xml:space="preserve">C 98/14, præmis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Henset til samtlige ovenstående betragtninger skal det første spørgsmål derfor besvares med, at artikel 1 i direktiv 2015/1535 skal fortolkes således, at en national afgiftsregel, der fastsætter beskatning af driften af væddemålsterminaler, ikke udgør en "teknisk forskrift" som omhandlet i denne artikel."</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Dom af 22. december 2022</w:t>
        </w:r>
      </w:hyperlink>
      <w:r>
        <w:rPr>
          <w:rFonts w:ascii="Times New Roman" w:hAnsi="Times New Roman" w:cs="Times New Roman" w:eastAsia="Times New Roman"/>
          <w:b/>
          <w:i/>
          <w:szCs w:val="20"/>
        </w:rPr>
        <w:t xml:space="preserve"> i sag C</w:t>
        <w:noBreakHyphen/>
        <w:t xml:space="preserve">83/21, Airbnb Ireland og Airbnb Payments UK, præmis 29 og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Lovgivning af fiskal karakter kan ikke i sig selv kvalificeres som en "de facto teknisk forskrift".</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Hvad for det tredje angår direktiv 2015/1535 skal det bemærkes, at dette direktiv henviser til "[EUF-traktaten], navnlig artikel 114, 337 og 43". Det skal således indledningsvis bemærkes, at den undtagelse, der er fastsat i artikel 114, stk. 2, TEUF vedrørende "fiskale bestemmelser", ligeledes finder anvendelse i forhold til dette direktiv af de grunde, der er anført i nærværende doms præmis 25.</w:t>
      </w:r>
    </w:p>
    <w:p w14:paraId="5619063A" w14:textId="77777777">
      <w:pPr>
        <w:pStyle w:val="P68B1DB1-BodyText19"/>
        <w:ind w:left="567"/>
      </w:pPr>
    </w:p>
    <w:p w14:paraId="43BD732D" w14:textId="6B6E6B11">
      <w:pPr>
        <w:pStyle w:val="P68B1DB1-BodyText19"/>
        <w:ind w:left="567"/>
        <w:rPr>
          <w:iCs/>
        </w:rPr>
      </w:pPr>
      <w:r>
        <w:t xml:space="preserve">30. Indholdet af direktiv 2015/1535 bekræfter desuden indirekte, at "fiskale bestemmelser" er udelukket fra direktivets anvendelsesområde, idet ordlyden af dette direktivs artikel 1, stk. 1, litra f), nr. iii), blandt de tekniske forskrifter, som faktisk skal overholdes, nævner tekniske specifikationer og andre krav eller forskrifter vedrørende tjenester, "til hvilke der er knyttet skattemæssige eller finansielle foranstaltninger". Der er således ikke tale om faktiske skatteforanstaltninger, men kun om foranstaltninger, der er knyttet til skatteforanstaltninger (jf. i denne retning dom af 8. oktober 2020, Admiral Sportwetten m.fl., C-711/19, -dommen, præmis 38). sidstnævnte er derfor som sådan ikke omfattet af dette direktivs anvendelsesområde."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Udelukkede spørgsmål</w:t>
      </w:r>
      <w:bookmarkEnd w:id="117"/>
      <w:bookmarkEnd w:id="118"/>
      <w:bookmarkEnd w:id="119"/>
    </w:p>
    <w:p w14:paraId="1278603B" w14:textId="77777777">
      <w:pPr>
        <w:pStyle w:val="BodyText"/>
        <w:rPr>
          <w:b/>
          <w:bCs/>
        </w:rPr>
      </w:pPr>
    </w:p>
    <w:p w14:paraId="1B32B976" w14:textId="77777777">
      <w:pPr>
        <w:pStyle w:val="P68B1DB1-BodyText11"/>
        <w:ind w:left="567"/>
      </w:pPr>
      <w:r>
        <w:t xml:space="preserve">"2. Dette direktiv finder ikke anvendelse på: </w:t>
      </w:r>
    </w:p>
    <w:p w14:paraId="04019AF2" w14:textId="77777777">
      <w:pPr>
        <w:pStyle w:val="P68B1DB1-BodyText11"/>
        <w:ind w:left="1287" w:firstLine="153"/>
      </w:pPr>
      <w:r>
        <w:t xml:space="preserve">a) radiospredningstjenester </w:t>
      </w:r>
    </w:p>
    <w:p w14:paraId="1EADA741" w14:textId="108B47F0">
      <w:pPr>
        <w:pStyle w:val="P68B1DB1-BodyText11"/>
        <w:ind w:left="1440"/>
      </w:pPr>
      <w:r>
        <w:t xml:space="preserve">b) tv-spredningstjenester, der er omfattet af artikel 1, stk. 1, litra e), i Europa-Parlamentets og Rådets direktiv 2010/13/EU (1). </w:t>
      </w:r>
    </w:p>
    <w:p w14:paraId="7DD31811" w14:textId="77777777">
      <w:pPr>
        <w:pStyle w:val="P68B1DB1-BodyText11"/>
        <w:ind w:left="567"/>
      </w:pPr>
    </w:p>
    <w:p w14:paraId="21C04911" w14:textId="0885ED27">
      <w:pPr>
        <w:pStyle w:val="P68B1DB1-BodyText11"/>
        <w:ind w:left="567"/>
      </w:pPr>
      <w:r>
        <w:t xml:space="preserve">3. Dette direktiv finder ikke anvendelse på regler vedrørende spørgsmål, der er omfattet af EU-lovgivningen om teletjenester, som er omfattet af Europa-Parlamentets og Rådets direktiv 2002/21/EF (2). </w:t>
      </w:r>
    </w:p>
    <w:p w14:paraId="14E66827" w14:textId="77777777">
      <w:pPr>
        <w:pStyle w:val="P68B1DB1-BodyText11"/>
        <w:ind w:left="567"/>
      </w:pPr>
    </w:p>
    <w:p w14:paraId="21D3AD3B" w14:textId="663656A4">
      <w:pPr>
        <w:pStyle w:val="P68B1DB1-BodyText11"/>
        <w:ind w:left="567"/>
      </w:pPr>
      <w:r>
        <w:t xml:space="preserve">4. Dette direktiv finder ikke anvendelse på regler vedrørende spørgsmål, der er omfattet af EU-lovgivningen om finansielle tjenesteydelser, som ikke er udtømmende anført i bilag II til dette direktiv. </w:t>
      </w:r>
    </w:p>
    <w:p w14:paraId="0E58960E" w14:textId="77777777">
      <w:pPr>
        <w:pStyle w:val="P68B1DB1-BodyText11"/>
        <w:ind w:left="567"/>
      </w:pPr>
    </w:p>
    <w:p w14:paraId="66AEA247" w14:textId="77777777">
      <w:pPr>
        <w:pStyle w:val="P68B1DB1-BodyText11"/>
        <w:ind w:left="567"/>
      </w:pPr>
      <w:r>
        <w:t xml:space="preserve">5. Med undtagelse af artikel 5, stk. 3, finder dette direktiv ikke anvendelse på forskrifter vedtaget af eller for regulerede markeder som defineret i Europa-Parlamentets og Rådets direktiv 2004/39/EF (3) eller af eller for andre markeder eller organer, der udfører clearing- eller afviklingsfunktioner for disse markeder.</w:t>
      </w:r>
    </w:p>
    <w:p w14:paraId="5D510CB9" w14:textId="77777777">
      <w:pPr>
        <w:pStyle w:val="P68B1DB1-BodyText11"/>
        <w:ind w:left="567"/>
      </w:pPr>
    </w:p>
    <w:p w14:paraId="70E3F74F" w14:textId="117D7E99">
      <w:pPr>
        <w:pStyle w:val="P68B1DB1-BodyText11"/>
        <w:ind w:left="567"/>
      </w:pPr>
      <w:r>
        <w:t xml:space="preserve">6. Direktivet gælder ikke foranstaltninger, som medlemsstaterne anser for nødvendige inden for rammerne af traktaterne for at sikre beskyttelsen af personer og navnlig arbejdstagere under anvendelsen af produkterne, såfremt foranstaltningerne ikke berører produkterne.</w:t>
      </w:r>
    </w:p>
    <w:p w14:paraId="24FE75EA" w14:textId="77777777">
      <w:pPr>
        <w:pStyle w:val="P68B1DB1-BodyText11"/>
        <w:ind w:left="567"/>
      </w:pPr>
    </w:p>
    <w:p w14:paraId="74938EC0" w14:textId="5965F3C9">
      <w:pPr>
        <w:pStyle w:val="BodyText"/>
        <w:ind w:left="1080"/>
        <w:jc w:val="right"/>
      </w:pPr>
      <w:r>
        <w:t xml:space="preserve">(Artikel 1, stk. 2-(6), i direktiv (EU) 2015/1535)</w:t>
      </w:r>
    </w:p>
    <w:p w14:paraId="2BAD670C" w14:textId="77777777">
      <w:pPr>
        <w:pStyle w:val="BodyText"/>
        <w:rPr>
          <w:i/>
          <w:iCs/>
          <w:sz w:val="20"/>
        </w:rPr>
      </w:pPr>
    </w:p>
    <w:p w14:paraId="0C974BBF" w14:textId="3B58908A">
      <w:pPr>
        <w:pStyle w:val="P68B1DB1-BodyText23"/>
        <w:ind w:left="567"/>
        <w:rPr>
          <w:iCs/>
        </w:rPr>
      </w:pPr>
      <w:r>
        <w:t xml:space="preserve">"" fjernsynsudsendelse "eller" fjernsynsudsendelse "(dvs. en lineær audiovisuel medietjeneste): en audiovisuel medietjeneste, der udbydes af en medietjenesteudbyder med henblik på samtidig modtagelse af programmer på grundlag af en programflade"</w:t>
      </w:r>
    </w:p>
    <w:p w14:paraId="68D48BC5" w14:textId="77777777">
      <w:pPr>
        <w:pStyle w:val="BodyText"/>
        <w:ind w:left="567"/>
        <w:rPr>
          <w:i/>
          <w:iCs/>
          <w:szCs w:val="24"/>
        </w:rPr>
      </w:pPr>
    </w:p>
    <w:p w14:paraId="1E9F9AD6" w14:textId="648E8643">
      <w:pPr>
        <w:pStyle w:val="BodyText"/>
        <w:ind w:left="1080"/>
        <w:jc w:val="right"/>
      </w:pPr>
      <w:r>
        <w:t xml:space="preserve">(Artikel 1, stk. 1, litra e), i direktiv 2010/13/EU)</w:t>
      </w:r>
    </w:p>
    <w:p w14:paraId="13E3D11F" w14:textId="77777777">
      <w:pPr>
        <w:pStyle w:val="BodyText"/>
        <w:ind w:left="1080"/>
        <w:jc w:val="right"/>
      </w:pPr>
    </w:p>
    <w:p w14:paraId="6E0ADBB8" w14:textId="55100584">
      <w:pPr>
        <w:pStyle w:val="P68B1DB1-BodyText11"/>
        <w:jc w:val="center"/>
        <w:rPr>
          <w:i/>
        </w:rPr>
      </w:pPr>
      <w:r>
        <w:t xml:space="preserve">Vejledende liste over finansielle tjenesteydelser som omhandlet i artikel 1, stk. 4</w:t>
      </w:r>
    </w:p>
    <w:p w14:paraId="25F72A02" w14:textId="77777777">
      <w:pPr>
        <w:pStyle w:val="BodyText"/>
        <w:jc w:val="center"/>
        <w:rPr>
          <w:i/>
        </w:rPr>
      </w:pPr>
    </w:p>
    <w:p w14:paraId="319C26B1" w14:textId="77777777">
      <w:pPr>
        <w:pStyle w:val="P68B1DB1-BodyText11"/>
        <w:ind w:left="567"/>
        <w:rPr>
          <w:i/>
        </w:rPr>
      </w:pPr>
      <w:r>
        <w:t xml:space="preserve">— Investeringsservice </w:t>
      </w:r>
    </w:p>
    <w:p w14:paraId="4E853016" w14:textId="77777777">
      <w:pPr>
        <w:pStyle w:val="P68B1DB1-BodyText11"/>
        <w:ind w:left="567"/>
        <w:rPr>
          <w:i/>
        </w:rPr>
      </w:pPr>
      <w:r>
        <w:t xml:space="preserve">forsikrings- og genforsikringsvirksomhed </w:t>
      </w:r>
    </w:p>
    <w:p w14:paraId="6692A963" w14:textId="77777777">
      <w:pPr>
        <w:pStyle w:val="P68B1DB1-BodyText11"/>
        <w:ind w:left="567"/>
        <w:rPr>
          <w:i/>
        </w:rPr>
      </w:pPr>
      <w:r>
        <w:t xml:space="preserve">— bankvirksomhed </w:t>
      </w:r>
    </w:p>
    <w:p w14:paraId="23791C4C" w14:textId="77777777">
      <w:pPr>
        <w:pStyle w:val="P68B1DB1-BodyText11"/>
        <w:ind w:left="567"/>
        <w:rPr>
          <w:i/>
        </w:rPr>
      </w:pPr>
      <w:r>
        <w:t xml:space="preserve">— transaktioner vedrørende pensionskasser </w:t>
      </w:r>
    </w:p>
    <w:p w14:paraId="783F6792" w14:textId="77777777">
      <w:pPr>
        <w:pStyle w:val="P68B1DB1-BodyText11"/>
        <w:ind w:left="567"/>
        <w:rPr>
          <w:i/>
        </w:rPr>
      </w:pPr>
      <w:r>
        <w:t xml:space="preserve">— tjenesteydelser i forbindelse med futureskontrakter eller optioner. </w:t>
      </w:r>
    </w:p>
    <w:p w14:paraId="2DCD1B55" w14:textId="77777777">
      <w:pPr>
        <w:pStyle w:val="BodyText"/>
        <w:ind w:left="567"/>
        <w:rPr>
          <w:i/>
        </w:rPr>
      </w:pPr>
    </w:p>
    <w:p w14:paraId="337555AF" w14:textId="77777777">
      <w:pPr>
        <w:pStyle w:val="P68B1DB1-BodyText11"/>
        <w:ind w:left="567"/>
        <w:rPr>
          <w:i/>
        </w:rPr>
      </w:pPr>
      <w:r>
        <w:t xml:space="preserve">Sådanne tjenesteydelser omfatter navnlig: </w:t>
      </w:r>
    </w:p>
    <w:p w14:paraId="3764E7FA" w14:textId="7CA8CD82">
      <w:pPr>
        <w:pStyle w:val="P68B1DB1-BodyText11"/>
        <w:ind w:left="567"/>
        <w:rPr>
          <w:i/>
        </w:rPr>
      </w:pPr>
      <w:r>
        <w:t xml:space="preserve">a) investeringsservice som omhandlet i bilaget til direktiv 2004/39/EF tjenesteydelser præsteret af institutter for kollektiv investering </w:t>
      </w:r>
    </w:p>
    <w:p w14:paraId="5E0AD7FB" w14:textId="67C20460">
      <w:pPr>
        <w:pStyle w:val="P68B1DB1-BodyText11"/>
        <w:ind w:left="567"/>
        <w:rPr>
          <w:i/>
        </w:rPr>
      </w:pPr>
      <w:r>
        <w:t xml:space="preserve">b) tjenesteydelser, der er omfattet af aktiviteter, der er omfattet af gensidig anerkendelse, jf. bilag I til Europa-Parlamentets og Rådets direktiv 2013/36/EU (1) </w:t>
      </w:r>
    </w:p>
    <w:p w14:paraId="48C2F22B" w14:textId="3B1B8A48">
      <w:pPr>
        <w:pStyle w:val="P68B1DB1-BodyText11"/>
        <w:ind w:left="567"/>
        <w:rPr>
          <w:i/>
        </w:rPr>
      </w:pPr>
      <w:r>
        <w:t xml:space="preserve">c) virksomhed, der er omfattet af forsikrings- og genforsikringsvirksomhed som omhandlet i Europa-Parlamentets og Rådets direktiv 2009/138/EF (2).</w:t>
      </w:r>
    </w:p>
    <w:p w14:paraId="29E9A8E3" w14:textId="77777777">
      <w:pPr>
        <w:pStyle w:val="BodyText"/>
        <w:ind w:left="720"/>
        <w:rPr>
          <w:i/>
        </w:rPr>
      </w:pPr>
    </w:p>
    <w:p w14:paraId="79D13F1F" w14:textId="142C9AC5">
      <w:pPr>
        <w:pStyle w:val="BodyText"/>
        <w:ind w:left="1080"/>
        <w:jc w:val="right"/>
      </w:pPr>
      <w:r>
        <w:t xml:space="preserve">(Bilag II til direktiv (EU) 2015/1535)</w:t>
      </w:r>
    </w:p>
    <w:p w14:paraId="0C95D790" w14:textId="77777777">
      <w:pPr>
        <w:pStyle w:val="BodyText"/>
        <w:ind w:left="567"/>
        <w:rPr>
          <w:i/>
          <w:iCs/>
          <w:szCs w:val="24"/>
        </w:rPr>
      </w:pPr>
    </w:p>
    <w:p w14:paraId="7A47117F" w14:textId="7E196DE2">
      <w:pPr>
        <w:pStyle w:val="P68B1DB1-BodyText23"/>
        <w:ind w:left="567"/>
        <w:rPr>
          <w:iCs/>
        </w:rPr>
      </w:pPr>
      <w:r>
        <w:t xml:space="preserve">"reguleret marked": et multilateralt system, der drives og/eller forvaltes af en markedsoperatør, og som — i systemet og i overensstemmelse med dets ufravigelige regler — bringer flere tredjeparters købs- og salgsinteresser i finansielle instrumenter i forbindelse med hinanden eller gør det lettere at bringe dem i forbindelse med hinanden på en sådan måde, at der indgås en aftale om finansielle instrumenter, der er optaget til handel i henhold til dets regler og/eller systemer, og som har tilladelse og fungerer efter reglerne i afsnit III i dette direktiv"</w:t>
      </w:r>
    </w:p>
    <w:p w14:paraId="326B89D5" w14:textId="77777777">
      <w:pPr>
        <w:pStyle w:val="BodyText"/>
        <w:ind w:left="567"/>
        <w:rPr>
          <w:i/>
          <w:iCs/>
          <w:szCs w:val="24"/>
        </w:rPr>
      </w:pPr>
    </w:p>
    <w:p w14:paraId="2EE59DAD" w14:textId="7FE2F68F">
      <w:pPr>
        <w:pStyle w:val="P68B1DB1-BodyText24"/>
        <w:ind w:left="567"/>
        <w:jc w:val="right"/>
      </w:pPr>
      <w:r>
        <w:t xml:space="preserve">(Artikel 4, stk. 21, i direktiv 2014/65/EU, </w:t>
      </w:r>
    </w:p>
    <w:p w14:paraId="510D994F" w14:textId="6EE676DC">
      <w:pPr>
        <w:pStyle w:val="P68B1DB1-BodyText24"/>
        <w:ind w:left="567"/>
        <w:jc w:val="right"/>
      </w:pPr>
      <w:r>
        <w:t xml:space="preserve">omarbejdning af direktiv 2004/39/EF)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Dom af 2. juni 2005</w:t>
        </w:r>
      </w:hyperlink>
      <w:r>
        <w:rPr>
          <w:rFonts w:ascii="Times New Roman" w:hAnsi="Times New Roman" w:cs="Times New Roman" w:eastAsia="Times New Roman"/>
          <w:b/>
          <w:i/>
          <w:szCs w:val="20"/>
        </w:rPr>
        <w:t xml:space="preserve"> i sag C-89/04, Mediakabel BV, præmis 22 og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tv-spredningstjeneste, der er tilgængelig på abonnentens anmodning, og som består af film, hvis frekvens og tidspunkt fastsættes af udbyderen, udgør en "near-video-on-demand" -tjeneste, der falder ind under begrebet "tv-spredningstjenester". Dette begreb er selvstændigt defineret i direktiv 2010/13/EU (tidligere direktiv 89/552/EØF), uafhængigt af begrebet "informationssamfundstjeneste".</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rækkevidden af begrebet "tv-spredning" kan bestemt ikke udledes af en udelukkelse fra begrebet "informationssamfundstjeneste". Direktiv 98/34, såvel i artikel 1, stk. 2, som i bilag V, henviser til tjenester, der ikke er omfattet af begrebet "informationssamfundstjeneste", og som ikke som sådan udgør tv-spredningstjenester. Det samme gælder bl.a. for radiospredning. På samme måde kan tv-radiospredningstjenester ikke begrænses til tjenester, "der ydes ved datatransmission uden en individuel anmodning med henblik på at kunne modtages samtidig af et ubegrænset antal modtagere" som omhandlet i bilag V, punkt 3, til direktiv 98/34. Hvis en sådan fortolkning blev lagt til grund, ville tjenester som tv-tjenester i abonnement, der transmitteres til et begrænset antal modtagere, falde uden for begrebet "tv-radiospredningstjenester", selv om de er omfattet af denne definition i medfør af kriterierne i artikel 1, litra a), i direktiv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Endelig havde fællesskabslovgiver ikke til hensigt, da direktiv 98/34 og direktiv 98/48 blev vedtaget, at ændre direktiv 89/552, som selv var blevet ændret mindre end et år inden ved direktiv 97/36. Det fremgår således af 20. betragtning til direktiv 98/48, som ændrede direktiv 98/34, at direktiv 98/48 "ikke [berører] anvendelsesområdet for [...] direktiv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Dom af 12. september 2019</w:t>
        </w:r>
      </w:hyperlink>
      <w:r>
        <w:t xml:space="preserve"> i sag C-299/17, VG Media, præmis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"Tekniske forskrifter" på området for intellektuel ejendomsret er ikke udelukket fra direktivets anvendelsesområde, i modsætning til dem, der vedrører telekommunikation eller finansielle tjenesteydelser.</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rPr>
          <w:rFonts w:ascii="Open Sans" w:hAnsi="Open Sans" w:cs="Open Sans" w:eastAsiaTheme="minorHAnsi"/>
          <w:i w:val="0"/>
          <w:color w:val="006699"/>
          <w:sz w:val="18"/>
          <w:szCs w:val="18"/>
        </w:rPr>
        <w:t xml:space="preserve"> </w:t>
      </w:r>
      <w:r>
        <w:t xml:space="preserve">38. den omstændighed, at UrhG's § 87 g (4) er en del af den nationale lovgivning om ophavsret eller ophavsretsbeslægtede rettigheder, kan ikke rejse tvivl om denne vurdering. Tekniske forskrifter vedrørende intellektuel ejendomsret er ikke udtrykkeligt udelukket fra anvendelsesområdet for artikel 1, stk. 5, i direktiv 98/34, i modsætning til dem, der er genstand for EU-lovgivningen om teletjenester eller finansielle tjenesteydelser. Det fremgår desuden af dom af 8. november 2007, Schwibbert (C</w:t>
        <w:noBreakHyphen/>
        <w:t xml:space="preserve">20/05), at bestemmelser i den nationale lovgivning om intellektuel ejendomsret kan udgøre en "teknisk forskrift", der skal meddeles i henhold til dette direktivs artikel 8, stk. 1."</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Meddelelsespligt</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Meddelelse på udkaststadiet</w:t>
      </w:r>
      <w:bookmarkEnd w:id="123"/>
      <w:bookmarkEnd w:id="124"/>
    </w:p>
    <w:p w14:paraId="27EBED2C" w14:textId="3CCBF668">
      <w:pPr>
        <w:pStyle w:val="BodyText"/>
        <w:rPr>
          <w:b/>
          <w:bCs/>
        </w:rPr>
      </w:pPr>
    </w:p>
    <w:p w14:paraId="58135D0C" w14:textId="021350D1">
      <w:pPr>
        <w:pStyle w:val="P68B1DB1-BodyText11"/>
        <w:ind w:left="567"/>
        <w:rPr>
          <w:iCs/>
        </w:rPr>
      </w:pPr>
      <w:r>
        <w:t xml:space="preserve">"Med forbehold af artikel 7 meddeler medlemsstaterne straks Kommissionen ethvert udkast til teknisk forskrift, medmindre det blot gengiver den fulde ordlyd af en international eller europæisk standard, i hvilket tilfælde oplysninger om den relevante standard er tilstrækkelige. de skal også give Kommissionen en redegørelse for grundene til, at det er nødvendigt at indføre en sådan teknisk forskrift, medmindre disse grunde allerede fremgår af udkastet."</w:t>
      </w:r>
    </w:p>
    <w:p w14:paraId="79E57C28" w14:textId="77777777">
      <w:pPr>
        <w:pStyle w:val="BodyText"/>
        <w:ind w:left="567"/>
        <w:rPr>
          <w:i/>
          <w:iCs/>
        </w:rPr>
      </w:pPr>
    </w:p>
    <w:p w14:paraId="4348B9F9" w14:textId="1F348A6E">
      <w:pPr>
        <w:pStyle w:val="BodyText"/>
        <w:jc w:val="right"/>
      </w:pPr>
      <w:r>
        <w:t xml:space="preserve">(artikel 5, stk. 1, første punktum, i direktiv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Dom af 2. august 1993</w:t>
        </w:r>
      </w:hyperlink>
      <w:r>
        <w:t xml:space="preserve"> i sag C-139/92, Kommissionen mod Italien, præmis 8 og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Italien har tilsidesat sine forpligtelser til at meddele udkast til tekniske forskrifter, idet den ikke på udkaststadiet har givet meddelelse om et ministerielt dekret om definition og kontrol af den maksimale effekt samt om konstruktion og installation af motorer til lystfartøjer.</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Den italienske regering har ikke bestridt, at den ikke har givet Kommissionen meddelelse om det pågældende ministerielle dekret på udkaststadiet.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Da det er fastslået, at der foreligger en tilsidesættelse af direktivets artikel 8 og 9, skal det fastslås, at der foreligger et traktatbrud."</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Dom af 14. juli 1994</w:t>
        </w:r>
      </w:hyperlink>
      <w:r>
        <w:t xml:space="preserve"> i sag C-61/93, Kommissionen mod Nederlandene, præmis 6 og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Kongeriget Nederlandene har tilsidesat sine forpligtelser til at meddele udkast til tekniske forskrifter, idet det har vedtaget dekreter om resistenskravene for flasker til læskedrikke samt om pesticiders sammensætning, klassificering, emballering og mærkning uden at underrette Kommissionen herom på udkaststadiet.</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Ved skrivelse af 17. november 1989 erkendte de nederlandske myndigheder, at anordningen af 16. januar 1989 indeholdt tekniske forskrifter, som faldt ind under anvendelsesområdet for direktiv 83/189, og at de havde undladt at tilsende Kommissionen udkastet dertil. De gjorde imidlertid opmærksom på, at dekretet var blevet sendt til Kommissionen som bilag til en skrivelse af 22. maj 1989, der gav denne institution oplysninger om privatiseringen af vægt- og målingsmyndighederne."</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Det er ubestridt, at udkastene til dekreter af 16. januar 1989, 24. august 1988 og 21. oktober 1988 i henhold til direktivets artikel 8 straks skulle have været meddelt Kommissionen i forbindelse med udarbejdelsen, og at en sådan meddelelse ikke blev givet."</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Dom af 14. juli 1994</w:t>
        </w:r>
      </w:hyperlink>
      <w:r>
        <w:t xml:space="preserve"> i sag C-52/93, Kommissionen mod Nederlandene, præmis 6 og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Nederlandene har tilsidesat sine forpligtelser til at meddele udkast til tekniske forskrifter ved at ændre forordningen om kvalitetsnormer for blomsterløg uden at underrette Kommissionen herom på udkaststadiet.</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Ved skrivelse af 4. november 1991 erkendte de nederlandske myndigheder, at den pågældende forskrift var en teknisk forskrift som omhandlet i direktiv 83/189, og at de ikke havde underrettet Kommissionen om udkastet til ændring."</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Det er ubestridt, at udkastet til ændring XIII af PVS-forordningen i henhold til direktivets artikel 8 straks skulle have været meddelt Kommissionen, og at en sådan underretning ikke blev givet."</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Dom af 8. september 2005</w:t>
        </w:r>
      </w:hyperlink>
      <w:r>
        <w:t xml:space="preserve"> i sag C-500/03, Kommissionen mod Portugal, præmis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I henhold til direktivet skal medlemsstaterne straks underrette Kommissionen om ethvert udkast til teknisk forskrift. Portugal har tilsidesat sine forpligtelser til at meddele udkast til tekniske forskrifter, idet den har vedtaget en teknisk forskrift uden at underrette Kommissionen herom.</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(Da dommen kun findes på fransk og portugisisk, er følgende tekst en oversættelse.)</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Da det foreliggende traktatbrudssøgsmål er begrænset til en påstand om, at det fastslås, at den formelle procedure for forudgående meddelelse ikke er blevet overholdt, er det tilstrækkeligt at bemærke, uden at det er nødvendigt at besvare parternes øvrige argumenter, at Domstolen allerede har fastslået, at medlemsstaterne i henhold til artikel 8, stk. 1, i direktiv 98/34 straks skal meddele Kommissionen ethvert udkast til teknisk forskrift (jf. i denne retning for så vidt angår bestemmelser, der svarer til bestemmelserne i dette direktiv, dom af 2. august 1993, sag 139/92, Kommissionen mod Italien,</w:t>
        <w:noBreakHyphen/>
        <w:t xml:space="preserve">Sml. I, s. 4707, præmis 3, og af 11. januar 1996, sag 273/94, Kommissionen mod Nederlandene,</w:t>
        <w:noBreakHyphen/>
        <w:t xml:space="preserve">Sml. I</w:t>
        <w:noBreakHyphen/>
        <w:t xml:space="preserve">, s. 31, præmis 15).</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Da de relevante bestemmelser i dekret nr. 783/98 udgør tekniske forskrifter i den forstand, hvori udtrykket er anvendt i direktiv 98/34, som anført i denne doms præmis 31, var Den Portugisiske Republik forpligtet til at give meddelelse herom i form af udkast i henhold til artikel 8, stk. 1, i direktiv 98/34 (jf. i denne retning for så vidt angår bestemmelser svarende til bestemmelserne i direktiv 98/34 bl.a. dom af 7. maj 1998, sag 145/97, Kommissionen mod</w:t>
        <w:noBreakHyphen/>
        <w:t xml:space="preserve">Belgien, Sml. I,</w:t>
        <w:noBreakHyphen/>
        <w:t xml:space="preserve">s. 2643, præmis 13, og af 21. april 2005, sag 267/03, </w:t>
        <w:noBreakHyphen/>
        <w:t xml:space="preserve">Lindberg, Sml. I, s. I, præmis 43).</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Det må derfor fastslås, at Den Portugisiske Republik har tilsidesat sine forpligtelser i henhold til artikel 8 i direktiv 783/98, idet den har vedtaget bekendtgørelse nr. 98/34 uden at underrette Kommissionen herom på udkaststadiet."</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Dom af 26. oktober 2006</w:t>
        </w:r>
      </w:hyperlink>
      <w:r>
        <w:t xml:space="preserve"> i sag C-65/05, Kommissionen mod Grækenland, præmis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I henhold til direktivet skal medlemsstaterne straks underrette Kommissionen om ethvert udkast til teknisk forskrift. Grækenland har tilsidesat sine forpligtelser i henhold til dette direktiv, idet den ikke har givet en sådan meddelelse inden vedtagelsen af en teknisk forskrift.</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der er intet i forordning nr. 1367/2006, der gør det muligt at antage, at begrebet "emissioner til miljøet" som omhandlet i denne forordnings artikel 6, stk. 1, første punktum, skal begrænses til emissioner fra visse industrianlæg, såsom fabrikker og kraftværker.</w:t>
      </w:r>
    </w:p>
    <w:p w14:paraId="4BFB9A72" w14:textId="77777777">
      <w:pPr>
        <w:pStyle w:val="P68B1DB1-BodyText25"/>
        <w:ind w:left="510"/>
      </w:pPr>
    </w:p>
    <w:p w14:paraId="0E60EA19" w14:textId="5C6F09B6">
      <w:pPr>
        <w:pStyle w:val="P68B1DB1-BodyText25"/>
        <w:ind w:left="510"/>
      </w:pPr>
      <w:r>
        <w:t xml:space="preserve">61. Denne begrænsning kan heller ikke udledes af Århuskonventionen, som der skal tages hensyn til ved fortolkningen af forordning nr. 1367/2006, eftersom denne forordning, som dens artikel 1 fastslår, har til formål at bidrage til opfyldelsen af forpligtelserne i henhold til konventionen, idet den fastsætter regler for, hvordan den nævnte konventions bestemmelser skal anvendes på EU's institutioner og organer.</w:t>
      </w:r>
    </w:p>
    <w:p w14:paraId="37017D07" w14:textId="77777777">
      <w:pPr>
        <w:pStyle w:val="P68B1DB1-BodyText25"/>
        <w:ind w:left="510"/>
      </w:pPr>
    </w:p>
    <w:p w14:paraId="36CD38D8" w14:textId="043FC15A">
      <w:pPr>
        <w:pStyle w:val="P68B1DB1-BodyText25"/>
        <w:ind w:left="510"/>
        <w:rPr>
          <w:iCs/>
        </w:rPr>
      </w:pPr>
      <w:r>
        <w:t xml:space="preserve">62. Tværtimod vil en sådan begrænsning, som Domstolen understregede i præmis 72 i dom af dags dato, Bayer CropScience og Stichting De Bijenstichting (C-442/14), være i strid med selve ordlyden af Århuskonventions artikel 4, stk. 4, første afsnit, litra d). Denne bestemmelse fastsætter nemlig, at oplysninger om emissioner, der er relevante for beskyttelsen af miljøet, skal gøres tilgængelige. Oplysninger om emissioner fra andre kilder end industrianlæg, såsom emissioner fra anvendelse af plantebeskyttelsesmidler på planter eller jord, er lige så relevante for miljøbeskyttelse som oplysninger om emissioner af industriel oprindelse."</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Meddelelser om nye tekniske forskrifter</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Dom af 1. juni 1994</w:t>
        </w:r>
      </w:hyperlink>
      <w:r>
        <w:t xml:space="preserve"> i sag C-317/92, Kommissionen mod Tyskland, præmis 25 og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Udvidelsen af en eksisterende "teknisk forskrift" til at omfatte nye produkter er omfattet af notifikationsforpligtelsen, selv om den oprindelige tekniske forskrift, hvis anvendelsesområde udvides, allerede er blevet meddelt Kommissionen.</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Dette argument kan ikke tiltrædes. Den pågældende tyske forskrift udgør en ny teknisk specifikation i den forstand, hvori udtrykket er anvendt i ovennævnte artikel 1, idet sterile medicinske instrumenter, der ikke kan genbruges, kun kan markedsføres eller anvendes i Tyskland, hvis visse forpligtelser er opfyldt, og hvis anvendelse tidligere var begrænset til etikettering af lægemidler. Anvendelsen af en regel på bestemte varer, som tidligere angik andre varer, er for så vidt angår de førstnævnte varer en ny forskrift og skal derfor meddeles Kommissionen i overensstemmelse med direktiv 83/189.</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Denne bedømmelse ændres ikke af den omstændighed, således som den tyske regering har gjort gældende, at udvidelsen af anvendelsesområdet for reglen støttes på en bemyndigelsesforskrift, som tidligere er meddelt Kommissionen. En sådan bemyndigelse skal nemlig i sig selv ikke fremsendes i overensstemmelse med artikel 8, da den ikke udgør en ny specifikation. Situationen er anderledes med hensyn til gennemførelsen af denne foranstaltning, som udgør en ny specifikation, der skal meddeles."</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Dom af 3. juni 1999</w:t>
        </w:r>
      </w:hyperlink>
      <w:r>
        <w:rPr>
          <w:b/>
          <w:i/>
          <w:sz w:val="22"/>
          <w:szCs w:val="22"/>
        </w:rPr>
        <w:t xml:space="preserve"> i sag C-33/189, Colim NV, præmis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En national foranstaltning, der gengiver eller erstatter eksisterende "tekniske forskrifter", som allerede er blevet meddelt Kommissionen, uden at tilføje nye specifikationer, udgør ikke et udkast til "teknisk forskrift".</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direktiv 83/189 har til formål gennem en præventiv kontrol at beskytte de frie varebevægelser, som er en del af Fællesskabets grundlag (dom af 1997, sag C-13/96, Bic Benelux Belgium State, Sml. I, s. 1753, præmis 19). Denne kontrol skal fjerne eller begrænse de hindringer for de frie varebevægelser, som kan følge af tekniske forskrifter, som medlemsstaterne vil fastsætte. En national foranstaltning, der uden tilføjelse af nye eller supplerende specifikationer gengiver eller erstatter eksisterende tekniske forskrifter, der, hvis de er vedtaget efter ikrafttrædelsen af direktiv 83/189, er blevet behørigt meddelt Kommissionen, kan ikke anses for at være et "udkast" til teknisk forskrift som omhandlet i artikel 1, stk. 6, i direktiv 83/189 eller følgelig for at være underlagt underretningspligten."</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Dom af 21. april 2005</w:t>
        </w:r>
      </w:hyperlink>
      <w:r>
        <w:t xml:space="preserve"> i sag C-267/03, Lindberg, præmis 82 og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En forskrift, der blot gengiver eller erstatter regler, der allerede er meddelt, uden at tilføje nye "tekniske forskrifter", behøver ikke at blive notificeret.</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det bemærkes for det første, at en national foranstaltning, der uden tilføjelse af nye eller supplerende specifikationer gengiver eller erstatter eksisterende tekniske forskrifter, der, hvis de er vedtaget efter ikrafttrædelsen af direktiv 83/189, er blevet behørigt meddelt Kommissionen, ikke kan anses for et "udkast" til teknisk forskrift i den forstand, hvori udtrykket er anvendt i artikel 1, stk. 9, i direktiv 83/189, og følgelig ikke for at være omfattet af underretningspligten (jf. Colim m.fl.-dommen, præmis 22). I den foreliggende sag skal datoen for ikrafttrædelsen af direktiv 83/189 for så vidt angår Kongeriget Sverige tages i betragtning."</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Henset til det ovenstående skal det tredje spørgsmål besvares med, at en omdefinering i national lovgivning af en tjenesteydelse, der er forbundet med udformningen af et produkt, herunder driften af visse spilleautomater, således som det var tilfældet i 1996-loven, kan udgøre en teknisk forskrift, der skal meddeles i henhold til direktiv 83/189, når denne nye lovgivning ikke blot gengiver eller erstatter eksisterende tekniske forskrifter, der, hvis de er blevet vedtaget efter ikrafttrædelsen af direktiv 83/189 i den pågældende medlemsstat, uden at tilføje nye eller supplerende specifikationer, er blevet behørigt meddelt Kommissionen."</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Dom af 13. marts 2025</w:t>
        </w:r>
      </w:hyperlink>
      <w:r>
        <w:rPr>
          <w:rFonts w:ascii="Times New Roman" w:hAnsi="Times New Roman" w:cs="Times New Roman" w:eastAsia="Times New Roman"/>
          <w:b/>
          <w:i/>
          <w:szCs w:val="20"/>
        </w:rPr>
        <w:t xml:space="preserve">, Unigames UAB, C-120/24, anført ovenfor, præmis 57 og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En ændring af et udkast til teknisk forskrift, som i væsentlig grad udvider dens anvendelsesområde, skal meddeles. En ændring, der indfører sanktioner for ny adfærd, skal betragtes som en væsentlig revision af en teknisk forskrift.</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Det fremgår af anmodningen om præjudiciel afgørelse, at artikel 10, stk. 19, i lov om hasardspil "væsentligt ændrede" forbuddet mod at tilskynde til deltagelse i hasardspil. Den forelæggende ret har navnlig anført, at den adfærd, som Unigaming foreholdes på grundlag af gældende lov, og som består i offentliggørelse på dette selskabs websted af oplysninger om de spil, som selskabet udbyder, ikke kunne straffes i henhold til den tidligere lov om hasardspil. Ifølge den forelæggende ret udvidede nævnte artikel 10, stk. 19, anvendelsesområdet for dette forbud.</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Det fremgår således af oplysningerne i anmodningen om præjudiciel afgørelse, at spillelovens artikel 10, stk. 19, har tilføjet nye eller supplerende krav som omhandlet i den retspraksis, der er nævnt i nærværende doms præmis 52, i forhold til artikel 10, stk. 19, i den tidligere lov om hasardspil. Det følger heraf, at med forbehold af den efterprøvelse, som det tilkommer den forelæggende ret at foretage, skulle den ændring, der gav anledning til den gældende lov, have været meddelt i henhold til artikel 5, stk. 1, første afsnit, i direktiv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Meddelelse af den fuldstændige tekst</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Domstolen: dom af 16. september 1997</w:t>
        </w:r>
      </w:hyperlink>
      <w:r>
        <w:t xml:space="preserve">, sag C-279/94, Kommissionen mod Italien, præmis 38 og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En tekst, der indeholder "tekniske forskrifter", skal meddeles i sin helhed, herunder foranstaltninger, der ikke er "tekniske forskrifter", selv om kun "tekniske forskrifter" er omfattet af standstill-perioden.</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For så vidt angår den italienske regerings forpligtelse til at meddele den fulde ordlyd af lov nr. 257/92, herunder de bestemmelser, der ikke udgør tekniske forskrifter, bemærkes, at medlemsstaterne i henhold til direktivets artikel 8, stk. 1, første afsnit, sidste punktum, også skal meddele Kommissionen teksten til de love og administrative bestemmelser, der først og fremmest og direkte vedrører dem, såfremt kendskab hertil er nødvendigt for at vurdere virkningerne af udkastet til teknisk forskrift."</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Den omstændighed alene, at alle bestemmelserne i lov nr. 257/92 meddeles Kommissionen, er imidlertid ikke til hinder for, at Den Italienske Republik straks og dermed uden at afvente resultaterne af den i direktivet foreskrevne undersøgelsesprocedure, kan sætte de bestemmelser, der ikke udgør tekniske forskrifter, i kraft."</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Meddelelse om de pågældende grundlæggende </w:t>
      </w:r>
      <w:bookmarkEnd w:id="139"/>
      <w:r>
        <w:t>bestemmelser</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"Hvis det er relevant, og medmindre den allerede er blevet sendt sammen med en forudgående meddelelse, meddeler medlemsstaterne samtidig Kommissionen teksten til de vigtigste og direkte berørte grundlæggende love og administrative bestemmelser, hvis kendskab hertil er nødvendig for at vurdere virkningerne af udkastet til teknisk forskrift."</w:t>
      </w:r>
    </w:p>
    <w:p w14:paraId="3C018828" w14:textId="77777777">
      <w:pPr>
        <w:pStyle w:val="BodyText"/>
        <w:ind w:left="1440"/>
        <w:jc w:val="right"/>
        <w:rPr>
          <w:i/>
          <w:iCs/>
        </w:rPr>
      </w:pPr>
    </w:p>
    <w:p w14:paraId="21D14611" w14:textId="15758967">
      <w:pPr>
        <w:pStyle w:val="BodyText"/>
        <w:ind w:left="1440"/>
        <w:jc w:val="right"/>
      </w:pPr>
      <w:r>
        <w:t xml:space="preserve">(artikel 5, stk. 1, andet punktum, i direktiv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Dom af 7. maj 1998</w:t>
        </w:r>
      </w:hyperlink>
      <w:r>
        <w:t xml:space="preserve"> i sag C-145/97, Kommissionen mod Belgien, præmis 11 og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Medlemsstaterne skal ikke blot meddele udkastet til den tekst, der indeholder de "tekniske forskrifter", men også teksten til de grundlæggende love og administrative bestemmelser, der primært og direkte er berørt. Formålet med denne forpligtelse er at gøre det muligt for Kommissionen at råde over så mange oplysninger som muligt og således effektivt at udøve de beføjelser, der er tillagt den ved direktivet.</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Hvad for det andet angår den præcise rækkevidde af meddelelsespligten bestemmer direktivets artikel 8, stk. 1, første afsnit, sidste punktum, at medlemsstaterne også skal meddele teksten til de grundlæggende lovgivningsmæssige eller administrative bestemmelser, der primært og direkte er berørt, såfremt kendskab hertil er nødvendigt for at vurdere konsekvenserne af udkastet til teknisk forskrift.</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Som Domstolen har fastslået i dom af 1997, sag C-279/94, Kommissionen mod Italien, Sml. I, s. 4743, præmis 40, er formålet med denne bestemmelse at gøre det muligt for Kommissionen at råde over så mange oplysninger som muligt om ethvert udkast til teknisk regulering med hensyn til dens indhold, rækkevidde og generelle sammenhæng for at sætte den i stand til så effektivt som muligt at udøve de beføjelser, der er tillagt den ved direktivet."</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bookmarkEnd w:id="143"/>
      <w:r>
        <w:t xml:space="preserve">Genanmeldelse I standstill-perioden</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"Medlemsstaterne meddeler på ny Kommissionen udkastet til teknisk forskrift på de betingelser, der er fastsat i første og andet afsnit i dette stykke, hvis de foretager ændringer i udkastet, der medfører en væsentlig ændring af dets anvendelsesområde, afkorter den oprindeligt planlagte tidsplan for gennemførelsen, tilføjer specifikationer eller krav eller gør sidstnævnte mere restriktive."</w:t>
      </w:r>
    </w:p>
    <w:p w14:paraId="3E582DDB" w14:textId="77777777">
      <w:pPr>
        <w:pStyle w:val="BodyText"/>
        <w:ind w:left="1440"/>
        <w:jc w:val="right"/>
        <w:rPr>
          <w:i/>
          <w:iCs/>
        </w:rPr>
      </w:pPr>
    </w:p>
    <w:p w14:paraId="57E3F15D" w14:textId="51B7D3EF">
      <w:pPr>
        <w:pStyle w:val="BodyText"/>
        <w:ind w:left="1440"/>
        <w:jc w:val="right"/>
      </w:pPr>
      <w:r>
        <w:t xml:space="preserve">(artikel 5, stk. 1, tredje punktum, i direktiv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Dom af 15. april 2010</w:t>
        </w:r>
      </w:hyperlink>
      <w:r>
        <w:t xml:space="preserve"> i sag C-433/05, Sandström, præmis 47 og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Ændringer af et udkast til teknisk forskrift, der allerede er meddelt Kommissionen, og som blot lemper betingelserne for anvendelse af det pågældende produkt, udgør ikke en væsentlig ændring, der kræver yderligere underretning.</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henset til formålet med direktiv 98/34, der er nævnt i denne doms præmis 41, udgør ændringer af et udkast til teknisk forskrift, som allerede er meddelt Kommissionen i henhold til artikel 8, stk. 1, første afsnit, i direktiv 98/34, og som for så vidt angår det anmeldte udkast blot indeholder en lempelse af betingelserne for anvendelse af det pågældende produkt, og som derfor reducerer den tekniske forskrifts mulige indvirkning på samhandelen, ikke en væsentlig ændring af udkastet som omhandlet i dette direktivs artikel 8, stk. 1, tredje afsnit. Sådanne ændringer er følgelig ikke underlagt pligten til forudgående meddelelse.</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Selv om medlemsstaterne i henhold til artikel 8, stk. 3, i direktiv 98/34 straks skal meddele Kommissionen den endelige tekst til en teknisk forskrift, berører den manglende meddelelse af en ændring, der ikke er væsentlig inden dens vedtagelse, ikke anvendeligheden af denne forskrift, hvis der ikke foreligger en forpligtelse til forudgående underretning."</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Dom af 31. januar 2013</w:t>
        </w:r>
      </w:hyperlink>
      <w:r>
        <w:t xml:space="preserve"> i sag C-26/11, Belgische Petroleum Unie m.fl., præmis 56 og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Direktivet kræver ikke fornyet anmeldelse af udkast til national lovgivning, når udkastet efter at være blevet meddelt er blevet ændret for at tage hensyn til Kommissionens bemærkninger, og det ændrede udkast efterfølgende er blevet meddelt Kommissionen.</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Kongeriget Belgien begrænsede sig under disse omstændigheder til at ændre bestemmelserne i et lovforslag i overensstemmelse med en anmodning fra Kommissionen om at fjerne en handelshindring, således at forpligtelsen til at underrette Kommissionen i henhold til dette direktivs artikel 8, stk. 1, første afsnit, i henhold til artikel 10, stk. 1, sidste led, i direktiv 98/34 ikke finder anvendelse på udkastet til lov om blandingsforpligtelsen.</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Under disse omstændigheder skal det andet spørgsmål besvares med, at artikel 8 i direktiv 98/34, sammenholdt med dette direktivs artikel 10, stk. 1, sidste led, skal fortolkes således, at den ikke kræver meddelelse af et udkast til en national lovgivning, der forpligter olieselskaber, der markedsfører benzin og/eller dieselolie, til i samme kalenderår også at markedsføre visse procentdele biobrændstoffer, når udkastet efter at være blevet meddelt i henhold til artikel 8, stk. 1, første afsnit, er blevet ændret for at tage hensyn til Kommissionens bemærkninger hertil, og det ændrede udkast efterfølgende er blevet meddelt Kommissionen."</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Dom af 10. juli 2014 i</w:t>
        </w:r>
        <w:r>
          <w:rPr>
            <w:b/>
            <w:i/>
          </w:rPr>
          <w:t xml:space="preserve"> sag</w:t>
        </w:r>
        <w:r>
          <w:rPr>
            <w:rFonts w:ascii="Open Sans" w:hAnsi="Open Sans" w:cs="Open Sans" w:eastAsiaTheme="minorHAnsi"/>
            <w:color w:val="000000"/>
            <w:sz w:val="18"/>
            <w:szCs w:val="18"/>
          </w:rPr>
          <w:t xml:space="preserve"> </w:t>
        </w:r>
        <w:r>
          <w:rPr>
            <w:b/>
            <w:i/>
          </w:rPr>
          <w:t xml:space="preserve">C-307/13, Ivansson</w:t>
        </w:r>
        <w:r>
          <w:rPr>
            <w:b/>
            <w:i/>
          </w:rPr>
          <w:t xml:space="preserve"> m.fl.</w:t>
        </w:r>
        <w:r>
          <w:rPr>
            <w:b/>
            <w:i/>
            <w:color w:val="0000FF"/>
            <w:u w:val="single"/>
          </w:rPr>
          <w:t xml:space="preserve">, præmis 48-50</w:t>
        </w:r>
      </w:hyperlink>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Enhver væsentlig ændring af tidsplanen for gennemførelsen af en national foranstaltning, herunder en væsentlig afkortning, skal meddeles Kommissionen. Manglende meddelelse gør foranstaltningen uanvendelig og kan ikke gøres gældende over for enkeltpersoner.</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Det skal i denne forbindelse bemærkes, at Domstolen har fastslået, at en tilsidesættelse af forpligtelsen til at underrette Kommissionen udgør en procedurefejl i forbindelse med vedtagelsen af de pågældende tekniske forskrifter og medfører, at disse tekniske forskrifter ikke finder anvendelse og derfor ikke kan gøres gældende over for borgerne (jf. bl.a. CIA Security International-dommen, C-194/94, -dommen, præmis 54, og Schwibbert-dommen, C-20/05, præmis 44). Borgerne kan påberåbe sig denne uanvendelighed for den nationale ret, som skal afslå at anvende en national teknisk forskrift, der ikke er blevet meddelt i overensstemmelse med direktiv 98/34 (jf. bl.a. Schwibbert-dommen, præmis 44 og den deri nævnte retspraksis).</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Det følger heraf, at såfremt det af meddelelsen til Kommissionen vedrørende djurskyddsförordningens § 9 faktisk fremgik, at den 1. maj 2003 var ikrafttrædelsesdatoen, og afkortningen af anvendelsesfristen til den 15. april 2003 var en væsentlig ændring, vil undladelsen af at fremsende en ny meddelelse vedrørende den nævnte nationale bestemmelse til Kommissionen medføre, at denne ikke kan gøres gældende over for de tiltalte i hovedsagen.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Det andet spørgsmål skal derfor besvares med, at hvis afkortningen af tidsplanen for ikrafttrædelsen af en teknisk forskrift er underlagt forpligtelsen til at meddele Kommissionen i henhold til artikel 8, stk. 1, tredje afsnit, i direktiv 98/34, ville den manglende meddelelse af en sådan meddelelse medføre, at denne nationale foranstaltning ikke finder anvendelse, således at den ikke kan gøres gældende over for borgerne."</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Undtagelser fra anmeldelsespligten</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Gennemførelse af en europæisk retsakt</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"Artikel 5 og 6 finder ikke anvendelse på medlemsstaternes love og administrative bestemmelser eller på frivillige aftaler, hvorved medlemsstaterne: </w:t>
      </w:r>
    </w:p>
    <w:p w14:paraId="2762B474" w14:textId="77777777">
      <w:pPr>
        <w:pStyle w:val="BodyText"/>
        <w:ind w:left="567"/>
        <w:rPr>
          <w:i/>
        </w:rPr>
      </w:pPr>
    </w:p>
    <w:p w14:paraId="753FC221" w14:textId="4E9C46C0">
      <w:pPr>
        <w:pStyle w:val="P68B1DB1-BodyText11"/>
        <w:ind w:left="1440"/>
        <w:rPr>
          <w:iCs/>
        </w:rPr>
      </w:pPr>
      <w:r>
        <w:t xml:space="preserve">a) overholde bindende EU-retsakter, der fører til vedtagelse af tekniske specifikationer eller forskrifter vedrørende tjenester"</w:t>
      </w:r>
    </w:p>
    <w:p w14:paraId="2A077376" w14:textId="77777777">
      <w:pPr>
        <w:pStyle w:val="BodyText"/>
        <w:ind w:left="567"/>
        <w:rPr>
          <w:i/>
          <w:iCs/>
        </w:rPr>
      </w:pPr>
    </w:p>
    <w:p w14:paraId="7AE538ED" w14:textId="4CFA3BCA">
      <w:pPr>
        <w:pStyle w:val="BodyText"/>
        <w:jc w:val="right"/>
      </w:pPr>
      <w:r>
        <w:t xml:space="preserve">(Artikel 7, stk. 1, litra a), i direktiv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Dom af 17. september 1996</w:t>
        </w:r>
      </w:hyperlink>
      <w:r>
        <w:t xml:space="preserve"> i sag C-289/94, Kommissionen mod Italien, præmis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For at en national foranstaltning kan anses for en gennemførelsesforanstaltning, der er fritaget for meddelelse, skal der foreligge en direkte forbindelse til en bindende fællesskabsretsakt.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Direktiv 91/492 indeholder for sit vedkommende meget mere vidtgående bestemmelser om markedsføring ikke blot af toskallede bløddyr, men også af havsnegle, sækdyr og pighuder. Det opstiller således nye betingelser for alle stadier af indsamling, behandling, oplagring, transport og distribution af dyrene; det indfører desuden et registrerings- og mærkningssystem, som gør det muligt af sundhedsmæssige grunde at følge et parti efter indsamling.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Endvidere bestyrkes manglen på sammenhæng mellem direktiv 91/492 og de to omhandlede dekreter af den italienske regerings udtalelser om, at dette direktiv blev gennemført i italiensk ret ved nævnte lovdekret nr. 530 af 30. december 1992, der efter dens egne udtalelser udgør den eneste tekst til gennemførelse af direktiv 91/492, og vedrørende hvilken Kommissionen den 27. januar 1993 har fremsendt en detaljeret redegørelse, hvori det kritiseres, at dette dekret også finder anvendelse på et tredje toksin (NSP), der ikke er omhandlet i direktiv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Da de ikke udgør foranstaltninger til gennemførelse af direktiv 91/492, der kan begrunde anvendelsen af artikel 10 i direktiv 83/189, skulle dekret nr. 257 af 1. august 1990 og dekretet af 1. september 1990 meddeles Kommissionen i henhold til artikel 8 i sidstnævnte direktiv."</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Dom af 26. september 2000</w:t>
        </w:r>
      </w:hyperlink>
      <w:r>
        <w:t xml:space="preserve"> i sag C-443/98, Unilever, præmis 28 og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Når medlemsstaterne råder over et vidt skøn ved gennemførelsen af et EU-direktiv, kan nationale foranstaltninger, der er vedtaget med henblik herpå, ikke anses for nationale bestemmelser, der "er i overensstemmelse med en bindende fællesskabsretsakt".</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For det andet har den italienske regering gjort gældende, at den anfægtede lov var fritaget for anmeldelsespligten i henhold til artikel 10 i direktiv 83/189, eftersom den blev vedtaget i overensstemmelse med Rådets direktiv 79/112/EØF af 18. december 1978 om tilnærmelse af medlemsstaternes lovgivning om mærkning af og præsentationsmåder for levnedsmidler bestemt til den endelige forbruger samt om reklame for sådanne levnedsmidler (EFT 1979 L 33, s. 1). Direktivets artikel 3, stk. 1, nr. (7), kræver, at produktets oprindelses- eller herkomststed angives på etiketten i tilfælde, hvor udeladelse af sådanne angivelser ville kunne vildlede forbrugerne med hensyn til levnedsmidlets virkelige oprindelse eller herkomst.</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Dette synspunkt kan ikke tiltrædes. Som Kommissionen har anført, giver denne bestemmelse i direktiv 79/112, der er affattet i generelle vendinger, medlemsstaterne et tilstrækkeligt råderum til at konkludere, at nationale bestemmelser om oprindelsesmærkning som dem, der er fastsat i den anfægtede lov, ikke kan anses for nationale bestemmelser, der er i overensstemmelse med en bindende fællesskabsretsakt i den forstand, hvori udtrykket er anvendt i artikel 10, stk. 1, første led, i direktiv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Dom af 22. januar 2000</w:t>
        </w:r>
      </w:hyperlink>
      <w:r>
        <w:t xml:space="preserve"> i sag C-390/99, Canal Satélite Digital, præmis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Nationale bestemmelser til gennemførelse af bindende fællesskabsforanstaltninger, der indeholder "tekniske specifikationer", er ikke omfattet af meddelelsespligten, forudsat at de er strengt begrænset til en sådan gennemførelse.</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Hvad angår den anden del af det tredje spørgsmål, der vedrører forpligtelsen i henhold til artikel 8 i direktiv 83/189 til at fremsende ethvert udkast til teknisk forskrift til Kommissionen, fremgår det af direktivets artikel 10, at artiklerne 8 og 9 ikke finder anvendelse på medlemsstaternes love og administrative bestemmelser eller på frivillige aftaler, som de har indgået, hvorved medlemsstaterne overholder bindende fællesskabsforanstaltninger, der fører til vedtagelse af tekniske specifikationer. For så vidt som den i hovedsagen omhandlede nationale lovgivning gennemfører direktiv 95/47, og kun i dette omfang, er der således ikke nogen underretningspligt i henhold til direktiv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Dom af 8. september 2005</w:t>
        </w:r>
      </w:hyperlink>
      <w:r>
        <w:t xml:space="preserve"> i sag C-500/03, Kommissionen mod Portugal, præmis 34 og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bestemmelser, der fastlægger fritidsfartøjers karakteristika, kan ikke være omfattet af den undtagelse fra anmeldelsespligten, der er forbeholdt gennemførelse, når det påberåbte direktiv overlader det til medlemsstaterne frit at fastsætte de betingelser, som de finder nødvendige for at beskytte miljøet, indretningen og sikkerheden på vandveje.</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(Da dommen kun foreligger på fransk og portugisisk, er følgende tekst en oversættelse.)</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Medlemsstaterne har i henhold til artikel 2, stk. 2, i direktiv 94/25 ret til på nationalt plan at fastsætte de betingelser, som de finder nødvendige for sejlads i visse farvande for at beskytte miljøet og vandvejsstrukturen og for at garantere sikkerheden i disse farvande. Disse nationale bestemmelser kan imidlertid under ingen omstændigheder anses for at være vedtaget med henblik på overholdelse af en bindende fællesskabsretsakt.</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Det følger heraf, at bekendtgørelsen om sejlads i laguner, som indfører tekniske begrænsninger for fritidsfartøjer i henhold til artikel 2, stk. 2, i direktiv 94/25, ikke er omfattet af anvendelsesområdet for artikel 10, stk. 1, første led, i direktiv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Anvendelse af en beskyttelsesklausul</w:t>
      </w:r>
      <w:bookmarkEnd w:id="158"/>
      <w:bookmarkEnd w:id="159"/>
    </w:p>
    <w:p w14:paraId="19EB441C" w14:textId="77777777">
      <w:pPr>
        <w:pStyle w:val="BodyText"/>
        <w:ind w:left="567"/>
      </w:pPr>
    </w:p>
    <w:p w14:paraId="3421D751" w14:textId="45643AD7">
      <w:pPr>
        <w:pStyle w:val="P68B1DB1-BodyText11"/>
        <w:ind w:left="567"/>
        <w:rPr>
          <w:iCs/>
        </w:rPr>
      </w:pPr>
      <w:r>
        <w:t xml:space="preserve">"Artikel 5 og 6 </w:t>
      </w:r>
      <w:r>
        <w:rPr>
          <w:i w:val="0"/>
        </w:rPr>
        <w:t xml:space="preserve">[om anmeldelsespligten og standstill-perioden] </w:t>
      </w:r>
      <w:r>
        <w:t xml:space="preserve">finder ikke anvendelse på medlemsstaternes love og administrative bestemmelser eller frivillige aftaler, hvorved medlemsstaterne: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gøre brug af beskyttelsesklausuler, der er fastsat i bindende EU-retsakter"</w:t>
      </w:r>
    </w:p>
    <w:p w14:paraId="3AF0BFA4" w14:textId="77777777">
      <w:pPr>
        <w:pStyle w:val="P68B1DB1-BodyText11"/>
        <w:ind w:left="567"/>
        <w:rPr>
          <w:iCs/>
        </w:rPr>
      </w:pPr>
    </w:p>
    <w:p w14:paraId="6099E717" w14:textId="6C5840E7">
      <w:pPr>
        <w:pStyle w:val="BodyText"/>
        <w:jc w:val="right"/>
      </w:pPr>
      <w:r>
        <w:t xml:space="preserve">(Artikel 7, stk. 1, litra c), i direktiv (EU) 2015/1535)</w:t>
      </w:r>
    </w:p>
    <w:p w14:paraId="0B43480F" w14:textId="77777777">
      <w:pPr>
        <w:pStyle w:val="BodyText"/>
        <w:jc w:val="right"/>
      </w:pPr>
    </w:p>
    <w:p w14:paraId="2F300DBD" w14:textId="39C2EC6A">
      <w:pPr>
        <w:pStyle w:val="P68B1DB1-BodyText11"/>
        <w:ind w:left="567"/>
        <w:rPr>
          <w:iCs/>
        </w:rPr>
      </w:pPr>
      <w:r>
        <w:t xml:space="preserve">"De ovennævnte harmoniseringsforanstaltninger indeholder i de relevante tilfælde en beskyttelsesklausul, der bemyndiger medlemsstaterne til med en eller flere af de ikke-økonomiske begrundelser, der er nævnt i artikel 36, at træffe foreløbige foranstaltninger, der er undergivet en EU-kontrolprocedure."</w:t>
      </w:r>
    </w:p>
    <w:p w14:paraId="618BDE87" w14:textId="77777777">
      <w:pPr>
        <w:pStyle w:val="BodyText"/>
        <w:jc w:val="right"/>
      </w:pPr>
    </w:p>
    <w:p w14:paraId="4DE4DD33" w14:textId="77777777">
      <w:pPr>
        <w:pStyle w:val="BodyText"/>
        <w:jc w:val="right"/>
      </w:pPr>
      <w:r>
        <w:t xml:space="preserve">(Artikel 114, stk. 10, i traktaten om Den Europæiske Unions funktionsmåde)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Dom af 8. september 2005</w:t>
        </w:r>
      </w:hyperlink>
      <w:r>
        <w:t xml:space="preserve"> i sag C-500/03, Kommissionen mod Portugal, præmis 34 og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Nationale bestemmelser, der indfører permanente foranstaltninger, kan ikke være omfattet af den undtagelse fra anmeldelsespligten, der er forbeholdt beskyttelsesklausuler, da sidstnævnte pr. definition kun omfatter foreløbige foranstaltninger.</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(Da dommen kun findes på fransk og portugisisk, er følgende tekst en oversættelse.)</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Da det foreliggende traktatbrudssøgsmål er begrænset til en påstand om, at det fastslås, at den formelle procedure for forudgående meddelelse ikke er blevet overholdt, er det tilstrækkeligt at bemærke, uden at det er nødvendigt at besvare parternes øvrige argumenter, at Domstolen allerede har fastslået, at medlemsstaterne i henhold til artikel 8, stk. 1, i direktiv 98/34 straks skal meddele Kommissionen ethvert udkast til teknisk forskrift (jf. i denne retning for så vidt angår bestemmelser, der svarer til bestemmelserne i dette direktiv, dom af 2. august 1993, sag C-139/92, Kommissionen mod Italien, Sml. I, s. 4707, præmis 3, og af 11. januar 1996, sag C-273/94, Kommissionen mod Nederlandene, Sml. I, s. 31, præmis 15).</w:t>
      </w:r>
    </w:p>
    <w:p w14:paraId="4A696586" w14:textId="77777777">
      <w:pPr>
        <w:pStyle w:val="BodyText"/>
        <w:ind w:left="567"/>
        <w:rPr>
          <w:i/>
          <w:iCs/>
          <w:sz w:val="20"/>
          <w:szCs w:val="16"/>
        </w:rPr>
      </w:pPr>
    </w:p>
    <w:p w14:paraId="7FC8797C" w14:textId="46BA7B1B">
      <w:pPr>
        <w:pStyle w:val="P68B1DB1-BodyText25"/>
        <w:ind w:left="567"/>
        <w:jc w:val="left"/>
      </w:pPr>
      <w:r>
        <w:t xml:space="preserve">40. Da de relevante bestemmelser i dekret nr. 783/98 udgør tekniske forskrifter som omhandlet i direktiv 98/34, som anført i denne doms præmis 31, var Den Portugisiske Republik forpligtet til at give meddelelse herom i form af udkast i henhold til artikel 8, stk. 1, i direktiv 98/34 (jf. i denne retning for så vidt angår bestemmelser, der svarer til bestemmelserne i direktiv 98/34, dom af 7. maj 1998, sag C-145/97, Kommissionen mod Belgien, Sml. I, s. 2643, præmis 13, og af 21. april 2005, sag C-267/03, Lindberg, Sml. I, s. I, præmis 43)."</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Dom af 8. oktober 2020</w:t>
        </w:r>
      </w:hyperlink>
      <w:r>
        <w:t xml:space="preserve"> i sag C-514/19, Union des industries de la protection des plantes, præmis 46 og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(der henviser </w:t>
      </w:r>
      <w:hyperlink r:id="rId93" w:history="1">
        <w:r>
          <w:rPr>
            <w:rStyle w:val="Hyperlink"/>
            <w:rFonts w:ascii="Times New Roman" w:hAnsi="Times New Roman" w:cs="Times New Roman" w:eastAsia="Times New Roman"/>
            <w:b/>
            <w:i/>
            <w:color w:val="0000FF"/>
            <w:szCs w:val="20"/>
          </w:rPr>
          <w:t xml:space="preserve">til generaladvokat Kokotts forslag til afgørelse</w:t>
        </w:r>
      </w:hyperlink>
      <w:r>
        <w:rPr>
          <w:rFonts w:ascii="Times New Roman" w:hAnsi="Times New Roman" w:cs="Times New Roman" w:eastAsia="Times New Roman"/>
          <w:b/>
          <w:i/>
          <w:szCs w:val="20"/>
        </w:rPr>
        <w:t xml:space="preserve">, punkt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En klausul, der svarer til definitionen i artikel 114 i traktaten om Den Europæiske Unions funktionsmåde, er en beskyttelsesklausul, selv om den ikke er nævnt i den retsakt, der fastsætter den. Den er derfor fritaget for anmeldelsespligten.</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(Domstolens dom)</w:t>
      </w:r>
      <w:r>
        <w:rPr>
          <w:i/>
        </w:rPr>
        <w:t xml:space="preserve"> "46 [...] artikel 71, stk. 1, i denne forordning skal behandles som en beskyttelsesklausul, således som generaladvokaten har anført i punkt 58 i forslaget til</w:t>
      </w:r>
      <w:r>
        <w:t xml:space="preserve"> afgørelse.</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Forskellen mellem de procedurer, der er fastsat i henholdsvis dette direktivs artikel 5 og denne forordnings artikel 71, bekræftes således af dette direktivs artikel 7, stk. 1, litra c), som bestemmer, at direktivets og 5 ikke finder anvendelse på de bestemmelser i medlemsstaterne, hvorved disse gør brug af beskyttelsesklausuler, der er fastsat i bindende EU-retsakter."</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(forslag til afgørelse fra generaladvokat Kokott)</w:t>
      </w:r>
      <w:r>
        <w:rPr>
          <w:i/>
        </w:rPr>
        <w:t xml:space="preserve"> </w:t>
      </w:r>
      <w:bookmarkStart w:id="163" w:name="point58"/>
      <w:r>
        <w:rPr>
          <w:i/>
        </w:rPr>
        <w:t>"</w:t>
      </w:r>
      <w:bookmarkEnd w:id="163"/>
      <w:r>
        <w:rPr>
          <w:i/>
        </w:rPr>
        <w:t xml:space="preserve">58.      Plantebeskyttelsesforordningens artikel 71 har ganske vist til forskel fra sammenlignelige bestemmelser ikke overskriften "beskyttelsesklausul", men indholdsmæssigt opfylder denne bestemmelse definitionen i artikel 114, stk. 10, TEUF. Den kan derfor også betragtes som en beskyttelsesklausul i henhold til artikel 7, stk. 1, litra c), i anmeldelsesdirektivet. "</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Dom af 9. marts 2023</w:t>
        </w:r>
      </w:hyperlink>
      <w:r>
        <w:rPr>
          <w:rFonts w:ascii="Times New Roman" w:hAnsi="Times New Roman" w:cs="Times New Roman" w:eastAsia="Times New Roman"/>
          <w:b/>
          <w:i/>
          <w:szCs w:val="20"/>
        </w:rPr>
        <w:t xml:space="preserve"> i sag C 604/21</w:t>
        <w:noBreakHyphen/>
        <w:t xml:space="preserve">, Vapo Atlantic, præmis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En undtagelse fra anmeldelsespligten baseret på en "beskyttelsesklausul" er kun mulig, hvis den påberåbte harmoniseringsretsakt udtrykkeligt indeholder en bestemmelse, der svarer til definitionen i artikel 114 i traktaten om Den Europæiske Unions funktionsmåde.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Det bemærkes, at de to første afsnit i artikel 4, stk. 1, i direktiv 2009/30 blot fastsætter en frist for medlemsstaterne til at gennemføre direktivet, nemlig senest den 31. december 2010, ved de nødvendige love eller administrative bestemmelser med henblik herpå, idet de straks skal meddele Kommissionen teksten til disse bestemmelser. Denne bestemmelses tredje afsnit fastsætter, at disse love og bestemmelser ved vedtagelsen skal indeholde en henvisning til direktiv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Der er imidlertid intet i ordlyden af artikel 4, stk. 1, i direktiv 2009/30, der giver anledning til at antage, at EU-lovgiver har haft til hensigt at indføre en beskyttelsesklausul i denne bestemmelse som omhandlet i artikel 114, stk. 10, TEUF, som medlemsstaterne kunne have anvendt.</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I denne henseende fastsætter sidstnævnte bestemmelse, at harmoniseringsforanstaltningerne i de relevante tilfælde indeholder en beskyttelsesklausul, der bemyndiger medlemsstaterne til med en eller flere af de ikke-økonomiske begrundelser, der er nævnt i artikel 36, at træffe foreløbige foranstaltninger, der er undergivet en EU-kontrolprocedure. Det følger heraf, at en sådan beskyttelsesklausul skal være udtrykkeligt fastsat i harmoniseringsretsakten. Artikel 4, stk. 1, i direktiv 2009/30 har ikke disse kendetegn og kan derfor ikke udgøre en sådan beskyttelsesklausul."</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Ændring i overensstemmelse med en anmodning fra Kommissionen</w:t>
      </w:r>
      <w:bookmarkEnd w:id="169"/>
      <w:bookmarkEnd w:id="170"/>
    </w:p>
    <w:p w14:paraId="049085CF" w14:textId="77777777">
      <w:pPr>
        <w:pStyle w:val="BodyText"/>
        <w:jc w:val="left"/>
      </w:pPr>
    </w:p>
    <w:p w14:paraId="40F4BBF6" w14:textId="77777777">
      <w:pPr>
        <w:pStyle w:val="P68B1DB1-BodyText11"/>
        <w:ind w:left="567"/>
        <w:rPr>
          <w:iCs/>
        </w:rPr>
      </w:pPr>
      <w:r>
        <w:t xml:space="preserve">"Artikel 5 og 6 </w:t>
      </w:r>
      <w:r>
        <w:rPr>
          <w:i w:val="0"/>
        </w:rPr>
        <w:t xml:space="preserve">[om anmeldelsespligten og standstill-perioden] </w:t>
      </w:r>
      <w:r>
        <w:t xml:space="preserve">finder ikke anvendelse på medlemsstaternes love og administrative bestemmelser eller frivillige aftaler, hvorved medlemsstaterne: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begrænser sig til at ændre en teknisk forskrift som omhandlet i artikel 1, stk. 1, litra f), i overensstemmelse med en anmodning fra Kommissionen med henblik på at fjerne en handelshindring eller, for så vidt angår forskrifter vedrørende tjenesteydelser, for den frie udveksling af tjenesteydelser eller etableringsfriheden for tjenesteydere."</w:t>
      </w:r>
    </w:p>
    <w:p w14:paraId="21F03EA5" w14:textId="77777777">
      <w:pPr>
        <w:pStyle w:val="BodyText"/>
        <w:jc w:val="center"/>
      </w:pPr>
    </w:p>
    <w:p w14:paraId="7883B4B7" w14:textId="369773F7">
      <w:pPr>
        <w:pStyle w:val="BodyText"/>
        <w:jc w:val="right"/>
      </w:pPr>
      <w:r>
        <w:t xml:space="preserve">(Artikel 7, stk. 1, litra f), i direktiv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Dom af 31. januar 2013</w:t>
        </w:r>
      </w:hyperlink>
      <w:r>
        <w:t xml:space="preserve"> i sag C-26/11, Belgische Petroleum Unie m.fl., præmis 56 og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Direktivet kræver ikke meddelelse af udkast til national lovgivning, når udkastet efter den første meddelelse er blevet ændret for at tage hensyn til Kommissionens bemærkninger, og den ændrede udgave efterfølgende er blevet meddelt Kommissionen.</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Kongeriget Belgien begrænsede sig under disse omstændigheder til at ændre bestemmelserne i et lovforslag i overensstemmelse med en anmodning fra Kommissionen om at fjerne en handelshindring, således at forpligtelsen til at underrette Kommissionen i henhold til dette direktivs artikel 8, stk. 1, første afsnit, i henhold til artikel 10, stk. 1, sidste led, i direktiv 98/34 ikke finder anvendelse på udkastet til lov om blandingsforpligtelsen.</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Under disse omstændigheder skal det andet spørgsmål besvares med, at artikel 8 i direktiv 98/34, sammenholdt med dette direktivs artikel 10, stk. 1, sidste led, skal fortolkes således, at den ikke kræver meddelelse af et udkast til en national lovgivning, der forpligter olieselskaber, der markedsfører benzin og/eller dieselolie, til i samme kalenderår også at markedsføre visse procentdele biobrændstoffer, når udkastet efter at være blevet meddelt i henhold til artikel 8, stk. 1, første afsnit, er blevet ændret for at tage hensyn til Kommissionens bemærkninger hertil, og det ændrede udkast efterfølgende er blevet meddelt Kommissionen."</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Omstændigheder, som ikke er omfattet af undtagelser</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Dom af 11. januar 1996</w:t>
        </w:r>
      </w:hyperlink>
      <w:r>
        <w:t xml:space="preserve"> i sag C-273/94, Kommissionen mod Nederlandene, præmis 14 og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Anmeldelsespligten afhænger ikke af den formodede virkning af reglen om samhandelen mellem medlemsstaterne.</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Denne vurdering kan ikke anfægtes af den nederlandske regerings argument om, at den omtvistede ordning bevirker, at forhandlingen af margarine begunstiges, således at den er i overensstemmelse med direktivets hovedformål, som er at afskaffe hindringer for vareudvekslingen inden for Fællesskabet.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Medlemsstaterne er nemlig forpligtet til at tilsende Kommissionen ethvert udkast til teknisk forskrift i henhold til direktivets artikel 8. En sådan forpligtelse kan ikke gøres til genstand for en ensidig vurdering fra den medlemsstat, der har udarbejdet forordningen, af de virkninger, den kan have for samhandelen mellem medlemsstaterne."</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Dom af 16. juni 1998</w:t>
        </w:r>
      </w:hyperlink>
      <w:r>
        <w:t xml:space="preserve"> i sag C-226/97, Lemmens, præmis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Direktivet finder anvendelse på "tekniske forskrifter", uanset årsagen til deres vedtagelse. Den omstændighed, at en foranstaltning omfatter strafferetten, fritager den ikke for anmeldelsespligten. De nationale bestemmelser, der regulerer det respiratoriske analyseapparat, som politiet anvender til at måle alkohol, udgør således en teknisk forskrift, som skulle have været meddelt Kommissionen forud for dens vedtagelse.</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Den franske regering har anført, at direktivet ikke finder anvendelse på produkter, der i lighed med de i hovedsagen omhandlede er beregnet til en anvendelse, som henhører under statsmagtens beføjelser, og således navnlig under medlemsstaternes forfølgning af straffesager.</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Disse argumenter kan ikke tiltrædes. Selv om straffelovgivningen og strafferetsplejereglerne i princippet henhører under medlemsstaternes kompetence, følger det ikke heraf, at fællesskabsretten ikke kan berøre dette retsområde (jf. i denne retning dom af 1989, sag 186/87, Cowan, Sml. s. 195, præmis 19, og af 1981, sag 203/80, Casati, Sml. s. 2595, præmis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For så vidt angår den foreliggende sag fremgår der intet af direktivet om, at tekniske forskrifter, som er omfattet af artikel 1, er undtaget fra meddelelsespligten, såfremt de har tilknytning til det strafferetlige område, og at direktivets anvendelsesområde er begrænset til produkter, der er beregnet til en anvendelse, som ikke henhører under statsmagtens beføjelser. Som Domstolen allerede har fastslået i dom af 1997, sag C-13/96, Bic Benelux, Sml. I, s. 1753, præmis 19, finder et direktiv anvendelse på tekniske forskrifter, uanset på hvilket grundlag de er udstedt."</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Dom af 21. april 2005</w:t>
        </w:r>
      </w:hyperlink>
      <w:r>
        <w:t xml:space="preserve"> i sag C-267/03, Lindberg, præmis 86, 91 og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Værdien af det produkt, som en regel vedrører, markedets størrelse og denne regels indvirkning på samhandelen inden for Fællesskabet er ikke relevante kriterier for at afgøre, om en "teknisk forskrift" skal meddeles.</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Med sit fjerde spørgsmål ønsker den forelæggende ret oplyst, hvilken betydning følgende omstændigheder har for meddelelsespligten i medfør af direktiv 83/189: —</w:t>
      </w:r>
    </w:p>
    <w:p w14:paraId="767A8711" w14:textId="77777777">
      <w:pPr>
        <w:pStyle w:val="P68B1DB1-P68B1DB1-ListParagraph226"/>
        <w:tabs>
          <w:tab w:val="left" w:pos="396"/>
          <w:tab w:val="left" w:pos="425"/>
        </w:tabs>
        <w:ind w:left="709"/>
      </w:pPr>
      <w:r>
        <w:t xml:space="preserve">— Erstatning af et krav om tilladelse med et forbud i national ret</w:t>
      </w:r>
    </w:p>
    <w:p w14:paraId="559C82EC" w14:textId="77777777">
      <w:pPr>
        <w:pStyle w:val="P68B1DB1-P68B1DB1-ListParagraph226"/>
        <w:tabs>
          <w:tab w:val="left" w:pos="396"/>
          <w:tab w:val="left" w:pos="425"/>
        </w:tabs>
        <w:ind w:left="709"/>
      </w:pPr>
      <w:r>
        <w:t xml:space="preserve">— Produktets/tjenesteydelsens større eller mindre værdi</w:t>
      </w:r>
    </w:p>
    <w:p w14:paraId="7057795D" w14:textId="77777777">
      <w:pPr>
        <w:pStyle w:val="P68B1DB1-P68B1DB1-ListParagraph226"/>
        <w:tabs>
          <w:tab w:val="left" w:pos="396"/>
          <w:tab w:val="left" w:pos="425"/>
        </w:tabs>
        <w:ind w:left="709"/>
      </w:pPr>
      <w:r>
        <w:t xml:space="preserve">— Størrelsen af markedet for produktet/tjenesteydelsen eller</w:t>
      </w:r>
    </w:p>
    <w:p w14:paraId="7E4DCD6F" w14:textId="27AB1FF7">
      <w:pPr>
        <w:pStyle w:val="P68B1DB1-P68B1DB1-ListParagraph226"/>
        <w:tabs>
          <w:tab w:val="left" w:pos="396"/>
          <w:tab w:val="left" w:pos="425"/>
        </w:tabs>
        <w:ind w:left="709"/>
      </w:pPr>
      <w:r>
        <w:t xml:space="preserve">— Virkningen af en ny national bestemmelse om anvendelse, som kan være enten et totalt forbud mod brug eller et forbud eller en begrænsning inden for et af flere mulige anvendelsesområder?"</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Hvad angår den anden og tredje omstændighed, som er nævnt i det fjerde præjudicielle spørgsmål, bemærkes, således som det fremgår af denne doms præmis 50, at direktiv 83/189 fastsætter en procedure med henblik på forudgående kontrol, der gør det muligt at vurdere, om en national regel, der vedrører en teknisk forskrift, er omfattet af traktatens bestemmelser om de frie varebevægelser, og, hvis dette er tilfældet, at vurdere, om en sådan regel er forenelig med disse bestemmelser.</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I denne forbindelse blev det i denne doms præmis 51 fastslået, at den tekniske forskrifts eventuelle virkninger for samhandelen inden for Fællesskabet ikke udgør et kriterium for definitionen af anvendelsesområdet for direktiv 83/189, navnlig for så vidt angår den deri fastsatte underretningspligt."</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 xml:space="preserve">Ikke anvendelige</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Uanvendelighed i tilfælde af manglende underretning</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Dom af 30. april 1996</w:t>
        </w:r>
      </w:hyperlink>
      <w:r>
        <w:t xml:space="preserve"> i sag C-194/94, CIA Security International SA, præmis 48 og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Tilsidesættelse af meddelelsespligten medfører, at de pågældende "tekniske forskrifter" ikke finder anvendelse, således at de ikke kan gøres gældende over for borgerne. Borgerne kan påberåbe sig artikel 8 og 9 i direktiv 83/189 for en national ret, der skal afvise at anvende en national "teknisk forskrift", som ikke er blevet meddelt i overensstemmelse med dette direktiv.</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Et sådant resultat af, at forpligtelser i henhold til direktiv 83/189 tilsidesættes, forudsætter ikke en udtrykkelig bestemmelse herom. Som allerede nævnt har direktivet utvivlsomt til formål at beskytte varernes frie bevægelighed gennem en præventiv kontrol, ligesom meddelelsespligten er et væsentligt led i gennemførelsen af denne fællesskabskontrol. Effektiviteten af Fællesskabets kontrol vil være så meget større, hvis direktivet fortolkes således, at tilsidesættelse af meddelelsespligten udgør en væsentlig procedurefejl, der gør de pågældende tekniske forskrifter uanvendelige på borgerne."</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Det femte og det sjette spørgsmål skal derfor besvares med, at artikel 8 og 9 i direktiv 83/189 skal fortolkes således, at borgerne kan påberåbe sig dem for den nationale ret, som skal afslå at anvende en national teknisk forskrift, der ikke er blevet meddelt i overensstemmelse med direktivet."</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Dom af 16. juni 1998</w:t>
        </w:r>
      </w:hyperlink>
      <w:r>
        <w:t xml:space="preserve"> i sag C-226/97, Lemmens, præmis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Manglende overholdelse af forpligtelsen til at give meddelelse om en teknisk forskrift vedrørende åndedrætsanalyseapparater bevirker ikke, at den dokumentation, der er tilvejebragt ved hjælp af et åndedrætsanalyseapparat, der er godkendt i henhold til regler, som ikke er blevet anmeldt, ikke kan gøres gældende over for en person, der er tiltalt for spirituskørsel.</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I en straffesag som hovedsagen er de regler, der finder anvendelse over for den tiltalte, dels dem, som forbyder og fastsætter straf for kørsel i spirituspåvirket tilstand, dels dem, som forpligter føreren til at puste sin udåndingsluft ud i et apparat, der anvendes til undersøgelse af alkoholindholdet, idet resultatet af denne undersøgelse udgør et bevismiddel under straffesagen. Disse regler er forskellige fra dem, som ikke kan gøres gældende over for borgerne, hvis de ikke er meddelt Kommissionen i overensstemmelse med direktivet.</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Det bemærkes, at en manglende meddelelse af tekniske forskrifter, som udgør en proceduremangel ved deres vedtagelse, gør disse uanvendelige, for så vidt de hindrer brugen eller forhandlingen af et produkt, der ikke er i overensstemmelse med disse forskrifter, men den medfører derimod ikke, at alle anvendelser af et produkt, som er i overensstemmelse med de ikke-meddelte forskrifter, bliver ulovlige.</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De offentlige myndigheders anvendelse af et produkt som i den foreliggende sag er imidlertid ikke egnet til at udgøre nogen hindring for samhandelen, som kunne have været undgået, hvis meddelelsesproceduren havde været fulgt.</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Det første spørgsmål skal derfor besvares med, at direktivet skal fortolkes således, at en tilsidesættelse af forpligtelsen i henhold til direktivets artikel 8 til at give meddelelse om en teknisk forskrift vedrørende åndedrætsanalysatorer ikke bevirker, at beviser, der er tilvejebragt ved hjælp af sådanne apparater, der er godkendt i henhold til forskrifter, som ikke er blevet anmeldt, ikke kan gøres gældende over for en person, der er tiltalt for at køre i spirituspåvirket tilstand."</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Dom af 6. juni 2002</w:t>
        </w:r>
      </w:hyperlink>
      <w:r>
        <w:t xml:space="preserve"> i sag C-159/00, Sapod Audic, præmis 52 og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Det tilkommer den nationale ret at nægte at anvende bestemmelser, der ikke finder anvendelse på grund af manglende meddelelse. Konsekvenserne af en sådan uanvendelighed reguleres af national ret, forudsat at den ikke er mindre gunstig end for tilsvarende søgsmål på grundlag af national ret og ikke gør det umuligt at udøve EU-rettigheder.</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Det skal imidlertid bemærkes, at spørgsmålet om, hvilke konsekvenser der i hovedsagen skal drages af, at artikel 4, stk. 92, i dekret nr. 377- ikke finder anvendelse for så vidt angår strengheden af sanktionen i henhold til gældende national ret, såsom ugyldigheden eller ugyldigheden af kontrakten mellem Sapod og Eco-Emballages, er et spørgsmål, der er reguleret af national ret, navnlig for så vidt angår de aftaleretlige regler og principper, der begrænser eller tilpasser denne sanktion med henblik på at gøre dens strenghed forholdsmæssig i forhold til den konstaterede mangel. De nævnte bestemmelser og principper må imidlertid ikke være mindre gunstige end dem, der gælder for tilsvarende krav på grundlag af national ret (ækvivalensprincippet), og må ikke være udformet således, at de i praksis umuliggør udøvelsen af rettigheder, som hjemles i Fællesskabets retsorden (effektivitetsprincippet) (jf. bl.a. dom af 1976, sag 33/76, Rewe, Sml. s. 1989, præmis 5, og af 2001, forenede sager C-52/99 og C-53/99, Camarotto og Vignone, Sml. I, s. 1395, præmis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Det andet spørgsmåls anden del skal derfor, for så vidt som det vedrører direktiv 83/189, besvares med, at såfremt en national bestemmelse som artikel 4, andet afsnit, i dekret nr. 92-377 skal fortolkes således, at den kræver anbringelse af et mærke eller en etiket, kan en borger påberåbe sig den manglende meddelelse af denne nationale bestemmelse i overensstemmelse med dette direktivs artikel 8. Det tilkommer herefter den nationale ret at afvise at anvende denne bestemmelse, idet spørgsmålet om konsekvenserne af, at denne nationale bestemmelse ikke finder anvendelse med hensyn til strengheden af sanktionen i henhold til gældende national ret, såsom en kontrakts ugyldighed eller uanvendelighed, er et spørgsmål, der er reguleret af national ret. Denne konklusion er imidlertid betinget af, at de gældende nationale regler ikke er mindre gunstige end dem, der gælder for tilsvarende søgsmål på grundlag af national ret, og at de ikke er udformet således, at de i praksis umuliggør udøvelsen af rettigheder, der tillægges i henhold til Fællesskabets retsorden."</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Dom af 8. september 2005</w:t>
        </w:r>
      </w:hyperlink>
      <w:r>
        <w:t xml:space="preserve"> i sag C-303/04, Lidl Italia, præmis 22 og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Tilsidesættelse af meddelelsespligten udgør en væsentlig procedurefejl, der kan medføre, at de pågældende "tekniske forskrifter" ikke finder anvendelse og derfor ikke kan gøres gældende over for borgerne.</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det fremgår af fast retspraksis, at direktiv 98/34 har til formål gennem forebyggende kontrol at beskytte de frie varebevægelser, som udgør en del af Fællesskabets grundlag, og at denne kontrol tjener et nyttigt formål, for så vidt som tekniske forskrifter, der henhører under dette direktivs anvendelsesområde, kan udgøre hindringer for samhandelen mellem medlemsstaterne, idet sådanne hindringer kun kan tillades, hvis de er nødvendige for at opfylde tvingende almene hensyn (jf. i denne retning dom af 1996, sag C-194/94, CIA Security International, Sml. I, s. 2201, præmis 40, og af 1998, sag C-226/97, Lemmens, Sml. I, s. 3711, præmis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Da den underretningspligt, der bl.a. er omhandlet i artikel 8, stk. 1, første afsnit, i direktiv 98/34, er afgørende for gennemførelsen af denne fællesskabskontrol, vil effektiviteten af en sådan kontrol være så meget større, hvis dette direktiv fortolkes således, at manglende overholdelse af meddelelsespligten udgør en væsentlig procedurefejl, der kan medføre, at de pågældende tekniske forskrifter ikke kan bringes i anvendelse og dermed ikke kan gøres gældende over for borgerne (CIA Security International-dommen, præmis 44, 48 og 54, og Lemmens-dommen, præmis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Dom af 31. januar 2013</w:t>
        </w:r>
      </w:hyperlink>
      <w:r>
        <w:t xml:space="preserve"> i sag C</w:t>
        <w:noBreakHyphen/>
        <w:t xml:space="preserve">26/11, Belgische Petroleum Unie m.fl., præmis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Tilsidesættelse af meddelelsespligten udgør en væsentlig procedurefejl, der kan medføre, at de pågældende "tekniske forskrifter" ikke finder anvendelse og derfor ikke kan gøres gældende over for borgerne.</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Da den underretningspligt, der er omhandlet i artikel 8, stk. 1, første afsnit, i direktiv 98/34, er af afgørende betydning for gennemførelsen af denne kontrol, er effektiviteten af en sådan kontrol så meget større, hvis direktivet fortolkes således, at manglende overholdelse af meddelelsespligten udgør en væsentlig procedurefejl, der kan medføre, at de pågældende tekniske forskrifter ikke kan bringes i anvendelse og dermed ikke kan gøres gældende over for borgerne (jf. Lidl Italia-dommen, præmis 23, og Sandström-dommen, præmis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Dom af 2. februar 2016</w:t>
        </w:r>
      </w:hyperlink>
      <w:r>
        <w:t xml:space="preserve"> i sag C-336/14, Ince, præmis 67 og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Manglende meddelelse af en "teknisk forskrift" gør den uanvendelig og kan ikke gøres gældende over for enkeltpersoner. Sidstnævnte kan påberåbe sig artikel 8 i direktiv 98/34 for de nationale retter, som derfor er forpligtet til at nægte at anvende den ikke-meddelte regel.</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Indledningsvis bemærkes, at en tilsidesættelse af den underretningspligt, der er fastsat i artikel 8, stk. 1, i direktiv 98/34, udgør en procedurefejl i forbindelse med vedtagelsen af de pågældende tekniske forskrifter og medfører, at disse tekniske forskrifter ikke finder anvendelse og derfor ikke kan gøres gældende over for borgerne (jf. bl.a. dom i sag C-307/13, Ivansson m.fl., præmis 48 og den deri nævnte retspraksis).</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Det skal i denne forbindelse fremhæves, således som generaladvokaten har anført i punkt 60 i forslaget til afgørelse, at selv om dette direktivs artikel 8, stk. 1, kræver, at Kommissionen underrettes om hele udkastet til en lov, der indeholder tekniske forskrifter (jf. i denne retning dom Kommissionen mod Italien, C-279/94, præmis 40 og 41), omfatter den manglende anvendelighed, der følger af tilsidesættelsen af denne forpligtelse, ikke alle bestemmelser i en sådan lov, men kun de tekniske forskrifter, der er indeholdt heri."</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Kendelse af 21. april 2016</w:t>
        </w:r>
      </w:hyperlink>
      <w:r>
        <w:t xml:space="preserve"> i sag C-285/15, Beca Engineering, præmis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Manglende meddelelse af en "teknisk forskrift" medfører, at den ikke finder anvendelse, og at den ikke kan gøres gældende over for borgerne, som kan påberåbe sig artikel 8 i direktiv 98/34 ved de nationale domstole, som følgelig er forpligtet til at afslå at anvende den.</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(Da kendelsen kun er tilgængelig på fransk og italiensk, er følgende tekst en oversættelse.)</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Det følger af fast retspraksis, at manglende overholdelse af medlemsstaternes forpligtelse til omgående meddelelse af tekniske forskrifter til Kommissionen i henhold til artikel 8 i direktiv 98/34 medfører, at de pågældende tekniske forskrifter ikke finder anvendelse, således at de ikke kan gøres gældende over for borgerne, og disse kan således påberåbe sig artikel 8 i direktiv 98/34 for den nationale ret, som skal afvise at anvende en national teknisk forskrift, der ikke er blevet meddelt i overensstemmelse med dette direktiv (jf. i denne retning dom af 30. april 1996, CIA</w:t>
        <w:noBreakHyphen/>
        <w:t xml:space="preserve">Security International, 194/94, præmis 44 og 54). af 26. september 2000, sag</w:t>
        <w:noBreakHyphen/>
        <w:t xml:space="preserve">443/98, Unilever, præmis 49, og af 16. juli 2015, UNIC og Uni.co.pel</w:t>
        <w:noBreakHyphen/>
        <w:t xml:space="preserve">, 95/14, præmis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Dom af 1. februar 2017</w:t>
        </w:r>
      </w:hyperlink>
      <w:r>
        <w:t xml:space="preserve"> i sag</w:t>
        <w:noBreakHyphen/>
        <w:t xml:space="preserve">144/16, Município de Palmela, præmis 36 og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Den omstændighed, at ikke-meddelte tekniske forskrifter ikke finder anvendelse, omfatter kun de bestemmelser, der betragtes som sådanne, og ikke hele den tekst, hvori de er fastsat.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Desuden er sanktionen for manglende overholdelse af en sådan underretningspligt, at tekniske forskrifter, der ikke er blevet meddelt, ikke finder anvendelse (jf. i denne retning for så vidt angår direktiv 83/189 dom af 30. april 1996, CIA Security International, C-194/94, herefter "CIA Security International", præmis 54, og, for så vidt angår direktiv 98/34, dom af 4. februar 2016 i sag C-336/14, Ince, præmis 67 og den deri nævnte retspraksis).</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For så vidt angår rækkevidden af en sådan sanktion bemærkes, at selv om artikel 8, stk. 1, i direktiv 83/189 og artikel 8, stk. 1, i direktiv 98/34 kræver, at Kommissionen underrettes om hele udkastet til en lov, der indeholder tekniske forskrifter, gælder den manglende anvendelighed, der følger af tilsidesættelsen af denne forpligtelse, ikke for alle bestemmelser i en sådan lov, men kun for de tekniske forskrifter, der er indeholdt heri (jf. i denne retning dom af 4. februar 2016, Ince, C-336/14, præmis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Dom af 12. september 2019</w:t>
        </w:r>
      </w:hyperlink>
      <w:r>
        <w:t xml:space="preserve"> i sag C-299/17, VG Media, præmis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Den omstændighed, at en ikke-meddelt "teknisk forskrift" ikke finder anvendelse, kan påberåbes i en tvist mellem private.</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For så vidt som en forskrift som den i hovedsagen omhandlede specifikt tager sigte på informationssamfundets tjenester, skal udkastet til teknisk forskrift på forhånd meddeles Kommissionen i henhold til artikel 8, stk. 1, i direktiv 98/34. I modsat fald kan en teknisk forskrift, der ikke er blevet meddelt i overensstemmelse med denne bestemmelse, ifølge fast retspraksis påberåbes under en sag mellem private (dom af 27. oktober 2016, James Elliott Construction, C</w:t>
        <w:noBreakHyphen/>
        <w:t xml:space="preserve">613/14, præmis 64 og den deri nævnte retspraksis)."</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Uanvendelighed i tilfælde af adoption I standstill-perioden</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Dom af 26. september 2000</w:t>
        </w:r>
      </w:hyperlink>
      <w:r>
        <w:t xml:space="preserve"> i sag C-443/98, Unilever, præmis 44 og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Tilsidesættelsen af forpligtelsen til at udsætte vedtagelsen af en "teknisk forskrift" udgør en væsentlig procedurefejl, og den deraf følgende uanvendelighed kan gøres gældende i civilretlige aftaleretlige retssager.</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Selv om Domstolen i præmis 48 i CIA Security — efter at have gentaget, at formålet med direktiv 83/189 var at beskytte de frie varebevægelser ved hjælp af en præventiv kontrol, og at underretningspligten var afgørende for gennemførelsen af en sådan fællesskabskontrol — fastslog, at effektiviteten af en sådan kontrol ville være så meget større, hvis direktivet blev fortolket således, at tilsidesættelsen af meddelelsespligten udgjorde en væsentlig procedurefejl, der kunne gøre de pågældende tekniske forskrifter uanvendelige på borgerne, følger det af betragtningerne i denne doms præmis 40-43, at tilsidesættelsen af forpligtelserne til udsættelse af vedtagelsen i artikel 9 i direktiv 83/189 også udgør en væsentlig procedurefejl, der gør tekniske forskrifter uanvendelige."</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Det følger således af Domstolens praksis, at uanvendeligheden af en teknisk forskrift, som ikke er blevet meddelt i overensstemmelse med artikel 8 i direktiv 83/189, kan påberåbes i en sag mellem private parter af de i nærværende doms præmis 40-43 anførte grunde. Det samme gælder med hensyn til tilsidesættelse af de forpligtelser, der er fastsat i direktivets artikel 9, og det er i denne henseende ikke nødvendigt at behandle tvister mellem private i sager om illoyal konkurrence, som det var tilfældet i CIA Security International-sagen, anderledes end tvister mellem private om rettigheder og forpligtelser af kontraktmæssig karakter, som det er tilfældet i hovedsagen."</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Dom af 16. juli 2015</w:t>
        </w:r>
      </w:hyperlink>
      <w:r>
        <w:t xml:space="preserve"> i sag C-95/14, UNIC og Uni.co.pel, præmis 29 og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En "teknisk forskrift" kan ikke anvendes, hvis den ikke er blevet meddelt, eller hvis den, selv om den er meddelt, er blevet vedtaget og gennemført inden udløbet af standstill-perioden. Manglende overholdelse af denne standstill-periode udgør en materiel procedurefejl, der gør den pågældende "tekniske forskrift" uanvendelig og uanvendelig over for borgerne.</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Det skal i denne forbindelse bemærkes, at en teknisk forskrift ikke kan anvendes, hvis den ikke er blevet meddelt i overensstemmelse med artikel 8, stk. 1, i direktiv 98/34, eller hvis den, selv om den er blevet meddelt, er blevet vedtaget og gennemført inden udløbet af den tremåneders standstill-periode, der kræves i henhold til dette direktivs artikel 9, stk. 1 (jf. CIA Security International-dommen, C-194/94, præmis 41, 44 og 54, og Unilever, C-443/98, præmis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I hovedsagen tilkommer det følgelig den forelæggende ret at efterprøve, om lov nr. 8/2013 trådte i kraft uden at overholde den standstill-periode, der kræves i henhold til artikel 9 i direktiv 98/34. I bekræftende fald udgør tilsidesættelsen af denne frist en væsentlig proceduremangel, der kan medføre, at den tekniske forskrift ikke kan bringes i anvendelse. Som generaladvokaten har anført i punkt 44-47 i forslaget til afgørelse, ville artikel 3, stk. 2, i lov nr. 8/2103 i dette tilfælde ikke kunne gøres gældende over for private."</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Dom af 21. december 2023</w:t>
        </w:r>
      </w:hyperlink>
      <w:r>
        <w:rPr>
          <w:rFonts w:ascii="Times New Roman" w:hAnsi="Times New Roman" w:cs="Times New Roman" w:eastAsia="Times New Roman"/>
          <w:b/>
          <w:i/>
          <w:szCs w:val="20"/>
        </w:rPr>
        <w:t xml:space="preserve"> i sag C-86/22, Papier Mettler Italia, præmis 48 og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Vedtagelsen af et udkast til "teknisk forskrift" seks dage efter dets meddelelse er i strid med direktivet.</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Bestemmelser, der gør lovgivningens ikrafttræden betinget af, at Kommissionen ikke reagerer på denne lovgivning ("suspensionsklausuler"), er i strid med direktivet, fordi vedtagelsen af en sådan lovgivning ikke gør det muligt at tage hensyn til andre medlemsstaters synspunkter og tilsidesætter retssikkerhedsprincippet.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For det andet tilsidesætter vedtagelsen af det i hovedsagen omhandlede dekret inden for en frist på seks dage fra dets meddelelse til Kommissionen i henhold til dette direktivs artikel 8, stk. 1, ligeledes den forpligtelse, der er fastsat i direktivets artikel 9, stk. 1, hvorefter medlemsstaterne skal udsætte vedtagelsen af et "udkast til teknisk forskrift" i tre måneder regnet fra datoen for Kommissionens modtagelse af den i direktivets artikel 8, stk. 1, omhandlede meddelelse."</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For det andet har den nævnte regering gjort gældende, at ikrafttrædelsen af det i hovedsagen omhandlede dekret i henhold til dekretets artikel 6 var betinget af, at den meddelelsesprocedure, der blev indledt den 12. marts 2013 på grundlag af artikel 8, stk. 1, i direktiv 98/34, blev "afsluttet med et tilfredsstillende resultat". Denne procedure blev imidlertid ikke afsluttet med et sådant resultat, eftersom Kommissionen ikke har afgivet udtalelse om dette dekret. Dette argument må for det første forkastes, eftersom vedtagelsen og offentliggørelsen af dette dekret i sig selv kan have visse virkninger for de pågældende varers frie bevægelighed. for det andet har de ikke gjort det muligt at tage hensyn til Kongeriget Nederlandenes, Kongeriget Sveriges og Det Forenede Kongerige Storbritannien og Nordirlands bemærkninger og udførlige udtalelser. for det tredje udgør de, således som generaladvokaten har anført i punkt 52 i forslaget til afgørelse, en lovgivningsteknik, der er uforenelig med retssikkerhedsprincippet."</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Præcisering af virkningen af uanvendelighed</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Dom af 11. juni 2015</w:t>
        </w:r>
      </w:hyperlink>
      <w:r>
        <w:t xml:space="preserve"> i sag C-98/14, Berlington Hungary m.fl., præmis 108 og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Meddelelses- og standstill-forpligtelser har ikke til formål at tillægge enkeltpersoner rettigheder. Følgelig giver en medlemsstats tilsidesættelse af disse bestemmelser i henhold til EU-retten ikke borgerne ret til at kræve erstatning fra denne medlemsstat for eventuelle deraf følgende skader.</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I denne henseende fremgår det af retspraksis, at selv om direktiv 98/34 har til formål at sikre de frie varebevægelser ved at indføre en præventiv kontrol, hvis effektive virkning kræver, at en national foranstaltning, der er vedtaget i strid med direktivets artikel 8 og 9, ikke anvendes i forbindelse med en tvist mellem private, definerer dette direktiv på ingen måde det materielle anvendelsesområde for den retsregel, på grundlag af hvilken den nationale ret skal afgøre den tvist, der verserer for den. Dette direktiv skaber således hverken rettigheder eller forpligtelser for borgerne (Unilever-dommen, C-443/98, præmis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Under disse omstændigheder må det fastslås, at den første af de betingelser, der er opregnet i denne doms præmis 104, ikke er opfyldt, således at borgerne ikke kan påberåbe sig tilsidesættelsen af dette direktivs artikel 8 og 9 med henblik på at fastslå den pågældende medlemsstats ansvar på grundlag af EU-retten."</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Traktatbrudsprocedure</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Dom af 4. juni 2009</w:t>
        </w:r>
      </w:hyperlink>
      <w:r>
        <w:t xml:space="preserve"> i sag C-109/08, Kommissionen mod Grækenland, præmis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dom afsagt af Domstolen, der fastslår en tilsidesættelse af meddelelsespligten, skal straks opfyldes for at sikre en ensartet anvendelse af EU-retten. Spørgsmålet om, hvorvidt der foreligger et sådant traktatbrud i henhold til artikel 228 EF, vurderes ved udløbet af den frist, der er fastsat i den begrundede udtalelse. I det foreliggende tilfælde har Den Hellenske Republik tilsidesat sine forpligtelser i henhold til artikel 228, stk. 1, EF, da den ikke har truffet nogen foranstaltninger inden udløbet af den fastsatte frist.</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Selv om artikel 228 EF ikke præciserer, inden for hvilken frist en dom afsagt af Domstolen, hvorved det fastslås, at der foreligger et traktatbrud, skal være opfyldt, følger det af fast retspraksis, at hensynet til en øjeblikkelig og ensartet anvendelse af fællesskabsretten indebærer, at opfyldelsesprocessen iværksættes med øjeblikkelig virkning og afsluttes så hurtigt som muligt (jf. bl.a. dom af 2008, sag C-121/07, Kommissionen mod Frankrig, Sml. I,</w:t>
        <w:noBreakHyphen/>
        <w:t xml:space="preserve">s. 0000, præmis 21 og</w:t>
        <w:noBreakHyphen/>
        <w:t xml:space="preserve">den deri nævnte retspraksis).</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Desuden er det relevante tidspunkt for vurderingen af, om der foreligger et traktatbrud i henhold til artikel 228 EF, udløbet af den frist, der er fastsat i den begrundede udtalelse, der er fremsat i henhold til denne bestemmelse (jf. bl.a. dom af 2007, sag 503/04</w:t>
        <w:noBreakHyphen/>
        <w:t xml:space="preserve">, Kommissionen mod Tyskland, Sml. I,</w:t>
        <w:noBreakHyphen/>
        <w:t xml:space="preserve">s. 6153, præmis 19 og den</w:t>
        <w:noBreakHyphen/>
        <w:t xml:space="preserve">deri nævnte retspraksis).</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I det foreliggende tilfælde er det klart, at Den Hellenske Republik på datoen for udløbet af den frist på to måneder, der var fastsat i den begrundede udtalelse af 29. juni 2007, ikke havde truffet nogen af de foranstaltninger, der var nødvendige for at opfylde dommen i sag C 65/05,</w:t>
        <w:noBreakHyphen/>
        <w:t xml:space="preserve">Kommissionen mod Grækenland, eftersom udkastet til en første foranstaltning til opfyldelse af denne dom først blev meddelt Kommissionen den 7. maj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Under disse omstændigheder må det fastslås, at Den Hellenske Republik, således som den selv har anerkendt, har tilsidesat sine forpligtelser i henhold til artikel 228, stk. 1, EF."</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Sammenligningen mellem direktiv 2015/1535 og direktiv 83/189/EØF er baseret på de oprindelige retsakter uden ændringer, mens sammenligningen af direktiv 98/34/EF er baseret på den udgave, der blev ændret ved direktiv 98/48/EF af 20. juli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Europa-Parlamentets og Rådets direktiv (EU) 2015/1535 af 9. september 2015 om en informationsprocedure med hensyn til tekniske forskrifter samt forskrifter for informationssamfundets tjenester (kodifikation)</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Europa-Parlamentets og Rådets direktiv 98/34/EF af 22. juni 1998 om en informationsprocedure med hensyn til tekniske standarder og forskrifter, ændret ved direktiv 98/48/EF af 20. juli 1998 (herunder forskrifter for tjenester)</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Rådets direktiv 83/189/EØF af 28. marts 1983 om en informationsprocedure med hensyn til tekniske standarder og forskrifter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d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da"/>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