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50FB" w14:textId="5B510F4D" w:rsidR="00593D40" w:rsidRPr="00593D40" w:rsidRDefault="00593D40" w:rsidP="00593D40">
      <w:pPr>
        <w:rPr>
          <w:rFonts w:ascii="Courier New" w:hAnsi="Courier New" w:cs="Courier New"/>
          <w:sz w:val="20"/>
          <w:szCs w:val="20"/>
        </w:rPr>
      </w:pPr>
      <w:bookmarkStart w:id="0" w:name="_GoBack"/>
      <w:bookmarkEnd w:id="0"/>
      <w:r>
        <w:rPr>
          <w:rFonts w:ascii="Courier New" w:hAnsi="Courier New"/>
          <w:sz w:val="20"/>
          <w:szCs w:val="20"/>
        </w:rPr>
        <w:t>1. ------IND- 2020 0647 PL- HU-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A törvénynek a Szejm eljárási szabályzata 52. cikkének megfelelően a Szenátushoz továbbított szövege</w:t>
      </w:r>
    </w:p>
    <w:p w14:paraId="10EAF937" w14:textId="491666AA" w:rsidR="00763CC7" w:rsidRPr="00593D40" w:rsidRDefault="00763CC7" w:rsidP="00763CC7">
      <w:pPr>
        <w:pStyle w:val="OZNRODZAKTUtznustawalubrozporzdzenieiorganwydajcy"/>
        <w:rPr>
          <w:spacing w:val="0"/>
        </w:rPr>
      </w:pPr>
      <w:r>
        <w:t>Törvény</w:t>
      </w:r>
    </w:p>
    <w:p w14:paraId="21676C61" w14:textId="6504CCBC" w:rsidR="00763CC7" w:rsidRPr="00593D40" w:rsidRDefault="00063D56" w:rsidP="00763CC7">
      <w:pPr>
        <w:pStyle w:val="DATAAKTUdatauchwalenialubwydaniaaktu"/>
      </w:pPr>
      <w:r>
        <w:t>(2020. szeptember 18.)</w:t>
      </w:r>
    </w:p>
    <w:p w14:paraId="17B57DF6" w14:textId="77777777" w:rsidR="00763CC7" w:rsidRPr="00593D40" w:rsidRDefault="00763CC7" w:rsidP="00F116C8">
      <w:pPr>
        <w:pStyle w:val="TYTUAKTUprzedmiotregulacjiustawylubrozporzdzenia"/>
      </w:pPr>
      <w:r>
        <w:t>az állatok védelméről szóló törvény és egyes más törvények módosításáról</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1. cikk</w:t>
      </w:r>
      <w:r>
        <w:t> Az állatok védelméről szóló, 1997. augusztus 21-i törvény (Jogi Közlöny [Dziennik Ustaw] 2020., 638. tétel) a következőképpen módosul:</w:t>
      </w:r>
    </w:p>
    <w:p w14:paraId="383963E8" w14:textId="77777777" w:rsidR="00763CC7" w:rsidRPr="00593D40" w:rsidRDefault="00763CC7" w:rsidP="00F116C8">
      <w:pPr>
        <w:pStyle w:val="PKTpunkt"/>
        <w:keepNext/>
      </w:pPr>
      <w:r>
        <w:t>(1)</w:t>
      </w:r>
      <w:r>
        <w:tab/>
        <w:t>a 4. cikkben:</w:t>
      </w:r>
    </w:p>
    <w:p w14:paraId="0CBA7D5F" w14:textId="2EE4C53F" w:rsidR="00763CC7" w:rsidRPr="00593D40" w:rsidRDefault="00763CC7" w:rsidP="00F116C8">
      <w:pPr>
        <w:pStyle w:val="LITlitera"/>
        <w:keepNext/>
      </w:pPr>
      <w:r>
        <w:t>a)</w:t>
      </w:r>
      <w:r>
        <w:tab/>
        <w:t>a szöveg a 3. albekezdés után a következő 3a–3c. albekezdésekkel egészül ki:</w:t>
      </w:r>
    </w:p>
    <w:p w14:paraId="696860ED" w14:textId="36B17421" w:rsidR="00763CC7" w:rsidRPr="00593D40" w:rsidRDefault="00F16C3B" w:rsidP="006E1FD8">
      <w:pPr>
        <w:pStyle w:val="ZLITPKTzmpktliter"/>
      </w:pPr>
      <w:r>
        <w:t>„3a)</w:t>
      </w:r>
      <w:r>
        <w:tab/>
        <w:t>„fajtiszta macska – a fajtájára jellegzetes fenotípusú macska, amelynek származását bejegyezték a Lengyel Felinológiai Szövetség által vezetett nyilvántartásba vagy a Szövetség által elismert törzskönyvi nyilvántartásba;</w:t>
      </w:r>
    </w:p>
    <w:p w14:paraId="645B65DF" w14:textId="27E978F0" w:rsidR="00763CC7" w:rsidRPr="00593D40" w:rsidRDefault="00763CC7" w:rsidP="006E1FD8">
      <w:pPr>
        <w:pStyle w:val="ZLITPKTzmpktliter"/>
      </w:pPr>
      <w:r>
        <w:t>3b)</w:t>
      </w:r>
      <w:r>
        <w:tab/>
        <w:t>„karám” – zárt hely, melynek célja, hogy a kutyát a lakóépületen kívüli világos helyen tartsák, megakadályozva a kutya megszökését, védett, és a felület legalább felét lefedő kövezett talajjal;</w:t>
      </w:r>
    </w:p>
    <w:p w14:paraId="21600CEE" w14:textId="41564658" w:rsidR="00763CC7" w:rsidRPr="00593D40" w:rsidRDefault="00763CC7" w:rsidP="006E1FD8">
      <w:pPr>
        <w:pStyle w:val="ZLITPKTzmpktliter"/>
      </w:pPr>
      <w:r>
        <w:t>3c)</w:t>
      </w:r>
      <w:r>
        <w:tab/>
        <w:t>„villás nyakörv” – olyan típusú nyakörv, amelynek fogai az állat nyaka felé mutatnak,”,</w:t>
      </w:r>
    </w:p>
    <w:p w14:paraId="7CDCD608" w14:textId="77777777" w:rsidR="00763CC7" w:rsidRPr="00593D40" w:rsidRDefault="00763CC7" w:rsidP="00F116C8">
      <w:pPr>
        <w:pStyle w:val="LITlitera"/>
        <w:keepNext/>
      </w:pPr>
      <w:r>
        <w:t>b)</w:t>
      </w:r>
      <w:r>
        <w:tab/>
        <w:t>a 10. albekezdés után a szöveg az alábbi 10a. albekezdéssel egészül ki:</w:t>
      </w:r>
    </w:p>
    <w:p w14:paraId="3F0BED5D" w14:textId="1DB08B7E" w:rsidR="00763CC7" w:rsidRPr="00593D40" w:rsidRDefault="00F16C3B" w:rsidP="006E1FD8">
      <w:pPr>
        <w:pStyle w:val="ZLITPKTzmpktliter"/>
      </w:pPr>
      <w:r>
        <w:t>„10a)  „fajtiszta eb – a fajtájára jellegzetes fenotípusú kutya, amelynek származását bejegyezték a Lengyel Kinológiai Szövetség által vezetett nyilvántartásba vagy a Szövetség által elismert külföldi törzskönyvi nyilvántartásba,”,</w:t>
      </w:r>
    </w:p>
    <w:p w14:paraId="325EAA45" w14:textId="54DCF47F" w:rsidR="002E242A" w:rsidRPr="00593D40" w:rsidRDefault="002E242A" w:rsidP="00593D40">
      <w:pPr>
        <w:pStyle w:val="LITlitera"/>
        <w:keepNext/>
        <w:keepLines/>
      </w:pPr>
      <w:r>
        <w:t>c)   a 20. albekezdés helyébe a következő szöveg lép:</w:t>
      </w:r>
    </w:p>
    <w:p w14:paraId="53E59EDB" w14:textId="77777777" w:rsidR="002E242A" w:rsidRPr="00593D40" w:rsidRDefault="002E242A" w:rsidP="002E242A">
      <w:pPr>
        <w:pStyle w:val="ZLITPKTzmpktliter"/>
      </w:pPr>
      <w:r>
        <w:t xml:space="preserve">„20)  „speciális célokra alkalmazott kutyák” – olyan állatok, amelyek professzionális kiképzésére és felhasználására a Lengyel Köztársaság Fegyveres Erői, a Rendőrség, a Határőrség, a Nemzeti Tűzoltóság és más </w:t>
      </w:r>
      <w:r>
        <w:lastRenderedPageBreak/>
        <w:t>olyan testületek és szervezetek részletes működési szabályait meghatározó külön rendelkezések vonatkoznak, amelyeket a belügyekért, a büntetésvégrehajtásért, a Nemzeti Adóhivatalért, a Vasúti Rendőrségért, a polgárőrökért, a mentőalakulatokért felelős miniszter felügyel vagy amelyek neki tesznek jelentést, valamint amelyekre a vakvezető kutyák kiképzésének és alkalmazásának részletes szabályait meghatározó rendelkezések vonatkoznak,”;</w:t>
      </w:r>
    </w:p>
    <w:p w14:paraId="0B223E00" w14:textId="2FCB8543" w:rsidR="00DE4CC8" w:rsidRPr="00593D40" w:rsidRDefault="00BA588D" w:rsidP="00593D40">
      <w:pPr>
        <w:pStyle w:val="PKTpunkt"/>
        <w:keepNext/>
        <w:keepLines/>
      </w:pPr>
      <w:r>
        <w:t>(2)</w:t>
      </w:r>
      <w:r>
        <w:tab/>
        <w:t>a 6. cikk (2) bekezdésének 19) pontjában a pont helyébe pontosvessző lép, és a szöveg a következő 20. albekezdéssel egészül ki:</w:t>
      </w:r>
    </w:p>
    <w:p w14:paraId="78129D8B" w14:textId="458969E6" w:rsidR="00DE4CC8" w:rsidRPr="00593D40" w:rsidRDefault="008F506F" w:rsidP="006B1FFB">
      <w:pPr>
        <w:pStyle w:val="ZPKTzmpktartykuempunktem"/>
      </w:pPr>
      <w:r>
        <w:t>„20)  élő állatok küldése postai úton vagy futárszolgálattal, kivéve állatoknak kizárólag professzionális állatszállítást szervező és az állatok szállítás közbeni gondozását és jóllétét biztosító szervezetek általi szállítását.”;</w:t>
      </w:r>
    </w:p>
    <w:p w14:paraId="0AD9F432" w14:textId="55628C09" w:rsidR="006B1FFB" w:rsidRPr="00593D40" w:rsidRDefault="00BA588D" w:rsidP="00593D40">
      <w:pPr>
        <w:pStyle w:val="PKTpunkt"/>
        <w:keepNext/>
        <w:keepLines/>
      </w:pPr>
      <w:r>
        <w:t>(3)</w:t>
      </w:r>
      <w:r>
        <w:tab/>
        <w:t>a 7. cikkben:</w:t>
      </w:r>
    </w:p>
    <w:p w14:paraId="6679E35A" w14:textId="497F4F60" w:rsidR="006B1FFB" w:rsidRPr="00593D40" w:rsidRDefault="009D60A2" w:rsidP="00593D40">
      <w:pPr>
        <w:pStyle w:val="LITlitera"/>
        <w:keepNext/>
        <w:keepLines/>
      </w:pPr>
      <w:r>
        <w:t>a)</w:t>
      </w:r>
      <w:r>
        <w:tab/>
        <w:t>a (3) bekezdés helyébe a következő szöveg lép:</w:t>
      </w:r>
    </w:p>
    <w:p w14:paraId="6D13E593" w14:textId="71889D72" w:rsidR="006B1FFB" w:rsidRPr="00593D40" w:rsidRDefault="006B1FFB" w:rsidP="009D60A2">
      <w:pPr>
        <w:pStyle w:val="ZLITUSTzmustliter"/>
      </w:pPr>
      <w:r>
        <w:t>„(3) Szükséghelyzetben, ahol az állatnak a jelenlegi tulajdonosánál vagy gondozójánál való maradása fenyegetést jelent az állat egészségére vagy életére, a 34e. cikk (1) bekezdésében hivatkozott listán szereplő nem kormányzati szervezetnek rendőr, polgárőr vagy állatorvos kíséretében el kell vennie a tulajdonostól vagy gondozótól az állatot, és erről azonnal értesítenie kell a helyhatóság vezetőjét (polgármester), hogy döntés szülessen az állat elvételéről. Ha a rendőr, polgárőr vagy állatorvos úgy dönt, hogy az állat egészségét vagy életét nem fenyegeti veszély, akkor az állatot nem kell elvenni.”,</w:t>
      </w:r>
    </w:p>
    <w:p w14:paraId="2F5B2CEB" w14:textId="63960280" w:rsidR="006B1FFB" w:rsidRPr="00593D40" w:rsidRDefault="009D60A2" w:rsidP="00593D40">
      <w:pPr>
        <w:pStyle w:val="LITlitera"/>
        <w:keepNext/>
        <w:keepLines/>
      </w:pPr>
      <w:r>
        <w:t>b)</w:t>
      </w:r>
      <w:r>
        <w:tab/>
        <w:t>a szöveg a (3) bekezdést követően a következő (3a) bekezdéssel egészül ki:</w:t>
      </w:r>
    </w:p>
    <w:p w14:paraId="57D6F83B" w14:textId="534EC004" w:rsidR="006B1FFB" w:rsidRPr="00593D40" w:rsidRDefault="006B1FFB" w:rsidP="009D60A2">
      <w:pPr>
        <w:pStyle w:val="ZLITUSTzmustliter"/>
      </w:pPr>
      <w:r>
        <w:t xml:space="preserve">„(3a) Ha a tulajdonos cselekedetei vagy gondatlansága közvetlen fenyegetést jelent az állat életére vagy egészségére, akkor bármely személy elveheti az állatot a tulajdonostól, miután előzőleg telefonon értesítette erről a rendőrséget vagy a polgárőröket. Az állatot azonnal be kell vinni a rendőrségre vagy a polgárőrökhöz. A rendőrség vagy a polgárőrség az állat elvételéről azonnal értesíti a helyhatóság vezetőjét (polgármester), hogy döntést hozzanak ezzel kapcsolatban.”, </w:t>
      </w:r>
    </w:p>
    <w:p w14:paraId="6CFDC67F" w14:textId="65C9A5DE" w:rsidR="006B1FFB" w:rsidRPr="00593D40" w:rsidRDefault="009D60A2" w:rsidP="00593D40">
      <w:pPr>
        <w:pStyle w:val="LITlitera"/>
        <w:keepNext/>
        <w:keepLines/>
      </w:pPr>
      <w:r>
        <w:t>c)</w:t>
      </w:r>
      <w:r>
        <w:tab/>
        <w:t>a (4) bekezdés helyébe a következő szöveg lép:</w:t>
      </w:r>
    </w:p>
    <w:p w14:paraId="115A7293" w14:textId="42F3E7AB" w:rsidR="00763CC7" w:rsidRPr="00593D40" w:rsidRDefault="006B1FFB" w:rsidP="009D60A2">
      <w:pPr>
        <w:pStyle w:val="ZLITUSTzmustliter"/>
      </w:pPr>
      <w:r>
        <w:t xml:space="preserve">„(4) Az (1), (3) és (3a) bekezdésekben említett esetekben az állatorvos részvételének, az állat szállításának, ellátásának és szükséges kezelésének költségeit a korábbi tulajdonos vagy gondozó köteles viselni. Amennyiben az </w:t>
      </w:r>
      <w:r>
        <w:lastRenderedPageBreak/>
        <w:t>(1), (3) és (3a) bekezdésekben említett esetekben a beavatkozás indokolatlan volt, akkor az állat szállításának, a ellátásának és szükséges kezelésének, valamint a (3) bekezdésben említett részvételük költségeit a 34e. cikk (1) bekezdésében megnevezett listán szereplő nem kormányzati szervezet viseli.”;</w:t>
      </w:r>
    </w:p>
    <w:p w14:paraId="55EA3BF4" w14:textId="5C15E3B5" w:rsidR="00763CC7" w:rsidRPr="00593D40" w:rsidRDefault="00BA588D" w:rsidP="00F116C8">
      <w:pPr>
        <w:pStyle w:val="PKTpunkt"/>
        <w:keepNext/>
      </w:pPr>
      <w:r>
        <w:t>(4)</w:t>
      </w:r>
      <w:r>
        <w:tab/>
        <w:t>a 9. cikkben:</w:t>
      </w:r>
    </w:p>
    <w:p w14:paraId="160AF595" w14:textId="77777777" w:rsidR="00763CC7" w:rsidRPr="00593D40" w:rsidRDefault="00763CC7" w:rsidP="00F116C8">
      <w:pPr>
        <w:pStyle w:val="LITlitera"/>
        <w:keepNext/>
      </w:pPr>
      <w:r>
        <w:t>a)</w:t>
      </w:r>
      <w:r>
        <w:tab/>
        <w:t>a (2) bekezdés helyébe a következő szöveg lép:</w:t>
      </w:r>
    </w:p>
    <w:p w14:paraId="3D7C04DC" w14:textId="1D31E42B" w:rsidR="00763CC7" w:rsidRPr="00593D40" w:rsidRDefault="00F16C3B" w:rsidP="00763CC7">
      <w:pPr>
        <w:pStyle w:val="ZLITUSTzmustliter"/>
      </w:pPr>
      <w:r>
        <w:t>„(2) A háziállatok napi 12 óránál hosszabb ideig nem lehetnek megkötve.”,</w:t>
      </w:r>
    </w:p>
    <w:p w14:paraId="59D33A72" w14:textId="77777777" w:rsidR="00763CC7" w:rsidRPr="00593D40" w:rsidRDefault="00763CC7" w:rsidP="00F116C8">
      <w:pPr>
        <w:pStyle w:val="LITlitera"/>
        <w:keepNext/>
      </w:pPr>
      <w:r>
        <w:t>b)</w:t>
      </w:r>
      <w:r>
        <w:tab/>
        <w:t>a szöveg a következő (3)–(7) bekezdésekkel egészül ki:</w:t>
      </w:r>
    </w:p>
    <w:p w14:paraId="17760F0B" w14:textId="2CEA330A" w:rsidR="00763CC7" w:rsidRPr="00593D40" w:rsidRDefault="00F16C3B" w:rsidP="00763CC7">
      <w:pPr>
        <w:pStyle w:val="ZLITUSTzmustliter"/>
      </w:pPr>
      <w:r>
        <w:t>„(3) Háziállatok ideiglenes megkötése megengedett, feltéve, hogy a kötél nem rövidebb 6 m-nél, lehetővé téve, hogy az állat legalább 20 m</w:t>
      </w:r>
      <w:r>
        <w:rPr>
          <w:vertAlign w:val="superscript"/>
        </w:rPr>
        <w:t>2</w:t>
      </w:r>
      <w:r>
        <w:t xml:space="preserve"> elkerítésű területet használjon.</w:t>
      </w:r>
    </w:p>
    <w:p w14:paraId="3D0A7537" w14:textId="4EA45A5F" w:rsidR="006B104F" w:rsidRPr="00593D40" w:rsidRDefault="00763CC7" w:rsidP="00763CC7">
      <w:pPr>
        <w:pStyle w:val="ZLITUSTzmustliter"/>
      </w:pPr>
      <w:r>
        <w:t>(4) Háziállatok ideiglenes megkötése nem végezhető a következők használatával:</w:t>
      </w:r>
    </w:p>
    <w:p w14:paraId="6D4AADC9" w14:textId="1C8FEE01" w:rsidR="006B104F" w:rsidRPr="00593D40" w:rsidRDefault="004F2DD0" w:rsidP="00365A2B">
      <w:pPr>
        <w:pStyle w:val="ZLITPKTzmpktliter"/>
      </w:pPr>
      <w:r>
        <w:t>1)   lánc;</w:t>
      </w:r>
    </w:p>
    <w:p w14:paraId="272BD47E" w14:textId="4436F6D7" w:rsidR="00763CC7" w:rsidRPr="00593D40" w:rsidRDefault="006B104F" w:rsidP="00593D40">
      <w:pPr>
        <w:pStyle w:val="ZLITPKTzmpktliter"/>
        <w:keepNext/>
        <w:keepLines/>
      </w:pPr>
      <w:r>
        <w:t>2)   fém nyakörv, beleértve a fojtó nyakörveket.</w:t>
      </w:r>
    </w:p>
    <w:p w14:paraId="5783A1CA" w14:textId="77777777" w:rsidR="00763CC7" w:rsidRPr="00593D40" w:rsidRDefault="00763CC7" w:rsidP="00F116C8">
      <w:pPr>
        <w:pStyle w:val="ZLITUSTzmustliter"/>
        <w:keepNext/>
      </w:pPr>
      <w:r>
        <w:t>(5) Állatok ketrecben tartása megengedett, feltéve, hogy a ketrec alapterülete megfelel az állat számára annak marmagassága alapján a következők szerint:</w:t>
      </w:r>
    </w:p>
    <w:p w14:paraId="6FE2AF2D" w14:textId="444BCAB9" w:rsidR="00763CC7" w:rsidRPr="00593D40" w:rsidRDefault="00763CC7" w:rsidP="00763CC7">
      <w:pPr>
        <w:pStyle w:val="ZLITPKTzmpktliter"/>
      </w:pPr>
      <w:r>
        <w:t>1)   50 cm-ig – a ketrec alapterülete legalább 9 m</w:t>
      </w:r>
      <w:r>
        <w:rPr>
          <w:vertAlign w:val="superscript"/>
        </w:rPr>
        <w:t>2</w:t>
      </w:r>
      <w:r>
        <w:t>;</w:t>
      </w:r>
    </w:p>
    <w:p w14:paraId="666747A8" w14:textId="77777777" w:rsidR="00763CC7" w:rsidRPr="00593D40" w:rsidRDefault="00763CC7" w:rsidP="00763CC7">
      <w:pPr>
        <w:pStyle w:val="ZLITPKTzmpktliter"/>
      </w:pPr>
      <w:r>
        <w:t>2)   51 cm-től 66 cm-ig – a ketrec alapterülete legalább 12 m</w:t>
      </w:r>
      <w:r>
        <w:rPr>
          <w:vertAlign w:val="superscript"/>
        </w:rPr>
        <w:t>2</w:t>
      </w:r>
      <w:r>
        <w:t>;</w:t>
      </w:r>
    </w:p>
    <w:p w14:paraId="2334F10B" w14:textId="77777777" w:rsidR="00763CC7" w:rsidRPr="00593D40" w:rsidRDefault="00763CC7" w:rsidP="00763CC7">
      <w:pPr>
        <w:pStyle w:val="ZLITPKTzmpktliter"/>
      </w:pPr>
      <w:r>
        <w:t>3)   66 cm fölött – a ketrec alapterülete legalább 15 m</w:t>
      </w:r>
      <w:r>
        <w:rPr>
          <w:vertAlign w:val="superscript"/>
        </w:rPr>
        <w:t>2</w:t>
      </w:r>
      <w:r>
        <w:t>.</w:t>
      </w:r>
    </w:p>
    <w:p w14:paraId="410FF3E2" w14:textId="77777777" w:rsidR="00763CC7" w:rsidRPr="00593D40" w:rsidRDefault="00763CC7" w:rsidP="006E1FD8">
      <w:pPr>
        <w:pStyle w:val="ZLITUSTzmustliter"/>
      </w:pPr>
      <w:r>
        <w:t>(6)</w:t>
      </w:r>
      <w:r>
        <w:tab/>
        <w:t>Ha a ketrecben egynél több állatot tartanak, akkor az alapterületét minden további állat után az (5) bekezdésben szereplő vonatkozó érték felével kell megnövelni.</w:t>
      </w:r>
    </w:p>
    <w:p w14:paraId="1C0C0A7B" w14:textId="7552BB26" w:rsidR="00763CC7" w:rsidRPr="00593D40" w:rsidRDefault="00763CC7" w:rsidP="006E1FD8">
      <w:pPr>
        <w:pStyle w:val="ZLITUSTzmustliter"/>
      </w:pPr>
      <w:r>
        <w:t>(7) Ha az (5) bekezdésben hivatkozott egy ketrecben tartott állatok marmagassága eltérő, akkor a ketrec alapterületének kiszámítására a nagyobb marmagasságot kell alkalmazni.”;</w:t>
      </w:r>
    </w:p>
    <w:p w14:paraId="14FAE14F" w14:textId="4C5CCEFB" w:rsidR="00763CC7" w:rsidRPr="00593D40" w:rsidRDefault="00BA588D" w:rsidP="00F116C8">
      <w:pPr>
        <w:pStyle w:val="PKTpunkt"/>
        <w:keepNext/>
      </w:pPr>
      <w:r>
        <w:t>(5)</w:t>
      </w:r>
      <w:r>
        <w:tab/>
        <w:t>a 10a. cikkben:</w:t>
      </w:r>
    </w:p>
    <w:p w14:paraId="77A25841" w14:textId="2BF25C0C" w:rsidR="00763CC7" w:rsidRPr="00593D40" w:rsidRDefault="00763CC7" w:rsidP="00F116C8">
      <w:pPr>
        <w:pStyle w:val="LITlitera"/>
        <w:keepNext/>
      </w:pPr>
      <w:r>
        <w:t>a)</w:t>
      </w:r>
      <w:r>
        <w:tab/>
        <w:t xml:space="preserve">az (1) bekezdésben: </w:t>
      </w:r>
    </w:p>
    <w:p w14:paraId="2A20BD89" w14:textId="0C743A6A" w:rsidR="00763CC7" w:rsidRPr="00593D40" w:rsidRDefault="006E1FD8" w:rsidP="00F116C8">
      <w:pPr>
        <w:pStyle w:val="TIRtiret"/>
        <w:keepNext/>
      </w:pPr>
      <w:r>
        <w:t>– a 3. albekezdés helyébe a következő szöveg lép:</w:t>
      </w:r>
    </w:p>
    <w:p w14:paraId="4513F76D" w14:textId="13462094" w:rsidR="00763CC7" w:rsidRPr="00593D40" w:rsidRDefault="00F16C3B" w:rsidP="006E1FD8">
      <w:pPr>
        <w:pStyle w:val="ZTIRPKTzmpkttiret"/>
      </w:pPr>
      <w:r>
        <w:t>„3)  kutyák és macskák értékesítése tenyésztésük vagy tartásuk helyén kívül, beleértve az interneten történő értékesítést,”;</w:t>
      </w:r>
    </w:p>
    <w:p w14:paraId="2A07F574" w14:textId="68046C0D" w:rsidR="00763CC7" w:rsidRPr="00593D40" w:rsidRDefault="006E1FD8" w:rsidP="00F116C8">
      <w:pPr>
        <w:pStyle w:val="TIRtiret"/>
        <w:keepNext/>
      </w:pPr>
      <w:r>
        <w:t>– a szöveg a következő 4. albekezdéssel egészül ki:</w:t>
      </w:r>
    </w:p>
    <w:p w14:paraId="0E60295A" w14:textId="0521DF2C" w:rsidR="00763CC7" w:rsidRPr="00593D40" w:rsidRDefault="00F16C3B" w:rsidP="00F116C8">
      <w:pPr>
        <w:pStyle w:val="ZTIRPKTzmpkttiret"/>
      </w:pPr>
      <w:r>
        <w:t>„4)   háziállatok kiskorúak részére történő értékesítése.”;</w:t>
      </w:r>
    </w:p>
    <w:p w14:paraId="1A1F1CBE" w14:textId="3D410D94" w:rsidR="00763CC7" w:rsidRPr="00593D40" w:rsidRDefault="00763CC7" w:rsidP="00F116C8">
      <w:pPr>
        <w:pStyle w:val="LITlitera"/>
        <w:keepNext/>
      </w:pPr>
      <w:r>
        <w:lastRenderedPageBreak/>
        <w:t>b)</w:t>
      </w:r>
      <w:r>
        <w:tab/>
        <w:t>a (6) bekezdés helyébe a következő szöveg lép:</w:t>
      </w:r>
    </w:p>
    <w:p w14:paraId="369E5D98" w14:textId="0DB7F3E0" w:rsidR="00763CC7" w:rsidRPr="00593D40" w:rsidRDefault="00F16C3B" w:rsidP="00F116C8">
      <w:pPr>
        <w:pStyle w:val="ZLITUSTzmustliter"/>
        <w:keepNext/>
      </w:pPr>
      <w:r>
        <w:t>„(6) A (2) bekezdésben említett kötelezettség nem vonatkozik az alábbiak tenyésztésére:</w:t>
      </w:r>
    </w:p>
    <w:p w14:paraId="74796F60" w14:textId="77777777" w:rsidR="00763CC7" w:rsidRPr="00593D40" w:rsidRDefault="00763CC7" w:rsidP="006E1FD8">
      <w:pPr>
        <w:pStyle w:val="ZLITPKTzmpktliter"/>
      </w:pPr>
      <w:r>
        <w:t>1)  fajtiszta szukák és tenyészállatok utódaiként született kutyák;</w:t>
      </w:r>
    </w:p>
    <w:p w14:paraId="71B2A9F0" w14:textId="380BD156" w:rsidR="00763CC7" w:rsidRPr="00593D40" w:rsidRDefault="00763CC7" w:rsidP="006E1FD8">
      <w:pPr>
        <w:pStyle w:val="ZLITPKTzmpktliter"/>
      </w:pPr>
      <w:r>
        <w:t>2)  fajtiszta nősténymacskák és tenyészállatok utódaiként született macskák.”;</w:t>
      </w:r>
    </w:p>
    <w:p w14:paraId="6E2E43F6" w14:textId="10B912A1" w:rsidR="00763CC7" w:rsidRPr="00593D40" w:rsidRDefault="00BA588D" w:rsidP="00F116C8">
      <w:pPr>
        <w:pStyle w:val="PKTpunkt"/>
        <w:keepNext/>
      </w:pPr>
      <w:r>
        <w:t>(6)</w:t>
      </w:r>
      <w:r>
        <w:tab/>
        <w:t>a 11. cikkben:</w:t>
      </w:r>
    </w:p>
    <w:p w14:paraId="7FF2243B" w14:textId="77777777" w:rsidR="00763CC7" w:rsidRPr="00593D40" w:rsidRDefault="00763CC7" w:rsidP="00F116C8">
      <w:pPr>
        <w:pStyle w:val="LITlitera"/>
        <w:keepNext/>
      </w:pPr>
      <w:r>
        <w:t>a)</w:t>
      </w:r>
      <w:r>
        <w:tab/>
        <w:t>az (1) bekezdés a következő (1a) bekezdéssel egészül ki:</w:t>
      </w:r>
    </w:p>
    <w:p w14:paraId="0764F2FC" w14:textId="6E034532" w:rsidR="00763CC7" w:rsidRPr="00593D40" w:rsidRDefault="00F16C3B" w:rsidP="00F116C8">
      <w:pPr>
        <w:pStyle w:val="ZLITUSTzmustliter"/>
        <w:keepNext/>
      </w:pPr>
      <w:r>
        <w:t>„(1a) A települések gondoskodnak a kóbor állatokról:</w:t>
      </w:r>
    </w:p>
    <w:p w14:paraId="46CA514A" w14:textId="77777777" w:rsidR="00763CC7" w:rsidRPr="00593D40" w:rsidRDefault="00763CC7" w:rsidP="00763CC7">
      <w:pPr>
        <w:pStyle w:val="ZLITPKTzmpktliter"/>
      </w:pPr>
      <w:r>
        <w:t>1)  állatmenhelyeket működtető szervezeti egységek útján vagy</w:t>
      </w:r>
    </w:p>
    <w:p w14:paraId="5A9D5002" w14:textId="77777777" w:rsidR="00763CC7" w:rsidRPr="00593D40" w:rsidRDefault="00763CC7" w:rsidP="00763CC7">
      <w:pPr>
        <w:pStyle w:val="ZLITPKTzmpktliter"/>
      </w:pPr>
      <w:r>
        <w:t>2)  szervezeti egységek létesítésével állatmenhelyek működtetésére vagy</w:t>
      </w:r>
    </w:p>
    <w:p w14:paraId="60134B8B" w14:textId="0A44AF91" w:rsidR="00763CC7" w:rsidRPr="00D50988" w:rsidRDefault="00763CC7" w:rsidP="00763CC7">
      <w:pPr>
        <w:pStyle w:val="ZLITPKTzmpktliter"/>
      </w:pPr>
      <w:r>
        <w:t>3)  a (4) bekezdésben hivatkozott megállapodás megkötésével.”,</w:t>
      </w:r>
    </w:p>
    <w:p w14:paraId="5F460623" w14:textId="77777777" w:rsidR="00763CC7" w:rsidRPr="00593D40" w:rsidRDefault="00763CC7" w:rsidP="00F116C8">
      <w:pPr>
        <w:pStyle w:val="LITlitera"/>
        <w:keepNext/>
      </w:pPr>
      <w:r>
        <w:t>b)</w:t>
      </w:r>
      <w:r>
        <w:tab/>
        <w:t>a (4) bekezdés helyébe a következő szöveg lép:</w:t>
      </w:r>
    </w:p>
    <w:p w14:paraId="1C66431C" w14:textId="59AE2E71" w:rsidR="00763CC7" w:rsidRPr="00593D40" w:rsidRDefault="00F16C3B" w:rsidP="00763CC7">
      <w:pPr>
        <w:pStyle w:val="ZLITUSTzmustliter"/>
      </w:pPr>
      <w:r>
        <w:t>„(4) Társadalmi szervezetek, amelyek alapító okiratban foglalt célja az állatvédelem, non-profit alapon működnek, és a közhasznú tevékenységekről és önkéntes szolgáltatásról szóló, 2003. április 24-i törvény (Jogi Közlöny, 2020., 1057. tétel) 20. cikke értelmében közhasznú szervezetként vannak elismerve, gondoskodhatnak a kóbor állatokról, és e célból az illetékes helyi hatóságokkal összhangban állatmenhelyeket működtethetnek.”;</w:t>
      </w:r>
    </w:p>
    <w:p w14:paraId="1A294D36" w14:textId="77777777" w:rsidR="00763CC7" w:rsidRPr="00593D40" w:rsidRDefault="00763CC7" w:rsidP="00F116C8">
      <w:pPr>
        <w:pStyle w:val="LITlitera"/>
        <w:keepNext/>
      </w:pPr>
      <w:r>
        <w:t>c)</w:t>
      </w:r>
      <w:r>
        <w:tab/>
        <w:t>a szöveg a következő (5)–(7) bekezdésekkel egészül ki:</w:t>
      </w:r>
    </w:p>
    <w:p w14:paraId="3D83C165" w14:textId="363A6D8D" w:rsidR="00763CC7" w:rsidRPr="00593D40" w:rsidRDefault="00F16C3B" w:rsidP="00763CC7">
      <w:pPr>
        <w:pStyle w:val="ZLITUSTzmustliter"/>
      </w:pPr>
      <w:r>
        <w:t>„(5) Az (1a) bekezdés 1) és 2) pontjában hivatkozott szervezeti egység vezetőjének nagykorú és kifogástalan előéletű személynek kell lennie, akit nem ítéltek el jogerősen állatokkal kapcsolatos szándékos bűncselekmény vagy szándékos erőszakos bűncselekmény miatt.</w:t>
      </w:r>
    </w:p>
    <w:p w14:paraId="029F230D" w14:textId="77777777" w:rsidR="00763CC7" w:rsidRPr="00593D40" w:rsidRDefault="00763CC7" w:rsidP="00763CC7">
      <w:pPr>
        <w:pStyle w:val="ZLITUSTzmustliter"/>
      </w:pPr>
      <w:r>
        <w:t>(6) A (4) bekezdésben hivatkozott társadalmi szervezetek kizárólag nagykorú és kifogástalan előéletű személyekből állhatnak, akiket nem ítéltek el jogerősen állatokkal kapcsolatos szándékos bűncselekmény vagy szándékos erőszakos bűncselekmény miatt.</w:t>
      </w:r>
    </w:p>
    <w:p w14:paraId="2E1057A8" w14:textId="08A096E8" w:rsidR="00763CC7" w:rsidRPr="00593D40" w:rsidRDefault="00763CC7" w:rsidP="00763CC7">
      <w:pPr>
        <w:pStyle w:val="ZLITUSTzmustliter"/>
      </w:pPr>
      <w:r>
        <w:t>(7) Az (1a) bekezdés 1) és 2) pontjában hivatkozott állatmenhelyek kizárólag olyan nagykorú és kifogástalan előéletű személyeket foglalkoztathatnak, akiket nem ítéltek el jogerősen állatokkal kapcsolatos szándékos bűncselekmény vagy szándékos erőszakos bűncselekmény miatt.”;</w:t>
      </w:r>
    </w:p>
    <w:p w14:paraId="43FF88C6" w14:textId="1FBB2347" w:rsidR="00763CC7" w:rsidRPr="00593D40" w:rsidRDefault="00BA588D" w:rsidP="00F116C8">
      <w:pPr>
        <w:pStyle w:val="PKTpunkt"/>
        <w:keepNext/>
      </w:pPr>
      <w:r>
        <w:t>(7)</w:t>
      </w:r>
      <w:r>
        <w:tab/>
        <w:t>a 12. cikkben a (4b) bekezdés után a szöveg a következő (4c) bekezdéssel egészül ki:</w:t>
      </w:r>
    </w:p>
    <w:p w14:paraId="3D2EDC03" w14:textId="36863E91" w:rsidR="00763CC7" w:rsidRPr="00593D40" w:rsidRDefault="00F16C3B" w:rsidP="00763CC7">
      <w:pPr>
        <w:pStyle w:val="ZUSTzmustartykuempunktem"/>
      </w:pPr>
      <w:r>
        <w:t xml:space="preserve">„(4c) Az állatok tenyésztése és tartása szervezéséről szóló 2017. június 29-i törvény (Jogi Közlöny 2017., 2132. tétel; és Jogi Közlöny 2020., ... tétel) 2. cikke </w:t>
      </w:r>
      <w:r>
        <w:lastRenderedPageBreak/>
        <w:t xml:space="preserve">(3) bekezdésében hivatkozott szőrmés állatok – kivéve a nyulak – tenyésztése kereskedelmi célokból – különösen szőrméjük vagy más részük megszerzése céljából – tilos.”; </w:t>
      </w:r>
    </w:p>
    <w:p w14:paraId="49BB2EE3" w14:textId="3F204546" w:rsidR="00763CC7" w:rsidRPr="00593D40" w:rsidRDefault="00BA588D" w:rsidP="00F116C8">
      <w:pPr>
        <w:pStyle w:val="PKTpunkt"/>
        <w:keepNext/>
      </w:pPr>
      <w:r>
        <w:t>(8)</w:t>
      </w:r>
      <w:r>
        <w:tab/>
        <w:t>a 15. cikk (1) bekezdése helyébe a következő szöveg lép:</w:t>
      </w:r>
    </w:p>
    <w:p w14:paraId="2D02A577" w14:textId="0FFF258D" w:rsidR="00763CC7" w:rsidRPr="00593D40" w:rsidRDefault="00F16C3B" w:rsidP="00763CC7">
      <w:pPr>
        <w:pStyle w:val="ZUSTzmustartykuempunktem"/>
      </w:pPr>
      <w:r>
        <w:t>„(1) A filmekhez, sportokhoz és speciális célokra használt állatok kiképzésére és a velük végzett tevékenységekre vonatkozó feltételek, valamint a velük való bánásmód nem veszélyeztethetik az életüket és egészségüket, és nem okozhat szenvedést számukra.”;</w:t>
      </w:r>
    </w:p>
    <w:p w14:paraId="59928864" w14:textId="3873D67A" w:rsidR="00763CC7" w:rsidRPr="00593D40" w:rsidRDefault="00BA588D" w:rsidP="00F116C8">
      <w:pPr>
        <w:pStyle w:val="PKTpunkt"/>
        <w:keepNext/>
      </w:pPr>
      <w:r>
        <w:t>(9)</w:t>
      </w:r>
      <w:r>
        <w:tab/>
        <w:t>a szöveg a 16. cikk után az alábbi 16a. cikkel egészül ki:</w:t>
      </w:r>
    </w:p>
    <w:p w14:paraId="65874D13" w14:textId="5E948051" w:rsidR="00763CC7" w:rsidRPr="00593D40" w:rsidRDefault="00F16C3B" w:rsidP="00133F33">
      <w:pPr>
        <w:pStyle w:val="ZARTzmartartykuempunktem"/>
      </w:pPr>
      <w:r>
        <w:t>„16a. cikk</w:t>
      </w:r>
      <w:r>
        <w:tab/>
        <w:t>A kizárólag egy adott állatfaj jellemzőinek bemutatásából álló kiállítások és bemutatók engedélyezettek. Az állatkiállítások és -bemutatók szervezésének módja nem veszélyeztetheti az állatok életét és egészségét, és nem okozhat szenvedést számukra.”;</w:t>
      </w:r>
    </w:p>
    <w:p w14:paraId="12A4CF8F" w14:textId="12420B28" w:rsidR="00763CC7" w:rsidRPr="00593D40" w:rsidRDefault="00BA588D" w:rsidP="00F116C8">
      <w:pPr>
        <w:pStyle w:val="PKTpunkt"/>
        <w:keepNext/>
      </w:pPr>
      <w:r>
        <w:t>(10)</w:t>
      </w:r>
      <w:r>
        <w:tab/>
        <w:t>a 17. cikkben:</w:t>
      </w:r>
    </w:p>
    <w:p w14:paraId="57BB6BE0" w14:textId="6FFEEEA4" w:rsidR="00763CC7" w:rsidRPr="00593D40" w:rsidRDefault="00763CC7" w:rsidP="00F116C8">
      <w:pPr>
        <w:pStyle w:val="LITlitera"/>
        <w:keepNext/>
      </w:pPr>
      <w:r>
        <w:t>a)</w:t>
      </w:r>
      <w:r>
        <w:tab/>
        <w:t>az (1) bekezdés a következő (1a) bekezdéssel egészül ki:</w:t>
      </w:r>
    </w:p>
    <w:p w14:paraId="4C2662CA" w14:textId="1987EC6A" w:rsidR="00763CC7" w:rsidRPr="00593D40" w:rsidRDefault="00F16C3B" w:rsidP="00133F33">
      <w:pPr>
        <w:pStyle w:val="ZLITUSTzmustliter"/>
      </w:pPr>
      <w:r>
        <w:t>„(1a) Szabadon (vadon) élő állatok használata, valamint az ilyen fajok fogságban született és nevelt állatainak előadási célokra való felhasználása tilos, kivéve az állatkerteket és hasonló, az állatok megfigyelését célzó helyeket.”,</w:t>
      </w:r>
    </w:p>
    <w:p w14:paraId="0E854C5E" w14:textId="6373D9B4" w:rsidR="00D0517A" w:rsidRPr="00593D40" w:rsidRDefault="00D0517A" w:rsidP="00D0517A">
      <w:pPr>
        <w:pStyle w:val="LITlitera"/>
        <w:keepNext/>
      </w:pPr>
      <w:r>
        <w:t>b)</w:t>
      </w:r>
      <w:r>
        <w:tab/>
        <w:t>a (2) bekezdés helyébe a következő szöveg lép:</w:t>
      </w:r>
    </w:p>
    <w:p w14:paraId="77A8C73B" w14:textId="3F129ADF" w:rsidR="00763CC7" w:rsidRPr="00593D40" w:rsidRDefault="00D0517A" w:rsidP="00D0517A">
      <w:pPr>
        <w:pStyle w:val="ZLITUSTzmustliter"/>
      </w:pPr>
      <w:r>
        <w:t>„(2) Állatok előadási, speciális vagy védelmi célú kiképzését oly módon kell végezni, hogy az ne okozzon szenvedést számukra.”,</w:t>
      </w:r>
    </w:p>
    <w:p w14:paraId="47CC2FA8" w14:textId="1A17F512" w:rsidR="00D0517A" w:rsidRPr="00593D40" w:rsidRDefault="00D0517A" w:rsidP="00D0517A">
      <w:pPr>
        <w:pStyle w:val="LITlitera"/>
        <w:keepNext/>
      </w:pPr>
      <w:r>
        <w:t>c)</w:t>
      </w:r>
      <w:r>
        <w:tab/>
        <w:t>a (5) bekezdés helyébe a következő szöveg lép:</w:t>
      </w:r>
    </w:p>
    <w:p w14:paraId="242162E5" w14:textId="1F54EEAD" w:rsidR="00D0517A" w:rsidRPr="00593D40" w:rsidRDefault="00D0517A" w:rsidP="00D0517A">
      <w:pPr>
        <w:pStyle w:val="ZLITUSTzmustliter"/>
      </w:pPr>
      <w:r>
        <w:t>„(5) Vándorállatkertek működtetése, valamint állatok bevonásával cirkuszi bemutatók és hasonló szórakoztató célú bemutatók szervezése és működtetése tilos.”,</w:t>
      </w:r>
    </w:p>
    <w:p w14:paraId="20F01932" w14:textId="1C93EB8D" w:rsidR="00763CC7" w:rsidRPr="00593D40" w:rsidRDefault="00D0517A" w:rsidP="00F116C8">
      <w:pPr>
        <w:pStyle w:val="LITlitera"/>
        <w:keepNext/>
      </w:pPr>
      <w:r>
        <w:t>d) a (8) bekezdés helyébe a következő szöveg lép:</w:t>
      </w:r>
    </w:p>
    <w:p w14:paraId="36036942" w14:textId="172FEC25" w:rsidR="00763CC7" w:rsidRPr="00593D40" w:rsidRDefault="00F16C3B" w:rsidP="00763CC7">
      <w:pPr>
        <w:pStyle w:val="ZLITUSTzmustliter"/>
      </w:pPr>
      <w:r>
        <w:t>„(8) A környezetért felelős miniszter, egyeztetve a kultúráért felelős miniszterrel szabályozás útján meghatározza a filmekhez, sportokhoz és speciális célokra felhasznált állatfajok tartásának minimumfeltételeit, figyelembe véve megfelelő gondozásuk biztosítását.”;</w:t>
      </w:r>
    </w:p>
    <w:p w14:paraId="3BE9D781" w14:textId="58121A6C" w:rsidR="00763CC7" w:rsidRPr="00593D40" w:rsidRDefault="00BA588D" w:rsidP="00F116C8">
      <w:pPr>
        <w:pStyle w:val="PKTpunkt"/>
        <w:keepNext/>
      </w:pPr>
      <w:r>
        <w:t>(11)</w:t>
      </w:r>
      <w:r>
        <w:tab/>
        <w:t>a 18. cikk (1) bekezdése helyébe a következő szöveg lép:</w:t>
      </w:r>
    </w:p>
    <w:p w14:paraId="14FD3121" w14:textId="5088CD91" w:rsidR="00763CC7" w:rsidRPr="00593D40" w:rsidRDefault="00F16C3B" w:rsidP="00133F33">
      <w:pPr>
        <w:pStyle w:val="ZUSTzmustartykuempunktem"/>
      </w:pPr>
      <w:r>
        <w:t xml:space="preserve">„(1) Filmekhez, sportokhoz és speciális célokra használt állatok csak ménesekben, speciális célokra használt állatok számára szolgáló helyeken vagy speciális célokra használt állatok számára szükséges feltételeket teljesítő helyeken, </w:t>
      </w:r>
      <w:r>
        <w:lastRenderedPageBreak/>
        <w:t>állatkertekben és állatrehabilitációs központokban tarthatók, tenyészthetők és mutathatók be az Állatorvosi Felügyelőség felügyelete alatt.”;</w:t>
      </w:r>
    </w:p>
    <w:p w14:paraId="526CB965" w14:textId="3D23F859" w:rsidR="00BC37AE" w:rsidRPr="00593D40" w:rsidRDefault="00BA588D" w:rsidP="00BC37AE">
      <w:pPr>
        <w:pStyle w:val="PKTpunkt"/>
        <w:keepNext/>
      </w:pPr>
      <w:r>
        <w:t>(12)</w:t>
      </w:r>
      <w:r>
        <w:tab/>
        <w:t>a szöveg a 18. cikk után az alábbi 18a. cikkel egészül ki:</w:t>
      </w:r>
    </w:p>
    <w:p w14:paraId="2A5ACFDE" w14:textId="77777777" w:rsidR="00BC37AE" w:rsidRPr="00593D40" w:rsidRDefault="00BC37AE" w:rsidP="00BC37AE">
      <w:pPr>
        <w:pStyle w:val="ZARTzmartartykuempunktem"/>
      </w:pPr>
      <w:r>
        <w:t>„18a. cikk (1) Speciális célokra használt állat gondozója, amely egy illetékes hatóság döntése értelmében távozott a szolgálatból, havi tartási járadékra jogosult, amelyet az említett hatóság fizet az állat haláláig.</w:t>
      </w:r>
    </w:p>
    <w:p w14:paraId="78E54F3D" w14:textId="12718FD2" w:rsidR="00BC37AE" w:rsidRPr="00593D40" w:rsidRDefault="00BC37AE" w:rsidP="00BC37AE">
      <w:pPr>
        <w:pStyle w:val="ZUSTzmustartykuempunktem"/>
      </w:pPr>
      <w:r>
        <w:t>(2) Az állat szolgálatból való kilépéséről szóló döntést meghozó hatóság jogosult ellenőrizni az (1) bekezdésben hivatkozott járadék felhasználásának módját, beleértve annak visszavonásának jogát és az állatot eltávolítani az olyan helyről, ahol embertelen kezelést, a megfelelő gondozás hiányát vagy a tartás elégtelen környezeti feltételeit állapították meg.</w:t>
      </w:r>
    </w:p>
    <w:p w14:paraId="41017406" w14:textId="058FD34B" w:rsidR="00BC37AE" w:rsidRPr="00593D40" w:rsidRDefault="00BC37AE" w:rsidP="00BC37AE">
      <w:pPr>
        <w:pStyle w:val="ZUSTzmustartykuempunktem"/>
      </w:pPr>
      <w:r>
        <w:t>(3) A Minisztertanács rendeleti úton határozza meg az (1) bekezdésben hivatkozott járadék összegét és kifizetésének módját, beleértve az azt igénylő gondozó által használandó formanyomtatványt.’;</w:t>
      </w:r>
    </w:p>
    <w:p w14:paraId="0A9634CD" w14:textId="4F5109B5" w:rsidR="00D429D2" w:rsidRPr="00593D40" w:rsidRDefault="00BA588D" w:rsidP="00593D40">
      <w:pPr>
        <w:pStyle w:val="PKTpunkt"/>
        <w:keepNext/>
        <w:keepLines/>
      </w:pPr>
      <w:r>
        <w:t>(13)</w:t>
      </w:r>
      <w:r>
        <w:tab/>
        <w:t>a 34. cikkben:</w:t>
      </w:r>
    </w:p>
    <w:p w14:paraId="3F744F6D" w14:textId="3332C757" w:rsidR="00D429D2" w:rsidRPr="00593D40" w:rsidRDefault="00D429D2" w:rsidP="00593D40">
      <w:pPr>
        <w:pStyle w:val="LITlitera"/>
        <w:keepNext/>
        <w:keepLines/>
      </w:pPr>
      <w:r>
        <w:t>a)</w:t>
      </w:r>
      <w:r>
        <w:tab/>
        <w:t>a szöveg a (3) bekezdés után a következő (3a) és (3b) bekezdésekkel egészül ki:</w:t>
      </w:r>
    </w:p>
    <w:p w14:paraId="6C17CFDA" w14:textId="46D1AF96" w:rsidR="00D429D2" w:rsidRPr="00593D40" w:rsidRDefault="00D429D2" w:rsidP="00D429D2">
      <w:pPr>
        <w:pStyle w:val="ZLITUSTzmustliter"/>
      </w:pPr>
      <w:r>
        <w:t>„(3a) Az (1) és (3) bekezdésekben meghatározott követelmények nem vonatkoznak állatok vallási szertartás keretében történő speciális levágására, kizárólag a Lengyelország területén törvényesen elismert vallási szervezetek tagjainak szükségletei alapján, a továbbiakban „kábítás nélküli levágás”.</w:t>
      </w:r>
    </w:p>
    <w:p w14:paraId="688DD46E" w14:textId="77777777" w:rsidR="00D429D2" w:rsidRPr="00593D40" w:rsidRDefault="00D429D2" w:rsidP="00D429D2">
      <w:pPr>
        <w:pStyle w:val="ZLITUSTzmustliter"/>
      </w:pPr>
      <w:r>
        <w:t>(3b) A (3a) bekezdésben hivatkozott esetben szarvasmarhafélék felfordítását vagy bármely természetellenes helyzetben való megkötését nem szabad alkalmazni.”,</w:t>
      </w:r>
    </w:p>
    <w:p w14:paraId="241B7214" w14:textId="77777777" w:rsidR="00D429D2" w:rsidRPr="00593D40" w:rsidRDefault="00D429D2" w:rsidP="00593D40">
      <w:pPr>
        <w:pStyle w:val="LITlitera"/>
        <w:keepNext/>
        <w:keepLines/>
      </w:pPr>
      <w:r>
        <w:t>b)</w:t>
      </w:r>
      <w:r>
        <w:tab/>
        <w:t>a szöveg a következő (7) bekezdéssel egészül ki:</w:t>
      </w:r>
    </w:p>
    <w:p w14:paraId="4BF4353E" w14:textId="77777777" w:rsidR="00D429D2" w:rsidRPr="00593D40" w:rsidRDefault="00D429D2" w:rsidP="00D429D2">
      <w:pPr>
        <w:pStyle w:val="ZLITUSTzmustliter"/>
      </w:pPr>
      <w:r>
        <w:t>„(7) A mezőgazdaságért felelős miniszter a belügyekért felelős miniszterrel egyeztetve rendelet útján meghatározza:</w:t>
      </w:r>
    </w:p>
    <w:p w14:paraId="72AB6C67" w14:textId="77777777" w:rsidR="00D429D2" w:rsidRPr="00593D40" w:rsidRDefault="00D429D2" w:rsidP="00D429D2">
      <w:pPr>
        <w:pStyle w:val="ZLITPKTzmpktliter"/>
      </w:pPr>
      <w:r>
        <w:t>1)   azoknak a személyeknek a képzettségeit, akik jogosultak kábítás nélküli levágást végezni,</w:t>
      </w:r>
    </w:p>
    <w:p w14:paraId="356AA64D" w14:textId="0F293398" w:rsidR="00D429D2" w:rsidRPr="00593D40" w:rsidRDefault="00D429D2" w:rsidP="00D429D2">
      <w:pPr>
        <w:pStyle w:val="ZLITPKTzmpktliter"/>
      </w:pPr>
      <w:r>
        <w:t>2) a kábítás nélküli levágásnál alkalmazandó lerakodást, szállítást és megkötözést,</w:t>
      </w:r>
    </w:p>
    <w:p w14:paraId="577AAD9D" w14:textId="77777777" w:rsidR="00D429D2" w:rsidRPr="00593D40" w:rsidRDefault="00D429D2" w:rsidP="00D429D2">
      <w:pPr>
        <w:pStyle w:val="ZLITPKTzmpktliter"/>
      </w:pPr>
      <w:r>
        <w:t>3)  a kábítás nélküli levágás feltételeit és módszereit fajtól függően,</w:t>
      </w:r>
    </w:p>
    <w:p w14:paraId="1863517B" w14:textId="2DBB4AE2" w:rsidR="00D429D2" w:rsidRPr="00593D40" w:rsidRDefault="00D429D2" w:rsidP="00593D40">
      <w:pPr>
        <w:pStyle w:val="ZLITPKTzmpktliter"/>
        <w:keepNext/>
        <w:keepLines/>
      </w:pPr>
      <w:r>
        <w:lastRenderedPageBreak/>
        <w:t>4)  a Lengyelország területén törvényesen elismert vallási szervezetek tagjai általi felügyelet feltételeit és a maximális szükségleteik meghatározását</w:t>
      </w:r>
    </w:p>
    <w:p w14:paraId="1E495970" w14:textId="29BDCCFC" w:rsidR="00D429D2" w:rsidRPr="00593D40" w:rsidRDefault="00D1609E" w:rsidP="00D429D2">
      <w:pPr>
        <w:pStyle w:val="ZLITCZWSPPKTzmczciwsppktliter"/>
      </w:pPr>
      <w:r>
        <w:t>– figyelembe véve a kábítás nélkül levágott állatok humánus kezelésének biztosítását és kizárólag a Lengyelország területén törvényesen elismert vallási szervezetek tagjai személyes szükségleteinek kielégítését.”;</w:t>
      </w:r>
    </w:p>
    <w:p w14:paraId="6416807F" w14:textId="53705C60" w:rsidR="00763CC7" w:rsidRPr="00593D40" w:rsidRDefault="00763CC7" w:rsidP="00F116C8">
      <w:pPr>
        <w:pStyle w:val="PKTpunkt"/>
        <w:keepNext/>
      </w:pPr>
      <w:r>
        <w:t>(14) A 10a. fejezet címe helyébe a következő szöveg lép:</w:t>
      </w:r>
    </w:p>
    <w:p w14:paraId="4E4C70F6" w14:textId="119AE5C9" w:rsidR="00763CC7" w:rsidRPr="00593D40" w:rsidRDefault="00F16C3B" w:rsidP="00133F33">
      <w:pPr>
        <w:pStyle w:val="ZFRAGzmfragmentunpzdaniaartykuempunktem"/>
      </w:pPr>
      <w:r>
        <w:t>„Az állatvédelmi előírásoknak való megfelelés felügyelete és ellenőrzése”;</w:t>
      </w:r>
    </w:p>
    <w:p w14:paraId="65966BA0" w14:textId="692097B2" w:rsidR="00763CC7" w:rsidRPr="00593D40" w:rsidRDefault="00730ACA" w:rsidP="00F116C8">
      <w:pPr>
        <w:pStyle w:val="PKTpunkt"/>
        <w:keepNext/>
      </w:pPr>
      <w:r>
        <w:t>(15)</w:t>
      </w:r>
      <w:r>
        <w:tab/>
        <w:t>a 34a. cikkben:</w:t>
      </w:r>
    </w:p>
    <w:p w14:paraId="56ABC64B" w14:textId="77777777" w:rsidR="00763CC7" w:rsidRPr="00593D40" w:rsidRDefault="00763CC7" w:rsidP="00F116C8">
      <w:pPr>
        <w:pStyle w:val="LITlitera"/>
        <w:keepNext/>
      </w:pPr>
      <w:r>
        <w:t>a)</w:t>
      </w:r>
      <w:r>
        <w:tab/>
        <w:t>az (3) bekezdés a következő (3a) bekezdéssel egészül ki:</w:t>
      </w:r>
    </w:p>
    <w:p w14:paraId="16E31E0A" w14:textId="3C717FA9" w:rsidR="00763CC7" w:rsidRPr="00593D40" w:rsidRDefault="00F16C3B" w:rsidP="00763CC7">
      <w:pPr>
        <w:pStyle w:val="ZLITUSTzmustliter"/>
      </w:pPr>
      <w:r>
        <w:t>„(3a) A (3) bekezdésben hivatkozott együttműködés az összes felügyeleti tevékenységben való részvétel és az állatmenhelyek dokumentációjához való hozzáférés jogából áll.”,</w:t>
      </w:r>
    </w:p>
    <w:p w14:paraId="2204239A" w14:textId="77777777" w:rsidR="00763CC7" w:rsidRPr="00593D40" w:rsidRDefault="00763CC7" w:rsidP="00763CC7">
      <w:pPr>
        <w:pStyle w:val="LITlitera"/>
      </w:pPr>
      <w:r>
        <w:t>b)</w:t>
      </w:r>
      <w:r>
        <w:tab/>
        <w:t>az (5) bekezdés hatályát veszti;</w:t>
      </w:r>
    </w:p>
    <w:p w14:paraId="13D686BE" w14:textId="10B566D7" w:rsidR="00763CC7" w:rsidRPr="00593D40" w:rsidRDefault="00730ACA" w:rsidP="00F116C8">
      <w:pPr>
        <w:pStyle w:val="PKTpunkt"/>
        <w:keepNext/>
      </w:pPr>
      <w:r>
        <w:t>(16)</w:t>
      </w:r>
      <w:r>
        <w:tab/>
        <w:t>a szöveg a 34a. cikk után a következő 34b. és 34c. cikkel egészül ki:</w:t>
      </w:r>
    </w:p>
    <w:p w14:paraId="27FBD88E" w14:textId="2473549B" w:rsidR="00763CC7" w:rsidRPr="00593D40" w:rsidRDefault="00F16C3B" w:rsidP="00763CC7">
      <w:pPr>
        <w:pStyle w:val="ZARTzmartartykuempunktem"/>
      </w:pPr>
      <w:r>
        <w:t>„34b. cikk (1) Állatorvosok negyedévenként egyszer végzik el az állatmenhelyek vizsgálatát.</w:t>
      </w:r>
    </w:p>
    <w:p w14:paraId="03AF758A" w14:textId="74F7E7A1" w:rsidR="00763CC7" w:rsidRPr="00593D40" w:rsidRDefault="00763CC7" w:rsidP="00F116C8">
      <w:pPr>
        <w:pStyle w:val="ZUSTzmustartykuempunktem"/>
        <w:keepNext/>
      </w:pPr>
      <w:r>
        <w:t>(2) Az (1) bekezdésben hivatkozott vizsgálat végzése során az állatorvosok jogosultak:</w:t>
      </w:r>
    </w:p>
    <w:p w14:paraId="7D3CDA37" w14:textId="77777777" w:rsidR="00763CC7" w:rsidRPr="00593D40" w:rsidRDefault="00763CC7" w:rsidP="00763CC7">
      <w:pPr>
        <w:pStyle w:val="ZPKTzmpktartykuempunktem"/>
      </w:pPr>
      <w:r>
        <w:t xml:space="preserve">1)  írásos vagy szóbeli információt igényelni a vizsgálat hatálya alatt, beleértve a vizsgált egység által végzett tevékenységgel kapcsolatos információkat; </w:t>
      </w:r>
    </w:p>
    <w:p w14:paraId="228C5AD5" w14:textId="77777777" w:rsidR="00763CC7" w:rsidRPr="00593D40" w:rsidRDefault="00763CC7" w:rsidP="00763CC7">
      <w:pPr>
        <w:pStyle w:val="ZPKTzmpktartykuempunktem"/>
      </w:pPr>
      <w:r>
        <w:t>2)  belépni a vizsgált területre, beleértve a helyiségeket és a szállítási eszközöket;</w:t>
      </w:r>
    </w:p>
    <w:p w14:paraId="7D8551C0" w14:textId="77777777" w:rsidR="00763CC7" w:rsidRPr="00593D40" w:rsidRDefault="00763CC7" w:rsidP="00763CC7">
      <w:pPr>
        <w:pStyle w:val="ZPKTzmpktartykuempunktem"/>
      </w:pPr>
      <w:r>
        <w:t>3)  dokumentálni a vizsgálat menetét fényképek készítésével;</w:t>
      </w:r>
    </w:p>
    <w:p w14:paraId="7E9E31AD" w14:textId="77777777" w:rsidR="00763CC7" w:rsidRPr="00593D40" w:rsidRDefault="00763CC7" w:rsidP="00763CC7">
      <w:pPr>
        <w:pStyle w:val="ZPKTzmpktartykuempunktem"/>
      </w:pPr>
      <w:r>
        <w:t>4)  tesztelni, megfigyelni és rögzíteni az állat viselkedését;</w:t>
      </w:r>
    </w:p>
    <w:p w14:paraId="15E4AEAA" w14:textId="77777777" w:rsidR="00763CC7" w:rsidRPr="00593D40" w:rsidRDefault="00763CC7" w:rsidP="00593D40">
      <w:pPr>
        <w:pStyle w:val="ZPKTzmpktartykuempunktem"/>
        <w:keepNext/>
        <w:keepLines/>
      </w:pPr>
      <w:r>
        <w:t>5)  tesztelés céljából mintát venni az állatból.</w:t>
      </w:r>
    </w:p>
    <w:p w14:paraId="010D6A22" w14:textId="295DCD28" w:rsidR="00763CC7" w:rsidRPr="00593D40" w:rsidRDefault="00763CC7" w:rsidP="00763CC7">
      <w:pPr>
        <w:pStyle w:val="ZARTzmartartykuempunktem"/>
      </w:pPr>
      <w:r>
        <w:t xml:space="preserve">34c. cikk Az Állatorvosi Felügyelet munkatársai és az Állatorvosi Felügyeletről szóló, 2004. január 29-i törvény (Jogi Közlöny 2018., 1557. tétel és Jogi Közlöny 2020., 285. tétel) 16. cikke (1) bekezdésének 1) pontja és 18. cikke alapján kijelölt személyek, akik jogosultak elvégezni az említett törvény 19. cikkében meghatározott intézkedéseket, jogosultak bírságot kivetni a 11. fejezetben megnevezett kisebb súlyú szabálysértésekért.”; </w:t>
      </w:r>
    </w:p>
    <w:p w14:paraId="7AAD3A91" w14:textId="491C2525" w:rsidR="00763CC7" w:rsidRPr="00593D40" w:rsidRDefault="00730ACA" w:rsidP="006B1C1F">
      <w:pPr>
        <w:pStyle w:val="PKTpunkt"/>
        <w:keepNext/>
      </w:pPr>
      <w:r>
        <w:lastRenderedPageBreak/>
        <w:t>(17)</w:t>
      </w:r>
      <w:r>
        <w:tab/>
        <w:t>a 34c. cikk után a szöveg a következő 10b. fejezettel egészül ki:</w:t>
      </w:r>
    </w:p>
    <w:p w14:paraId="62ACD0EC" w14:textId="5E8740B1" w:rsidR="00763CC7" w:rsidRPr="00593D40" w:rsidRDefault="00F16C3B" w:rsidP="006B1C1F">
      <w:pPr>
        <w:pStyle w:val="ZROZDZODDZOZNzmoznrozdzoddzartykuempunktem"/>
      </w:pPr>
      <w:r>
        <w:t>„10b. fejezet</w:t>
      </w:r>
    </w:p>
    <w:p w14:paraId="1AD7EA0B" w14:textId="4A762D17" w:rsidR="00763CC7" w:rsidRPr="00593D40" w:rsidRDefault="00763CC7" w:rsidP="006B1C1F">
      <w:pPr>
        <w:pStyle w:val="ZROZDZODDZPRZEDMzmprzedmrozdzoddzartykuempunktem"/>
      </w:pPr>
      <w:r>
        <w:t>Állatügyi Tanács</w:t>
      </w:r>
    </w:p>
    <w:p w14:paraId="683A6895" w14:textId="14BAA5B0" w:rsidR="00763CC7" w:rsidRPr="00593D40" w:rsidRDefault="00763CC7" w:rsidP="00133F33">
      <w:pPr>
        <w:pStyle w:val="ZARTzmartartykuempunktem"/>
      </w:pPr>
      <w:r>
        <w:t xml:space="preserve">34d. cikk 1. Az Állatügyi Tanács, a továbbiakban „a Tanács” a közigazgatásért felelős miniszter tanácsadó testülete, amely állatvédelemmel kapcsolatos tanácsokat ad. </w:t>
      </w:r>
    </w:p>
    <w:p w14:paraId="23CB0C00" w14:textId="44AEDEAF" w:rsidR="00763CC7" w:rsidRPr="00593D40" w:rsidRDefault="00763CC7" w:rsidP="00593D40">
      <w:pPr>
        <w:pStyle w:val="ZUSTzmustartykuempunktem"/>
        <w:keepNext/>
        <w:keepLines/>
      </w:pPr>
      <w:r>
        <w:t>2. A Tanács célja az állatvédelem aktuális helyzetének elemzése és felügyelete. A Tanács a feladatának elsősorban az állatjóllétre vonatkozó előző évi jelentések kidolgozásával és közzétételével tesz eleget. A Tanács a jelentését legkésőbb június 30-án teszi közzé.</w:t>
      </w:r>
    </w:p>
    <w:p w14:paraId="3F9816BE" w14:textId="77777777" w:rsidR="00763CC7" w:rsidRPr="00593D40" w:rsidRDefault="00763CC7" w:rsidP="00763CC7">
      <w:pPr>
        <w:pStyle w:val="ZUSTzmustartykuempunktem"/>
      </w:pPr>
      <w:r>
        <w:t>3. A Tanács 9 tagból áll.</w:t>
      </w:r>
    </w:p>
    <w:p w14:paraId="48AD6073" w14:textId="77777777" w:rsidR="00763CC7" w:rsidRPr="00593D40" w:rsidRDefault="00763CC7" w:rsidP="00763CC7">
      <w:pPr>
        <w:pStyle w:val="ZUSTzmustartykuempunktem"/>
      </w:pPr>
      <w:r>
        <w:t>4. A Tanács megbízatása négy évre szól.</w:t>
      </w:r>
    </w:p>
    <w:p w14:paraId="3E59E50F" w14:textId="77777777" w:rsidR="00763CC7" w:rsidRPr="00593D40" w:rsidRDefault="00763CC7" w:rsidP="00763CC7">
      <w:pPr>
        <w:pStyle w:val="ZUSTzmustartykuempunktem"/>
      </w:pPr>
      <w:r>
        <w:t>5. A Tanács tagjait a közigazgatásért felelős miniszter nevezi ki és hívja vissza.</w:t>
      </w:r>
    </w:p>
    <w:p w14:paraId="19B53CA7" w14:textId="77777777" w:rsidR="00763CC7" w:rsidRPr="00593D40" w:rsidRDefault="00763CC7" w:rsidP="00763CC7">
      <w:pPr>
        <w:pStyle w:val="ZUSTzmustartykuempunktem"/>
      </w:pPr>
      <w:r>
        <w:t>6. A közigazgatásért felelős miniszter a Tanács tagjait azon társadalmi szervezetek képviselőiből nevezi ki, amelyek alapokmányban lefektetett célkitűzése az állatok védelme, valamint állatorvosok, állattenyészők közül és tudományos intézmények munkatársaiból. A Tanácsban való tagság önkéntes és fizetség nélküli.</w:t>
      </w:r>
    </w:p>
    <w:p w14:paraId="58E4A217" w14:textId="77777777" w:rsidR="00763CC7" w:rsidRPr="00593D40" w:rsidRDefault="00763CC7" w:rsidP="00763CC7">
      <w:pPr>
        <w:pStyle w:val="ZUSTzmustartykuempunktem"/>
      </w:pPr>
      <w:r>
        <w:t>7. A Tanács feladatait önként elfogadott eljárási szabályok útján látja el. Az eljárási szabályokat a közigazgatásért felelős miniszter hagyja jóvá.</w:t>
      </w:r>
    </w:p>
    <w:p w14:paraId="562B3AE0" w14:textId="77777777" w:rsidR="00763CC7" w:rsidRPr="00593D40" w:rsidRDefault="00763CC7" w:rsidP="00763CC7">
      <w:pPr>
        <w:pStyle w:val="ZUSTzmustartykuempunktem"/>
      </w:pPr>
      <w:r>
        <w:t>8. A Tanács tagjai maguk közül választják meg a Tanács elnökségét, amely az elnökből és két alelnökből áll. A Tanács elnökségének munkáját az Tanács elnöke irányítja.</w:t>
      </w:r>
    </w:p>
    <w:p w14:paraId="537E7A24" w14:textId="231D1D40" w:rsidR="00763CC7" w:rsidRPr="00593D40" w:rsidRDefault="00763CC7" w:rsidP="00763CC7">
      <w:pPr>
        <w:pStyle w:val="ZUSTzmustartykuempunktem"/>
      </w:pPr>
      <w:r>
        <w:t>9. A Tanács elnöksége a Tanács üléseit negyedévenként legalább egyszer hívja össze.</w:t>
      </w:r>
    </w:p>
    <w:p w14:paraId="36209DF5" w14:textId="77777777" w:rsidR="00763CC7" w:rsidRPr="00593D40" w:rsidRDefault="00763CC7" w:rsidP="00763CC7">
      <w:pPr>
        <w:pStyle w:val="ZUSTzmustartykuempunktem"/>
      </w:pPr>
      <w:r>
        <w:t>10. A Tanács elnöksége az állatvédelemre vonatkozó speciális kérdések elemzésére szakértői csoportokat alakíthat.</w:t>
      </w:r>
    </w:p>
    <w:p w14:paraId="1C58828B" w14:textId="77777777" w:rsidR="00763CC7" w:rsidRPr="00593D40" w:rsidRDefault="00763CC7" w:rsidP="00763CC7">
      <w:pPr>
        <w:pStyle w:val="ZUSTzmustartykuempunktem"/>
      </w:pPr>
      <w:r>
        <w:t>11. A Tanácsnak az állatjólétre vonatkozó jelentés kidolgozásával és közzétételével, valamint a közigazgatásért felelős miniszterhez való előterjesztésével kapcsolatos munkáját a Tanács elnöksége hangolja össze.</w:t>
      </w:r>
    </w:p>
    <w:p w14:paraId="0A94CD5D" w14:textId="3E994D74" w:rsidR="00763CC7" w:rsidRPr="00593D40" w:rsidRDefault="00D1609E" w:rsidP="00763CC7">
      <w:pPr>
        <w:pStyle w:val="ZUSTzmustartykuempunktem"/>
      </w:pPr>
      <w:r>
        <w:t xml:space="preserve">12. A közigazgatásért felelős miniszter a Tanács munkájához az állami költségvetésnek rendelkezésére álló részéből különít el forrásokat. </w:t>
      </w:r>
    </w:p>
    <w:p w14:paraId="09972B7A" w14:textId="24D67B8E" w:rsidR="00763CC7" w:rsidRPr="00D50988" w:rsidRDefault="00763CC7" w:rsidP="00763CC7">
      <w:pPr>
        <w:pStyle w:val="ZUSTzmustartykuempunktem"/>
      </w:pPr>
      <w:r>
        <w:t>13.</w:t>
      </w:r>
      <w:r w:rsidR="00025101">
        <w:t xml:space="preserve"> </w:t>
      </w:r>
      <w:r>
        <w:t>A Tanács munkájának adminisztratív, szervezeti és technikai lebonyolítását a közigazgatásért felelős miniszter megbízásából szolgáltatásokat nyújtó állami szervezet biztosítja.”;</w:t>
      </w:r>
    </w:p>
    <w:p w14:paraId="52970649" w14:textId="588DDD87" w:rsidR="006F749F" w:rsidRPr="00593D40" w:rsidRDefault="00730ACA" w:rsidP="006F749F">
      <w:pPr>
        <w:pStyle w:val="PKTpunkt"/>
        <w:keepNext/>
      </w:pPr>
      <w:r>
        <w:lastRenderedPageBreak/>
        <w:t>(18)</w:t>
      </w:r>
      <w:r>
        <w:tab/>
        <w:t>a 34d. cikk után a szöveg a következő 10c. fejezettel egészül ki:</w:t>
      </w:r>
    </w:p>
    <w:p w14:paraId="06D90B65" w14:textId="77777777" w:rsidR="006F749F" w:rsidRPr="00593D40" w:rsidRDefault="006F749F" w:rsidP="006F749F">
      <w:pPr>
        <w:pStyle w:val="ZROZDZODDZOZNzmoznrozdzoddzartykuempunktem"/>
      </w:pPr>
      <w:r>
        <w:t>„10c. fejezet</w:t>
      </w:r>
    </w:p>
    <w:p w14:paraId="4F96D23F" w14:textId="601A6C59" w:rsidR="006F749F" w:rsidRPr="00593D40" w:rsidRDefault="006F749F" w:rsidP="001F3151">
      <w:pPr>
        <w:pStyle w:val="ZROZDZODDZPRZEDMzmprzedmrozdzoddzartykuempunktem"/>
      </w:pPr>
      <w:r>
        <w:t>Nem kormányzati szervezetek listája</w:t>
      </w:r>
    </w:p>
    <w:p w14:paraId="70BB8E09" w14:textId="2036638D" w:rsidR="006F749F" w:rsidRPr="00593D40" w:rsidRDefault="006F749F" w:rsidP="001F3151">
      <w:pPr>
        <w:pStyle w:val="ZARTzmartartykuempunktem"/>
        <w:keepNext/>
      </w:pPr>
      <w:r>
        <w:t>34e. cikk 1. A közigazgatásért felelős miniszter nyilvántartást vezet azokról a nem kormányzati szervezetekről, amelyek jogosultak:</w:t>
      </w:r>
    </w:p>
    <w:p w14:paraId="6195D331" w14:textId="15991A6A" w:rsidR="006F749F" w:rsidRPr="00593D40" w:rsidRDefault="006F749F" w:rsidP="001F3151">
      <w:pPr>
        <w:pStyle w:val="ZPKTzmpktartykuempunktem"/>
      </w:pPr>
      <w:r>
        <w:t>1)  közigazgatási eljárások indítását kezdeményezni vagy a 34e. cikkben hivatkozott folyamatban lévő közigazgatási eljárásokban való részvételt kérelmezni;</w:t>
      </w:r>
    </w:p>
    <w:p w14:paraId="2D9722E2" w14:textId="3C94DCC5" w:rsidR="006F749F" w:rsidRPr="00593D40" w:rsidRDefault="006F749F" w:rsidP="001F3151">
      <w:pPr>
        <w:pStyle w:val="ZPKTzmpktartykuempunktem"/>
      </w:pPr>
      <w:r>
        <w:t>2)  az 1964. november 17-i törvény – Polgári eljárási kódex – 634a. cikkében hivatkozott eljárásokat kezdeményezni (Jogi Közlöny 2020., 1575., 1578. és ... tétel) állatok védelme érdekében;</w:t>
      </w:r>
    </w:p>
    <w:p w14:paraId="03D9A172" w14:textId="5B75A2A8" w:rsidR="00C14716" w:rsidRPr="00593D40" w:rsidRDefault="00C14716" w:rsidP="001F3151">
      <w:pPr>
        <w:pStyle w:val="ZPKTzmpktartykuempunktem"/>
      </w:pPr>
      <w:r>
        <w:t>3)  az áldozat jogait gyakorolni az 1997. június 6-i törvény – Büntetőeljárási törvénykönyv 49. cikke (5) bekezdésében hivatkozott esetekben (Jogi Közlöny 2020., 30., 413., 568., 1086., 1458. és ... tételek).</w:t>
      </w:r>
    </w:p>
    <w:p w14:paraId="330615CA" w14:textId="70C00968" w:rsidR="00C14716" w:rsidRPr="00593D40" w:rsidRDefault="00C14716" w:rsidP="001F3151">
      <w:pPr>
        <w:pStyle w:val="ZUSTzmustartykuempunktem"/>
        <w:keepNext/>
      </w:pPr>
      <w:r>
        <w:t>2. Az (1) bekezdésben hivatkozott listára való felvételhez a nem kormányzati szervezetnek a következő feltételeket kell teljesítenie:</w:t>
      </w:r>
    </w:p>
    <w:p w14:paraId="1235CA0E" w14:textId="130397E0" w:rsidR="00BE39CA" w:rsidRPr="00593D40" w:rsidRDefault="00BE39CA" w:rsidP="001F3151">
      <w:pPr>
        <w:pStyle w:val="ZPKTzmpktartykuempunktem"/>
      </w:pPr>
      <w:r>
        <w:t>1)  legalább kétévi tapasztalattal kell rendelkeznie az állatvédelemmel összefüggő feladatok ellátásában;</w:t>
      </w:r>
    </w:p>
    <w:p w14:paraId="0BE62AF2" w14:textId="1B1D2203" w:rsidR="00A126EE" w:rsidRPr="00593D40" w:rsidRDefault="00A126EE" w:rsidP="001F3151">
      <w:pPr>
        <w:pStyle w:val="ZPKTzmpktartykuempunktem"/>
      </w:pPr>
      <w:r>
        <w:t>2)  a közhasznú tevékenységről és önkéntes szolgálatról szóló, 2003. április 24-i törvény 20. cikke értelmében közhasznú szervezetként elismertnek kell lennie;</w:t>
      </w:r>
    </w:p>
    <w:p w14:paraId="48A76E49" w14:textId="3AAD1567" w:rsidR="00A126EE" w:rsidRPr="00593D40" w:rsidRDefault="00A126EE" w:rsidP="001F3151">
      <w:pPr>
        <w:pStyle w:val="ZPKTzmpktartykuempunktem"/>
      </w:pPr>
      <w:r>
        <w:t>3) együttműködési szerződéssel kell rendelkeznie egy ügyvéddel vagy jogtanácsossal az állati jogok védelmének területén;</w:t>
      </w:r>
    </w:p>
    <w:p w14:paraId="167C4148" w14:textId="317BCB42" w:rsidR="00A126EE" w:rsidRPr="00593D40" w:rsidRDefault="00A126EE" w:rsidP="00593D40">
      <w:pPr>
        <w:pStyle w:val="ZPKTzmpktartykuempunktem"/>
        <w:keepNext/>
        <w:keepLines/>
      </w:pPr>
      <w:r>
        <w:t>4)  a jogkörét megfelelően kell gyakorolnia az állatok védelmének biztosítása érdekében.</w:t>
      </w:r>
    </w:p>
    <w:p w14:paraId="68928EDE" w14:textId="721B449A" w:rsidR="00A126EE" w:rsidRPr="00593D40" w:rsidRDefault="00A126EE" w:rsidP="001F3151">
      <w:pPr>
        <w:pStyle w:val="ZUSTzmustartykuempunktem"/>
      </w:pPr>
      <w:r>
        <w:t>3.</w:t>
      </w:r>
      <w:r>
        <w:tab/>
        <w:t>A közigazgatásért felelős miniszter a szervezet kérésére határozatot hoz a nem kormányzati szervezetnek az (1) bekezdésben megnevezett listára való felvételéről.</w:t>
      </w:r>
    </w:p>
    <w:p w14:paraId="1B23CD9F" w14:textId="606153EF" w:rsidR="00A126EE" w:rsidRPr="00593D40" w:rsidRDefault="00A126EE" w:rsidP="001F3151">
      <w:pPr>
        <w:pStyle w:val="ZUSTzmustartykuempunktem"/>
      </w:pPr>
      <w:r>
        <w:t>4.</w:t>
      </w:r>
      <w:r>
        <w:tab/>
        <w:t>A (2) bekezdésben meghatározott követelményeket nem teljesítő nem kormányzati szervezetnek az (1) bekezdésben említett listára való felvételének elutasítását határozat útján kell bejelenteni.</w:t>
      </w:r>
    </w:p>
    <w:p w14:paraId="10DDF136" w14:textId="6441CB2E" w:rsidR="00ED6ACA" w:rsidRPr="00593D40" w:rsidRDefault="00ED6ACA" w:rsidP="001F3151">
      <w:pPr>
        <w:pStyle w:val="ZUSTzmustartykuempunktem"/>
      </w:pPr>
      <w:r>
        <w:t>5.</w:t>
      </w:r>
      <w:r>
        <w:tab/>
        <w:t>A nem kormányzati szervezetnek a jelentkezési űrlaphoz dokumentumokat kell mellékelnie, amelyek igazolják a (2) bekezdésben szereplő követelmények teljesülését.</w:t>
      </w:r>
    </w:p>
    <w:p w14:paraId="4B1C9E12" w14:textId="262AD1B7" w:rsidR="00E437AB" w:rsidRPr="00593D40" w:rsidRDefault="00E437AB" w:rsidP="001F3151">
      <w:pPr>
        <w:pStyle w:val="ZUSTzmustartykuempunktem"/>
        <w:keepNext/>
      </w:pPr>
      <w:r>
        <w:lastRenderedPageBreak/>
        <w:t>6.</w:t>
      </w:r>
      <w:r>
        <w:tab/>
        <w:t>A közigazgatásért felelős miniszter határozatot hoz a nem kormányzati szervezetnek az (1) bekezdésben megnevezett listáról való eltávolításáról, ha a szervezet:</w:t>
      </w:r>
    </w:p>
    <w:p w14:paraId="53BC2994" w14:textId="3CE8EBCF" w:rsidR="00FE6499" w:rsidRPr="00593D40" w:rsidRDefault="00FE6499" w:rsidP="001F3151">
      <w:pPr>
        <w:pStyle w:val="ZPKTzmpktartykuempunktem"/>
      </w:pPr>
      <w:r>
        <w:t>1)  alapító okirata vagy a tevékenységi körét meghatározó másik belső szabály megváltoztatásának következtében megszüntette az állatok védelmével kapcsolatos tevékenységét;</w:t>
      </w:r>
    </w:p>
    <w:p w14:paraId="4EAB4767" w14:textId="2807B53C" w:rsidR="00124452" w:rsidRPr="00593D40" w:rsidRDefault="00124452" w:rsidP="001F3151">
      <w:pPr>
        <w:pStyle w:val="ZPKTzmpktartykuempunktem"/>
      </w:pPr>
      <w:r>
        <w:t>2)  már nem tesz eleget a (2) bekezdésben hivatkozott követelményeknek.</w:t>
      </w:r>
    </w:p>
    <w:p w14:paraId="4AC07AF7" w14:textId="7E476CA9" w:rsidR="00124452" w:rsidRPr="00593D40" w:rsidRDefault="00124452" w:rsidP="001F3151">
      <w:pPr>
        <w:pStyle w:val="ZUSTzmustartykuempunktem"/>
      </w:pPr>
      <w:r>
        <w:t>7.</w:t>
      </w:r>
      <w:r>
        <w:tab/>
        <w:t>A nem kormányzati szervezetnek az (1) bekezdésben megnevezett listáról való eltávolítása attól a naptól érvényes, amelyben a (6) bekezdésben hivatkozott határozat véglegessé válik.</w:t>
      </w:r>
    </w:p>
    <w:p w14:paraId="15208CAD" w14:textId="0356DCEB" w:rsidR="00922452" w:rsidRPr="00593D40" w:rsidRDefault="00922452" w:rsidP="001F3151">
      <w:pPr>
        <w:pStyle w:val="ZUSTzmustartykuempunktem"/>
      </w:pPr>
      <w:r>
        <w:t>8.</w:t>
      </w:r>
      <w:r>
        <w:tab/>
        <w:t xml:space="preserve">A közigazgatásért felelős miniszter az (1) bekezdésben említett listát a közérdekű információkat tartalmazó hírlevélben teszi közzé. A listáról eltávolított nem kormányzati szervezetekre vonatkozó információkat, az eltávolítás dátumát és okait a listával együtt ismertetik.”; </w:t>
      </w:r>
    </w:p>
    <w:p w14:paraId="076B8DC3" w14:textId="421F497A" w:rsidR="00763CC7" w:rsidRPr="00593D40" w:rsidRDefault="00730ACA" w:rsidP="00F116C8">
      <w:pPr>
        <w:pStyle w:val="PKTpunkt"/>
        <w:keepNext/>
      </w:pPr>
      <w:r>
        <w:t>(19)</w:t>
      </w:r>
      <w:r>
        <w:tab/>
        <w:t>a 34e. cikk után a szöveg a következő 10d. fejezettel egészül ki:</w:t>
      </w:r>
    </w:p>
    <w:p w14:paraId="442A2C49" w14:textId="45B2F8B4" w:rsidR="00763CC7" w:rsidRPr="00593D40" w:rsidRDefault="00F16C3B" w:rsidP="00763CC7">
      <w:pPr>
        <w:pStyle w:val="ZROZDZODDZOZNzmoznrozdzoddzartykuempunktem"/>
      </w:pPr>
      <w:r>
        <w:t>„10d. fejezet</w:t>
      </w:r>
    </w:p>
    <w:p w14:paraId="20F1BA13" w14:textId="77777777" w:rsidR="00763CC7" w:rsidRPr="00593D40" w:rsidRDefault="00763CC7" w:rsidP="00F116C8">
      <w:pPr>
        <w:pStyle w:val="ZROZDZODDZPRZEDMzmprzedmrozdzoddzartykuempunktem"/>
      </w:pPr>
      <w:r>
        <w:t>Eljárási szabályok</w:t>
      </w:r>
    </w:p>
    <w:p w14:paraId="747C1E4D" w14:textId="6FEE53EB" w:rsidR="00763CC7" w:rsidRPr="00593D40" w:rsidRDefault="00763CC7" w:rsidP="00763CC7">
      <w:pPr>
        <w:pStyle w:val="ZARTzmartartykuempunktem"/>
      </w:pPr>
      <w:r>
        <w:t>34f. cikk 1. A 34e. cikk (1) bekezdésében hivatkozott listán szereplő nem kormányzati szervezetek vagy az állami főállatorvos állatvédelemmel összefüggő ügyekben kérhetik igazgatási eljárás indítását vagy folyamatban lévő igazgatási eljáráshoz való csatlakozásukat.</w:t>
      </w:r>
    </w:p>
    <w:p w14:paraId="58A3610A" w14:textId="77777777" w:rsidR="00763CC7" w:rsidRPr="00593D40" w:rsidRDefault="00763CC7" w:rsidP="00133F33">
      <w:pPr>
        <w:pStyle w:val="ZUSTzmustartykuempunktem"/>
      </w:pPr>
      <w:r>
        <w:t>2. Az (1) bekezdésben említett szervek az eljárásokban részes félként vesznek részt.</w:t>
      </w:r>
    </w:p>
    <w:p w14:paraId="0ECE9A39" w14:textId="5C5A7C98" w:rsidR="00763CC7" w:rsidRPr="00593D40" w:rsidRDefault="00763CC7" w:rsidP="00F116C8">
      <w:pPr>
        <w:pStyle w:val="ZARTzmartartykuempunktem"/>
        <w:keepNext/>
      </w:pPr>
      <w:r>
        <w:t xml:space="preserve">34g. cikk 1. Közigazgatási eljárás során állatvédelmi ügyekben hozott döntés ellen közigazgatási bíróságnál panasszal élhetnek: </w:t>
      </w:r>
    </w:p>
    <w:p w14:paraId="26FF2B2A" w14:textId="77777777" w:rsidR="00763CC7" w:rsidRPr="00593D40" w:rsidRDefault="00763CC7" w:rsidP="00133F33">
      <w:pPr>
        <w:pStyle w:val="ZPKTzmpktartykuempunktem"/>
      </w:pPr>
      <w:r>
        <w:t>1)</w:t>
      </w:r>
      <w:r>
        <w:tab/>
        <w:t>az állami főállatorvos;</w:t>
      </w:r>
    </w:p>
    <w:p w14:paraId="2627B56A" w14:textId="68E131E3" w:rsidR="00763CC7" w:rsidRPr="00593D40" w:rsidRDefault="00763CC7" w:rsidP="00133F33">
      <w:pPr>
        <w:pStyle w:val="ZPKTzmpktartykuempunktem"/>
      </w:pPr>
      <w:r>
        <w:t>2)</w:t>
      </w:r>
      <w:r>
        <w:tab/>
        <w:t>a 34e. cikk (1) bekezdésében hivatkozott listán szereplő nem kormányzati szervezetek.</w:t>
      </w:r>
    </w:p>
    <w:p w14:paraId="5C675E1A" w14:textId="77777777" w:rsidR="00763CC7" w:rsidRPr="00593D40" w:rsidRDefault="00763CC7" w:rsidP="00F116C8">
      <w:pPr>
        <w:pStyle w:val="ZUSTzmustartykuempunktem"/>
      </w:pPr>
      <w:r>
        <w:t>2. Panaszt tehetnek az (1) bekezdésben megnevezett szervek is, ha nem vettek részt az említett eljárásokban. Fellebbezési eljárásokban az (1) bekezdésben hivatkozott szervek részes félként vesznek részt.</w:t>
      </w:r>
    </w:p>
    <w:p w14:paraId="0491E6F0" w14:textId="2C8D83AA" w:rsidR="00763CC7" w:rsidRPr="00593D40" w:rsidRDefault="00763CC7" w:rsidP="00F116C8">
      <w:pPr>
        <w:pStyle w:val="ZUSTzmustartykuempunktem"/>
      </w:pPr>
      <w:r>
        <w:t>3. Ha az (1) bekezdésben megnevezett szervek nem vehetnek részt az eljárásban, akkor jogosultak panaszt tenni.”;</w:t>
      </w:r>
    </w:p>
    <w:p w14:paraId="49112C82" w14:textId="786B98F2" w:rsidR="004257D8" w:rsidRPr="00593D40" w:rsidRDefault="00730ACA" w:rsidP="004257D8">
      <w:pPr>
        <w:pStyle w:val="PKTpunkt"/>
        <w:keepNext/>
      </w:pPr>
      <w:r>
        <w:lastRenderedPageBreak/>
        <w:t>(20)</w:t>
      </w:r>
      <w:r>
        <w:tab/>
        <w:t>a 35. cikk (1a) bekezdése helyébe a következő szöveg lép:</w:t>
      </w:r>
    </w:p>
    <w:p w14:paraId="4D6C1A08" w14:textId="12836D15" w:rsidR="004257D8" w:rsidRPr="00593D40" w:rsidRDefault="004257D8" w:rsidP="004257D8">
      <w:pPr>
        <w:pStyle w:val="ZUSTzmustartykuempunktem"/>
      </w:pPr>
      <w:r>
        <w:t>„(1a) Ugyanez a büntetés érvényes mindenkire, aki állatkínzást követ el vagy megsérti a 12. cikk (2) és (4c) bekezdését, vagy a 17. cikk (1)–(7) bekezdéseit.”;</w:t>
      </w:r>
    </w:p>
    <w:p w14:paraId="6C553058" w14:textId="0E1D0D54" w:rsidR="00763CC7" w:rsidRPr="00593D40" w:rsidRDefault="00730ACA" w:rsidP="00F116C8">
      <w:pPr>
        <w:pStyle w:val="PKTpunkt"/>
        <w:keepNext/>
      </w:pPr>
      <w:r>
        <w:t>(21)</w:t>
      </w:r>
      <w:r>
        <w:tab/>
        <w:t>a 37. cikk (1) bekezdése helyébe a következő szöveg lép:</w:t>
      </w:r>
    </w:p>
    <w:p w14:paraId="1B2C91CA" w14:textId="38511AB9" w:rsidR="00763CC7" w:rsidRPr="00593D40" w:rsidRDefault="00F16C3B" w:rsidP="00D50988">
      <w:pPr>
        <w:pStyle w:val="ZUSTzmustartykuempunktem"/>
        <w:keepNext/>
      </w:pPr>
      <w:r>
        <w:t>„(1) Azt, aki megsérti a 9. cikk (2)–(5) bekezdésekben, a 10a. cikk (1)–(3) bekezdésben, a 11. cikk (3) bekezdésekben, a 12. cikk (1), (4), (4a) és (5)–(6a) bekezdésekben, a 13. cikk (1) bekezdésben, a 14. cikkben, a 15. cikk (1)–(5) bekezdéseiben, a 16. cikkben, a 18. cikkben, a 22. cikk (1) bekezdésében, a 22a. cikkben, a 25. cikkben vagy a 27. cikkben megnevezett kötelezettségeket vagy tilalmakat, szabadságvesztéssel vagy pénzbírsággal kell büntetni.”;</w:t>
      </w:r>
    </w:p>
    <w:p w14:paraId="17E1A291" w14:textId="0874061D" w:rsidR="00763CC7" w:rsidRPr="00593D40" w:rsidRDefault="00730ACA" w:rsidP="00F116C8">
      <w:pPr>
        <w:pStyle w:val="PKTpunkt"/>
        <w:keepNext/>
      </w:pPr>
      <w:r>
        <w:t>(22)</w:t>
      </w:r>
      <w:r>
        <w:tab/>
        <w:t>a szöveg a 40. cikk után az alábbi 40a. cikkel egészül ki:</w:t>
      </w:r>
    </w:p>
    <w:p w14:paraId="46264049" w14:textId="15E04252" w:rsidR="00763CC7" w:rsidRPr="00593D40" w:rsidRDefault="00F16C3B" w:rsidP="00763CC7">
      <w:pPr>
        <w:pStyle w:val="ZARTzmartartykuempunktem"/>
      </w:pPr>
      <w:r>
        <w:t>„40a. cikk Aki tevékenysége vagy mulasztása révén megakadályozza azon társadalmi szervezetek képviselőit, amelyek alapító okiratban foglalt célja, hogy az állatokat megvédjék a 34a. cikk (3a) bekezdésében foglalt tevékenységek végrehajtásától, pénzbírsággal sújtandó.”.</w:t>
      </w:r>
    </w:p>
    <w:p w14:paraId="447CFF6B" w14:textId="63356832" w:rsidR="00763CC7" w:rsidRPr="00593D40" w:rsidRDefault="00763CC7" w:rsidP="00F116C8">
      <w:pPr>
        <w:pStyle w:val="ARTartustawynprozporzdzenia"/>
        <w:keepNext/>
      </w:pPr>
      <w:r>
        <w:rPr>
          <w:rStyle w:val="Ppogrubienie"/>
        </w:rPr>
        <w:t>2. cikk</w:t>
      </w:r>
      <w:r>
        <w:t xml:space="preserve"> Az 1964. november 17-i törvény – Polgári eljárási kódex (Jogi Közlöny 2020., 1575. és 1578. tétel) Első könyv első részben a IIIb. cím után a következő IIIba. cím kerül:</w:t>
      </w:r>
    </w:p>
    <w:p w14:paraId="0A5F8FFB" w14:textId="47EFE25D" w:rsidR="00763CC7" w:rsidRPr="00593D40" w:rsidRDefault="00F16C3B" w:rsidP="00763CC7">
      <w:pPr>
        <w:pStyle w:val="ZTYTDZOZNzmozntytuudziauartykuempunktem"/>
        <w:rPr>
          <w:caps w:val="0"/>
        </w:rPr>
      </w:pPr>
      <w:r>
        <w:rPr>
          <w:caps w:val="0"/>
        </w:rPr>
        <w:t>„IIIba. cím</w:t>
      </w:r>
    </w:p>
    <w:p w14:paraId="0F233713" w14:textId="77777777" w:rsidR="00763CC7" w:rsidRPr="00593D40" w:rsidRDefault="00763CC7" w:rsidP="00F116C8">
      <w:pPr>
        <w:pStyle w:val="ZTYTDZPRZEDMzmprzedmtytuulubdziauartykuempunktem"/>
      </w:pPr>
      <w:r>
        <w:t>Állatvédelem</w:t>
      </w:r>
    </w:p>
    <w:p w14:paraId="550491CB" w14:textId="5098215D" w:rsidR="00763CC7" w:rsidRPr="00593D40" w:rsidRDefault="00763CC7" w:rsidP="00763CC7">
      <w:pPr>
        <w:pStyle w:val="ZARTzmartartykuempunktem"/>
      </w:pPr>
      <w:r>
        <w:t>63. cikk</w:t>
      </w:r>
      <w:r>
        <w:rPr>
          <w:rStyle w:val="IGindeksgrny"/>
        </w:rPr>
        <w:t>4a</w:t>
      </w:r>
      <w:r>
        <w:t>. Az állatvédelemről szóló, 1997. augusztus 21-i törvény (Jogi Közlöny 2020., 638. és ... tétel) 34e. cikke (1) bekezdésében hivatkozott listán szereplő nem kormányzati szervezetek vagy az állami főállatorvos eljárást indíthat az állatok védelme érdekében.”.</w:t>
      </w:r>
    </w:p>
    <w:p w14:paraId="2B59F3EF" w14:textId="1D95252A" w:rsidR="00763CC7" w:rsidRPr="00593D40" w:rsidRDefault="00763CC7" w:rsidP="00F116C8">
      <w:pPr>
        <w:pStyle w:val="ARTartustawynprozporzdzenia"/>
        <w:keepNext/>
        <w:ind w:firstLine="567"/>
      </w:pPr>
      <w:r>
        <w:rPr>
          <w:rStyle w:val="Ppogrubienie"/>
        </w:rPr>
        <w:t>3. cikk</w:t>
      </w:r>
      <w:r>
        <w:t xml:space="preserve"> A tisztaság és rend önkormányzatokban történő fenntartásáról szóló, 1996. szeptember 13-i törvény (Jogi Közlöny 2020., 1439. tétel) 7. cikkében:</w:t>
      </w:r>
    </w:p>
    <w:p w14:paraId="34EFF3D6" w14:textId="77777777" w:rsidR="00763CC7" w:rsidRPr="00593D40" w:rsidRDefault="00763CC7" w:rsidP="00F116C8">
      <w:pPr>
        <w:pStyle w:val="PKTpunkt"/>
        <w:keepNext/>
      </w:pPr>
      <w:r>
        <w:t>(1)</w:t>
      </w:r>
      <w:r>
        <w:tab/>
        <w:t>az (5) bekezdés helyébe a következő szöveg lép:</w:t>
      </w:r>
    </w:p>
    <w:p w14:paraId="746A34AD" w14:textId="51B1DC6F" w:rsidR="00763CC7" w:rsidRPr="00593D40" w:rsidRDefault="00F16C3B" w:rsidP="00133F33">
      <w:pPr>
        <w:pStyle w:val="ZUSTzmustartykuempunktem"/>
      </w:pPr>
      <w:r>
        <w:t>„(5) A saját településükön az (1) bekezdés 2) és 3) pontjában megnevezett tevékenységeket folytató települési szervezeti egységeknek a Törvényben előírt szabályoknak megfelelően nem szükséges beszerezniük az (1) bekezdésben hivatkozott engedélyeket, de teljesíteniük kell az ilyen engedélyek kibocsátásához szükséges feltételeket.”;</w:t>
      </w:r>
    </w:p>
    <w:p w14:paraId="2973CC2E" w14:textId="77777777" w:rsidR="00763CC7" w:rsidRPr="00593D40" w:rsidRDefault="00763CC7" w:rsidP="00F116C8">
      <w:pPr>
        <w:pStyle w:val="PKTpunkt"/>
        <w:keepNext/>
        <w:rPr>
          <w:rFonts w:cs="Times"/>
        </w:rPr>
      </w:pPr>
      <w:r>
        <w:lastRenderedPageBreak/>
        <w:t>(2)  Az (5) bekezdés után a szöveg a következő (5a) bekezdéssel egészül ki:</w:t>
      </w:r>
    </w:p>
    <w:p w14:paraId="5A6CD9F3" w14:textId="717AF1A0" w:rsidR="00763CC7" w:rsidRPr="00593D40" w:rsidRDefault="00F16C3B" w:rsidP="00133F33">
      <w:pPr>
        <w:pStyle w:val="ZUSTzmustartykuempunktem"/>
      </w:pPr>
      <w:r>
        <w:t>„(5a) Az állatvédelemről szóló, 1997. augusztus 21-i törvény (Jogi Közlöny 2020., 638. és ... tétel) 11. cikke (1a) bekezdésében megnevezett tevékenységet folytató települési szervezeti egységeknek nem szükséges megszerezniük az (1) bekezdés 4) pontjában említett engedélyt, de meg kell felelniük az ilyen engedélyek kibocsátásához szükséges feltételeknek, valamint az állatvédelemről szóló, 1997. augusztus 21-i törvény 11. cikkének (5) és (7) bekezdésében említett feltételeknek.”.</w:t>
      </w:r>
    </w:p>
    <w:p w14:paraId="1CF225EE" w14:textId="643B8696" w:rsidR="00763CC7" w:rsidRPr="00593D40" w:rsidRDefault="00763CC7" w:rsidP="00F116C8">
      <w:pPr>
        <w:pStyle w:val="ARTartustawynprozporzdzenia"/>
        <w:keepNext/>
      </w:pPr>
      <w:r>
        <w:rPr>
          <w:rStyle w:val="Ppogrubienie"/>
        </w:rPr>
        <w:t>4. cikk</w:t>
      </w:r>
      <w:r>
        <w:t xml:space="preserve"> Az 1997. június 6-i törvény – Büntetőeljárási törvénykönyv (Jogi Közlöny 2020., 30., 413., 568., 1086. és 1458. tételek) – 49. cikke a következő 5. §-sal egészül ki:</w:t>
      </w:r>
    </w:p>
    <w:p w14:paraId="10A5EF75" w14:textId="4D2E5553" w:rsidR="00763CC7" w:rsidRPr="00593D40" w:rsidRDefault="00F16C3B" w:rsidP="00763CC7">
      <w:pPr>
        <w:pStyle w:val="ZUSTzmustartykuempunktem"/>
      </w:pPr>
      <w:r>
        <w:t>„5. § Állatokkal szembeni vétségek esetén és a büntető törvénykönyv XXII. fejezetében említett bűncselekmények esetén az állatvédelemről szóló, 1997. augusztus 21-i törvény (Jogi Közlöny 2020, 638. és ... tétel) 34e. cikke (1) bekezdésében megnevezett nem kormányzati szervezetek vagy az állami főállatorvos gyakorolhatják az áldozat jogait, ha tevékenységük keretében bűncselekményt tártak fel, vagy közigazgatási eljárást indítványoztak.”.</w:t>
      </w:r>
    </w:p>
    <w:p w14:paraId="48E026BB" w14:textId="2CBB53FD" w:rsidR="00763CC7" w:rsidRPr="00593D40" w:rsidRDefault="00763CC7" w:rsidP="00F116C8">
      <w:pPr>
        <w:pStyle w:val="ARTartustawynprozporzdzenia"/>
        <w:keepNext/>
      </w:pPr>
      <w:r>
        <w:rPr>
          <w:rStyle w:val="Ppogrubienie"/>
        </w:rPr>
        <w:t>5. cikk</w:t>
      </w:r>
      <w:r>
        <w:t xml:space="preserve"> Az 1997. június 6-i törvény – Kisebb súlyú szabálysértések eljárási kódexe (Jogi Közlöny 2020., 729., 956. és 1423. tételek) – 96. cikke az 1c. § után a következő 1d. §-sal egészül ki:</w:t>
      </w:r>
    </w:p>
    <w:p w14:paraId="5A3ABBDC" w14:textId="16E34F5F" w:rsidR="00763CC7" w:rsidRPr="00593D40" w:rsidRDefault="00F16C3B" w:rsidP="00763CC7">
      <w:pPr>
        <w:pStyle w:val="ZUSTzmustartykuempunktem"/>
      </w:pPr>
      <w:r>
        <w:t>„1d. § Az állatvédelemről szóló, 1997. augusztus 21-i törvény (Jogi Közlöny 2020., 638. és ... tétel) 37–37b., 37d. és 37e. cikkeiben meghatározott cselekményekkel kapcsolatos esetekben az Állatorvosi Felügyelet büntető eljárás keretében 5 000 PLN-ig terjedő pénzbírságot szabhat ki.”.</w:t>
      </w:r>
    </w:p>
    <w:p w14:paraId="394DABB8" w14:textId="771814D2" w:rsidR="006049C8" w:rsidRPr="00593D40" w:rsidRDefault="00730ACA" w:rsidP="009A3308">
      <w:pPr>
        <w:pStyle w:val="ARTartustawynprozporzdzenia"/>
      </w:pPr>
      <w:r>
        <w:rPr>
          <w:rStyle w:val="Ppogrubienie"/>
        </w:rPr>
        <w:t xml:space="preserve">6. cikk </w:t>
      </w:r>
      <w:r>
        <w:t>Az állatok egészségének megvédéséről és a fertőző állatbetegségek leküzdéséről szóló, 2004. március 11-i törvény (Jogi Közlöny 2020., 1421. tétel) a következőképpen módosul:</w:t>
      </w:r>
    </w:p>
    <w:p w14:paraId="5DA4E7BA" w14:textId="78C58340" w:rsidR="009A3308" w:rsidRPr="00593D40" w:rsidRDefault="006049C8" w:rsidP="00593D40">
      <w:pPr>
        <w:pStyle w:val="PKTpunkt"/>
        <w:keepNext/>
        <w:keepLines/>
      </w:pPr>
      <w:r>
        <w:t>(1)</w:t>
      </w:r>
      <w:r>
        <w:tab/>
        <w:t>az 5. cikk (1) bekezdésének 1) pontja helyébe az alábbi szöveg lép:</w:t>
      </w:r>
    </w:p>
    <w:p w14:paraId="0CCA6314" w14:textId="70624530" w:rsidR="00DE4CC8" w:rsidRPr="00593D40" w:rsidRDefault="009A3308" w:rsidP="009A3308">
      <w:pPr>
        <w:pStyle w:val="ZPKTzmpktartykuempunktem"/>
      </w:pPr>
      <w:r>
        <w:t xml:space="preserve">„1) </w:t>
      </w:r>
      <w:r>
        <w:tab/>
        <w:t>az 1.cikk (1) bekezdésének a), c-f), h), i), j), l) pontjaiban megengedett, feltéve, hogy a tevékenység elvégzésének tervezett helyén illetékes települési főállatorvos határozatban igazolja, hogy az ilyen típusú tevékenység elvégzésére vonatkozó állat-egészségügyi kötelezettségek teljesültek.”;</w:t>
      </w:r>
    </w:p>
    <w:p w14:paraId="25C3F249" w14:textId="6C0902DE" w:rsidR="006049C8" w:rsidRPr="00593D40" w:rsidRDefault="006049C8" w:rsidP="00593D40">
      <w:pPr>
        <w:pStyle w:val="PKTpunkt"/>
        <w:keepNext/>
        <w:keepLines/>
      </w:pPr>
      <w:r>
        <w:t>(2)</w:t>
      </w:r>
      <w:r>
        <w:tab/>
        <w:t>a 10. cikk az (1) bekezdés után a következő (1a) bekezdéssel egészül ki:</w:t>
      </w:r>
    </w:p>
    <w:p w14:paraId="7E8F02D4" w14:textId="6932908A" w:rsidR="006049C8" w:rsidRPr="00593D40" w:rsidRDefault="006049C8" w:rsidP="006049C8">
      <w:pPr>
        <w:pStyle w:val="ZUSTzmustartykuempunktem"/>
      </w:pPr>
      <w:r>
        <w:t xml:space="preserve">„(1a) A mezőgazdaságért felelős miniszter rendeletben határozza meg bizonyos állatfajok menhelyen való tartásának minimumfeltételeit, figyelembe véve a szükséges felszereléseket és a felhasznált anyagfajtákat, valamint az állatok </w:t>
      </w:r>
      <w:r>
        <w:lastRenderedPageBreak/>
        <w:t>menhelyen való tartásának fizikai jellemzőit, tekintettel a megfelelő környezetvédelmi feltételeik és gondozásuk biztosítására és ennek az állatok egészségére és jólétére gyakorolt hatására.”.</w:t>
      </w:r>
    </w:p>
    <w:p w14:paraId="6F02837A" w14:textId="4D980429" w:rsidR="00A3373D" w:rsidRPr="00593D40" w:rsidRDefault="00730ACA" w:rsidP="004233C3">
      <w:pPr>
        <w:pStyle w:val="ARTartustawynprozporzdzenia"/>
        <w:keepNext/>
      </w:pPr>
      <w:r>
        <w:rPr>
          <w:rStyle w:val="Ppogrubienie"/>
        </w:rPr>
        <w:t xml:space="preserve">7. cikk </w:t>
      </w:r>
      <w:r>
        <w:t>A természetvédelemről szóló, 2004. április 16-i törvény (Jogi Közlöny, 2020., 55., 471. és 1378. tétel) a következőképpen módosul:</w:t>
      </w:r>
    </w:p>
    <w:p w14:paraId="6155C651" w14:textId="52F28E9F" w:rsidR="00A3373D" w:rsidRPr="00593D40" w:rsidRDefault="00A3373D" w:rsidP="00A3373D">
      <w:pPr>
        <w:pStyle w:val="PKTpunkt"/>
      </w:pPr>
      <w:r>
        <w:t>(1) az 5. cikk (11) bekezdésének a. pontja hatályát veszti;</w:t>
      </w:r>
    </w:p>
    <w:p w14:paraId="669CEECD" w14:textId="77777777" w:rsidR="00A3373D" w:rsidRPr="00593D40" w:rsidRDefault="00A3373D" w:rsidP="00593D40">
      <w:pPr>
        <w:pStyle w:val="PKTpunkt"/>
        <w:keepNext/>
        <w:keepLines/>
      </w:pPr>
      <w:r>
        <w:t>(2)</w:t>
      </w:r>
      <w:r>
        <w:tab/>
        <w:t>a 73. cikk (2) bekezdése helyébe a következő szöveg lép:</w:t>
      </w:r>
    </w:p>
    <w:p w14:paraId="3E564AA5" w14:textId="2D820FE2" w:rsidR="00A3373D" w:rsidRPr="00593D40" w:rsidRDefault="00A3373D" w:rsidP="005E445C">
      <w:pPr>
        <w:pStyle w:val="ZUSTzmustartykuempunktem"/>
      </w:pPr>
      <w:r>
        <w:t xml:space="preserve">„(2) Az (1) bekezdés 1) és 2) pontjában hivatkozott tilalmak nem vonatkoznak az állatokkal kapcsolatos kutatást folytató állatkertekre és tudományos intézményekre, és az (1) bekezdés 1) pontjában hivatkozott tilalmak nem vonatkoznak az állatok rehabilitációját végző központokra.”. </w:t>
      </w:r>
    </w:p>
    <w:p w14:paraId="1A45BE4A" w14:textId="0E974CE4" w:rsidR="00763CC7" w:rsidRPr="00593D40" w:rsidRDefault="00763CC7" w:rsidP="004233C3">
      <w:pPr>
        <w:pStyle w:val="ARTartustawynprozporzdzenia"/>
        <w:keepNext/>
      </w:pPr>
      <w:r>
        <w:rPr>
          <w:rStyle w:val="Ppogrubienie"/>
        </w:rPr>
        <w:t>8. cikk</w:t>
      </w:r>
      <w:r>
        <w:t xml:space="preserve"> Az állatok tenyésztéséről és tartásáról szóló, 2007. június 29-i törvény (Jogi Közlöny 2017., 2132. tétel) 2. cikkének (3) bekezdése helyébe a következő szöveg lép: </w:t>
      </w:r>
    </w:p>
    <w:p w14:paraId="00A1EEC9" w14:textId="0E872B9C" w:rsidR="00763CC7" w:rsidRPr="00593D40" w:rsidRDefault="00F16C3B" w:rsidP="004233C3">
      <w:pPr>
        <w:pStyle w:val="ZPKTzmpktartykuempunktem"/>
      </w:pPr>
      <w:r>
        <w:t>„(3)</w:t>
      </w:r>
      <w:r>
        <w:tab/>
        <w:t>hús- és a textilipari nyersanyagok előállításának céljából tartott vörös róka (Vulpes vulpes), sarki róka (Alopex lagopus), amerikai nyérc (Mustela vison), közönséges görény (Mustela putorius), nyestkutya (Nyctereutes procyonoides), nutria (Myocastor coypus), hosszúfarkú csincsilla (Chinchilla lanigera) és üregi nyúl (Oryctolagus cuniculus);”.</w:t>
      </w:r>
    </w:p>
    <w:p w14:paraId="5F523696" w14:textId="1ACDF186" w:rsidR="00763CC7" w:rsidRPr="00593D40" w:rsidRDefault="00730ACA" w:rsidP="00763CC7">
      <w:pPr>
        <w:pStyle w:val="ARTartustawynprozporzdzenia"/>
      </w:pPr>
      <w:r>
        <w:rPr>
          <w:rStyle w:val="Ppogrubienie"/>
        </w:rPr>
        <w:t>9. cikk</w:t>
      </w:r>
      <w:r>
        <w:t> (1) Az állatmenhelyek működtetésére vonatkozó engedélyek kibocsátásával kapcsolatos eljárások esetében kezdeményezett és e törvény hatálybalépéséig jogerős határozattal le nem zárt eljárások esetében a 3. cikkben módosított törvény rendelkezései alkalmazandók jelenlegi formájukban.</w:t>
      </w:r>
    </w:p>
    <w:p w14:paraId="700500B7" w14:textId="3142ECBC" w:rsidR="00763CC7" w:rsidRPr="00593D40" w:rsidRDefault="00763CC7" w:rsidP="00763CC7">
      <w:pPr>
        <w:pStyle w:val="USTustnpkodeksu"/>
      </w:pPr>
      <w:r>
        <w:t xml:space="preserve">(2) Az állatmenhelyek működtetésére a működtetők számára a jelen törvény hatályba lépéséig kibocsátott engedélyek hatályukat vesztik. </w:t>
      </w:r>
    </w:p>
    <w:p w14:paraId="0AF96B30" w14:textId="2DA06480" w:rsidR="00763CC7" w:rsidRPr="00593D40" w:rsidRDefault="00730ACA" w:rsidP="00763CC7">
      <w:pPr>
        <w:pStyle w:val="ARTartustawynprozporzdzenia"/>
      </w:pPr>
      <w:r>
        <w:rPr>
          <w:rStyle w:val="Ppogrubienie"/>
        </w:rPr>
        <w:t>10. cikk</w:t>
      </w:r>
      <w:r>
        <w:t> Az 1. cikkel módosított Törvény 17. cikkének (8) bekezdése értelmében eddig kiadott végrehajtási rendelkezések az 1. cikkel módosított Törvény szövege szerinti 17. cikk (8) bekezdése értelmében kiadott rendelkezések hatálybalépéséig, de legfeljebb a Törvény hatálybalépésétől számított 6 hónapig maradnak érvényben.</w:t>
      </w:r>
    </w:p>
    <w:p w14:paraId="67B0962B" w14:textId="4900FC2B" w:rsidR="00384937" w:rsidRPr="00593D40" w:rsidRDefault="00730ACA" w:rsidP="00763CC7">
      <w:pPr>
        <w:pStyle w:val="ARTartustawynprozporzdzenia"/>
      </w:pPr>
      <w:r>
        <w:rPr>
          <w:rStyle w:val="Ppogrubienie"/>
        </w:rPr>
        <w:t>11. cikk</w:t>
      </w:r>
      <w:r>
        <w:t xml:space="preserve"> Az 1. cikkel módosított Törvény 12. cikkének (4c) bekezdésében foglalt tilalom által érintett szervek kártérítésre jogosultak az állami költségvetésből az állatok tenyésztéséről és tartásáról szóló, 2007. június 29-i törvény (Jogi Közlöny 2017., 2132. tétel és 2020. ....tétel) 2. cikke (3) bekezdése értelmében a szőrméjükért tartott szőrmés állatok – kivéve a nyulak – tenyésztésének megszüntetésére. </w:t>
      </w:r>
    </w:p>
    <w:p w14:paraId="1D91C9E9" w14:textId="4CDB5C4A" w:rsidR="00763CC7" w:rsidRPr="00593D40" w:rsidRDefault="00730ACA" w:rsidP="00763CC7">
      <w:pPr>
        <w:pStyle w:val="ARTartustawynprozporzdzenia"/>
      </w:pPr>
      <w:r>
        <w:rPr>
          <w:rStyle w:val="Ppogrubienie"/>
        </w:rPr>
        <w:lastRenderedPageBreak/>
        <w:t>12. cikk</w:t>
      </w:r>
      <w:r>
        <w:t xml:space="preserve"> (1) Ha egy eddig szórakoztatási és előadási célból tartott, nevelt és cirkuszokban és cirkuszbázisokban bemutatott állat tulajdonosa vagy gondozója nem képes vagy nem akarja gondozni az állatot, akkor azt a jelen Törvény hatálybalépésétől számított 12 hónapon belül át kell szállítani a létesítmény működési helyén lévő, állatmenhelyet vagy állatkertet működtető települési szervezeti egységbe. </w:t>
      </w:r>
    </w:p>
    <w:p w14:paraId="7CFBAF55" w14:textId="77777777" w:rsidR="00763CC7" w:rsidRPr="00593D40" w:rsidRDefault="00763CC7" w:rsidP="00763CC7">
      <w:pPr>
        <w:pStyle w:val="USTustnpkodeksu"/>
      </w:pPr>
      <w:r>
        <w:t xml:space="preserve">(2) Az (1) bekezdésben említett állat átszállításához szükséges annak a szervnek a beleegyezése, ahová az átszállítást tervezik. </w:t>
      </w:r>
    </w:p>
    <w:p w14:paraId="5E8238DA" w14:textId="1FB93C29" w:rsidR="00763CC7" w:rsidRPr="00593D40" w:rsidRDefault="00763CC7" w:rsidP="00763CC7">
      <w:pPr>
        <w:pStyle w:val="USTustnpkodeksu"/>
      </w:pPr>
      <w:r>
        <w:t xml:space="preserve">(3) Azok a települési szervezeti egységek, ahová az 1. </w:t>
      </w:r>
      <w:r w:rsidR="0094090B">
        <w:t>bekezdésben</w:t>
      </w:r>
      <w:r>
        <w:t xml:space="preserve"> említett állatokat szállították, elszállíthatják azokat az 1. cikkel módosított törvény 11. cikk (4) bekezdésében hivatkozott társadalmi szervezetekhez, a jelen törvény szövege szerint, megállapodás alapján.</w:t>
      </w:r>
    </w:p>
    <w:p w14:paraId="44CBEF77" w14:textId="77777777" w:rsidR="00763CC7" w:rsidRPr="00593D40" w:rsidRDefault="00763CC7" w:rsidP="00763CC7">
      <w:pPr>
        <w:pStyle w:val="USTustnpkodeksu"/>
      </w:pPr>
      <w:r>
        <w:t xml:space="preserve">(4) Amennyiben a (2) bekezdésben említett hozzájárulást nem kapták meg, vagy más olyan körülmények következnek be, amelyek lehetetlenné teszik az állatnak az (1) bekezdésben említett szervekhez való szállítását, akkor az állat ingyenesen elszállítható egy másik jogi személyhez, jogi személyiség nélküli szervezeti egységhez vagy egy természetes személyhez, aki megfelelő gondozást biztosít a számára. </w:t>
      </w:r>
    </w:p>
    <w:p w14:paraId="5EAE9420" w14:textId="77777777" w:rsidR="00763CC7" w:rsidRPr="00593D40" w:rsidRDefault="00763CC7" w:rsidP="00F116C8">
      <w:pPr>
        <w:pStyle w:val="USTustnpkodeksu"/>
        <w:keepNext/>
      </w:pPr>
      <w:r>
        <w:t>(5) Állatszállítási bizonylatot kell kiállítani, amely a következőket tartalmazza:</w:t>
      </w:r>
    </w:p>
    <w:p w14:paraId="6A757F0B" w14:textId="77777777" w:rsidR="00763CC7" w:rsidRPr="00593D40" w:rsidRDefault="00763CC7" w:rsidP="00763CC7">
      <w:pPr>
        <w:pStyle w:val="PKTpunkt"/>
      </w:pPr>
      <w:r>
        <w:t xml:space="preserve">1)  az állat átszállításának dátuma; </w:t>
      </w:r>
    </w:p>
    <w:p w14:paraId="3897A6A8" w14:textId="77777777" w:rsidR="00763CC7" w:rsidRPr="00593D40" w:rsidRDefault="00763CC7" w:rsidP="00763CC7">
      <w:pPr>
        <w:pStyle w:val="PKTpunkt"/>
      </w:pPr>
      <w:r>
        <w:t xml:space="preserve">2)  az állatot átszállító szerv neve, székhelye és címe; </w:t>
      </w:r>
    </w:p>
    <w:p w14:paraId="2CE156D2" w14:textId="77777777" w:rsidR="00763CC7" w:rsidRPr="00593D40" w:rsidRDefault="00763CC7" w:rsidP="00763CC7">
      <w:pPr>
        <w:pStyle w:val="PKTpunkt"/>
      </w:pPr>
      <w:r>
        <w:t xml:space="preserve">3)  annak a települési szervezeti egységnek neve és székhelye, amely menhelyet működtet gazdátlan állatok számára, állatkertet, jogi entitást vagy más szervezeti egységet működtet, vagy annak a természetes személynek a teljes neve, lakóhelye és címe, ahová az állatot átszállítják; </w:t>
      </w:r>
    </w:p>
    <w:p w14:paraId="5BCC7D52" w14:textId="77777777" w:rsidR="00763CC7" w:rsidRPr="00593D40" w:rsidRDefault="00763CC7" w:rsidP="00763CC7">
      <w:pPr>
        <w:pStyle w:val="PKTpunkt"/>
      </w:pPr>
      <w:r>
        <w:t xml:space="preserve">4)  az állat fajának, életkorának és nemének a megadása; </w:t>
      </w:r>
    </w:p>
    <w:p w14:paraId="4EF0941F" w14:textId="77777777" w:rsidR="00763CC7" w:rsidRPr="00593D40" w:rsidRDefault="00763CC7" w:rsidP="00763CC7">
      <w:pPr>
        <w:pStyle w:val="PKTpunkt"/>
      </w:pPr>
      <w:r>
        <w:t>5)</w:t>
      </w:r>
      <w:r>
        <w:tab/>
        <w:t>az állat egészségére vonatkozó információk.</w:t>
      </w:r>
    </w:p>
    <w:p w14:paraId="428F3CE8" w14:textId="2F0D29BE" w:rsidR="005E445C" w:rsidRPr="00593D40" w:rsidRDefault="00730ACA" w:rsidP="004233C3">
      <w:pPr>
        <w:pStyle w:val="ARTartustawynprozporzdzenia"/>
      </w:pPr>
      <w:r>
        <w:rPr>
          <w:rStyle w:val="Ppogrubienie"/>
        </w:rPr>
        <w:t xml:space="preserve">13. cikk </w:t>
      </w:r>
      <w:r>
        <w:t>Azok az üzemeltetők, amelyek az 1. cikkel módosított törvény 34. cikkének (3a) bekezdése hatálybalépésének napján vallási szervezetek vallási szertartásaiban előírt meghatározott módú állatvágási tevékenységben részt vesznek, e tevékenységnek a 1. cikkel módosított törvény 34. cikke (3a) bekezdésének hatálybalépése miatti megszüntetésére vagy lerövidítésére az állami költségvetésből kártérítésre jogosultak.</w:t>
      </w:r>
    </w:p>
    <w:p w14:paraId="7E6F4139" w14:textId="6CE8B979" w:rsidR="00763CC7" w:rsidRPr="00593D40" w:rsidRDefault="00F13533" w:rsidP="00593D40">
      <w:pPr>
        <w:pStyle w:val="ARTartustawynprozporzdzenia"/>
        <w:keepNext/>
        <w:keepLines/>
      </w:pPr>
      <w:r>
        <w:rPr>
          <w:rStyle w:val="Ppogrubienie"/>
        </w:rPr>
        <w:lastRenderedPageBreak/>
        <w:t>14. cikk</w:t>
      </w:r>
      <w:r>
        <w:rPr>
          <w:rStyle w:val="Ppogrubienie"/>
          <w:bCs/>
        </w:rPr>
        <w:t xml:space="preserve"> </w:t>
      </w:r>
      <w:r>
        <w:t>(1) Az eddig szórakoztatás és előadás céljából tartott, nevelt és cirkuszokban vagy cirkuszbázisokban bemutatott állatokat átszállító szervek a 12. cikk (1) bekezdésében hivatkozott kötelezettségekből eredő veszteségük miatt kártérítésre jogosultak.</w:t>
      </w:r>
    </w:p>
    <w:p w14:paraId="0D26315B" w14:textId="77A12937" w:rsidR="00763CC7" w:rsidRPr="00593D40" w:rsidRDefault="00763CC7" w:rsidP="00763CC7">
      <w:pPr>
        <w:pStyle w:val="USTustnpkodeksu"/>
      </w:pPr>
      <w:r>
        <w:t>(2) Az (1) bekezdésben említett szervek kártérítésért folyamodhatnak a mezőgazdaságért felelős miniszterhez.</w:t>
      </w:r>
    </w:p>
    <w:p w14:paraId="0D40171A" w14:textId="77777777" w:rsidR="00763CC7" w:rsidRPr="00593D40" w:rsidRDefault="00763CC7" w:rsidP="00763CC7">
      <w:pPr>
        <w:pStyle w:val="USTustnpkodeksu"/>
      </w:pPr>
      <w:r>
        <w:t>(3) A mezőgazdaságért felelős miniszter a kártérítéseket az állami költségvetés rendelkezésére álló részéből folyósítja.</w:t>
      </w:r>
    </w:p>
    <w:p w14:paraId="6EC2E5E8" w14:textId="6BFF3132" w:rsidR="00763CC7" w:rsidRPr="00593D40" w:rsidRDefault="00763CC7" w:rsidP="00763CC7">
      <w:pPr>
        <w:pStyle w:val="USTustnpkodeksu"/>
      </w:pPr>
      <w:r>
        <w:t>(4) A mezőgazdaságért felelős miniszter a kérelem benyújtásának napjától számított három hónapon belül megvizsgálja a kártérítési kérelmeket. A mezőgazdaságért felelős miniszter a kártérítési kérelmeket határozat útján ismeri el vagy vonja vissza.</w:t>
      </w:r>
    </w:p>
    <w:p w14:paraId="45FAEE97" w14:textId="77777777" w:rsidR="00763CC7" w:rsidRPr="00593D40" w:rsidRDefault="00763CC7" w:rsidP="00763CC7">
      <w:pPr>
        <w:pStyle w:val="USTustnpkodeksu"/>
      </w:pPr>
      <w:r>
        <w:t>(5) Azok az előadási vagy szórakoztatási működtetők, akik az addig szórakoztatási és előadási célokból tartott, nevelt és cirkuszokban vagy cirkuszbázisokban bemutatott állatokat állatmenhelyeket üzemeltető települési szervezeti egységeknek vagy állatkerteknek kötelesek elszállítani, jogosultak fellebbezni a (4) bekezdésben hivatkozott határozat ellen.</w:t>
      </w:r>
    </w:p>
    <w:p w14:paraId="469FF3B1" w14:textId="36DE4A5B" w:rsidR="00763CC7" w:rsidRPr="00593D40" w:rsidRDefault="00763CC7" w:rsidP="00593D40">
      <w:pPr>
        <w:pStyle w:val="ARTartustawynprozporzdzenia"/>
        <w:keepNext/>
        <w:keepLines/>
      </w:pPr>
      <w:r>
        <w:rPr>
          <w:rStyle w:val="Ppogrubienie"/>
        </w:rPr>
        <w:t>15. cikk </w:t>
      </w:r>
      <w:r>
        <w:t>(1) Az Állatügyi Tanácsot létre kell hozni.</w:t>
      </w:r>
    </w:p>
    <w:p w14:paraId="0154A92B" w14:textId="05712F62" w:rsidR="00763CC7" w:rsidRPr="00593D40" w:rsidRDefault="00763CC7" w:rsidP="00763CC7">
      <w:pPr>
        <w:pStyle w:val="USTustnpkodeksu"/>
      </w:pPr>
      <w:r>
        <w:t>(2) Az Állatügyi Tanács 2021. november 15-ig köteles kiadni az 1. cikkben módosított Törvény 34d. cikke (2) bekezdésében hivatkozott, állatjólétre vonatkozó 2020. évi jelentést.</w:t>
      </w:r>
    </w:p>
    <w:p w14:paraId="27EA7E43" w14:textId="5D2ADF1E" w:rsidR="00763CC7" w:rsidRPr="00593D40" w:rsidRDefault="00763CC7" w:rsidP="004233C3">
      <w:pPr>
        <w:pStyle w:val="ARTartustawynprozporzdzenia"/>
        <w:rPr>
          <w:rStyle w:val="Ppogrubienie"/>
          <w:b w:val="0"/>
        </w:rPr>
      </w:pPr>
      <w:r>
        <w:rPr>
          <w:rStyle w:val="Ppogrubienie"/>
        </w:rPr>
        <w:t>16. cikk</w:t>
      </w:r>
      <w:r>
        <w:t xml:space="preserve"> A 2. cikkben módosított törvény 7. cikke (1) bekezdésének 4) pontjában hivatkozott tevékenység folytatására vonatkozó, a Törvény 9. cikke (1b) bekezdése alapján kibocsátott engedélyek a jelen Törvény hatálybalépésétől számított 12 hónap után hatályukat vesztik. </w:t>
      </w:r>
    </w:p>
    <w:p w14:paraId="16A2F3C3" w14:textId="5B7F824F" w:rsidR="003D60BA" w:rsidRPr="00593D40" w:rsidRDefault="00730ACA" w:rsidP="00593D40">
      <w:pPr>
        <w:pStyle w:val="ARTartustawynprozporzdzenia"/>
        <w:keepNext/>
        <w:keepLines/>
      </w:pPr>
      <w:r>
        <w:rPr>
          <w:rStyle w:val="Ppogrubienie"/>
        </w:rPr>
        <w:t>17. cikk</w:t>
      </w:r>
      <w:r>
        <w:t xml:space="preserve"> A törvény a kihirdetését követő 30. napon lép hatályba, az alábbi rendelkezések kivételével:</w:t>
      </w:r>
    </w:p>
    <w:p w14:paraId="55EDDC5A" w14:textId="17C47AC3" w:rsidR="003D60BA" w:rsidRPr="00593D40" w:rsidRDefault="003D60BA" w:rsidP="003D60BA">
      <w:pPr>
        <w:pStyle w:val="PKTpunkt"/>
      </w:pPr>
      <w:r>
        <w:t>(1)</w:t>
      </w:r>
      <w:r>
        <w:tab/>
        <w:t>az 1. cikk (4), (6) és (8)–(11) bekezdései és a 9. cikk (2) bekezdése 6 hónappal a kihirdetés napját követően lép hatályba;</w:t>
      </w:r>
    </w:p>
    <w:p w14:paraId="69FA8730" w14:textId="028145DC" w:rsidR="00763CC7" w:rsidRPr="00593D40" w:rsidRDefault="003D60BA" w:rsidP="003D60BA">
      <w:pPr>
        <w:pStyle w:val="PKTpunkt"/>
      </w:pPr>
      <w:r>
        <w:t>(2)</w:t>
      </w:r>
      <w:r>
        <w:tab/>
        <w:t>az 1. cikk (5)–(7) bekezdése, valamint a 11. és 13. cikk 12 hónappal a kihirdetés napját követően lép hatályba.</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A SZEJM ELNÖKE</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B760C" w14:textId="77777777" w:rsidR="0039092F" w:rsidRDefault="0039092F">
      <w:r>
        <w:separator/>
      </w:r>
    </w:p>
  </w:endnote>
  <w:endnote w:type="continuationSeparator" w:id="0">
    <w:p w14:paraId="0C67F3FA" w14:textId="77777777" w:rsidR="0039092F" w:rsidRDefault="0039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2EA48" w14:textId="77777777" w:rsidR="0039092F" w:rsidRDefault="0039092F">
      <w:r>
        <w:separator/>
      </w:r>
    </w:p>
  </w:footnote>
  <w:footnote w:type="continuationSeparator" w:id="0">
    <w:p w14:paraId="48EBF034" w14:textId="77777777" w:rsidR="0039092F" w:rsidRDefault="0039092F">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Ez a törvény a következő törvényeket módosítja: 1964. november 17-i törvény – Polgári eljárási kódex, 1996. szeptember 13-i törvény a tisztaság és rend fenntartásáról az önkormányzatokban – 1997. június 6-i törvény – Büntetőeljárási törvénykönyv, a 2001. augusztus 24-i törvény – Kisebb súlyú szabálysértések eljárási kódexe, Az állatok egészségének védelméről és a fertőző állatbetegségek leküzdéséről szóló, 2004. március 11-i törvény, A természet védelméről szóló, 2004. április 16-i törvény és A tenyésztés szervezéséről és az állatállomány tartásáról szóló, 2007. június 29-i törvény.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761360"/>
      <w:docPartObj>
        <w:docPartGallery w:val="Page Numbers (Top of Page)"/>
        <w:docPartUnique/>
      </w:docPartObj>
    </w:sdtPr>
    <w:sdtEndPr/>
    <w:sdtContent>
      <w:p w14:paraId="0BD293A8" w14:textId="036F7F38" w:rsidR="00C83DAA" w:rsidRDefault="00251A80">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25101"/>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1A80"/>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92F"/>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0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23E3"/>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hu-HU"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865BF5-A527-4379-A4C2-99A43DE1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16</Pages>
  <Words>4085</Words>
  <Characters>26914</Characters>
  <Application>Microsoft Office Word</Application>
  <DocSecurity>0</DocSecurity>
  <Lines>224</Lines>
  <Paragraphs>61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BONITO, Joana</cp:lastModifiedBy>
  <cp:revision>3</cp:revision>
  <cp:lastPrinted>2020-09-18T09:41:00Z</cp:lastPrinted>
  <dcterms:created xsi:type="dcterms:W3CDTF">2020-10-26T18:23:00Z</dcterms:created>
  <dcterms:modified xsi:type="dcterms:W3CDTF">2020-10-27T07:34:00Z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