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Seaduseelnõu, millega tugevdatakse vabariigi põhimõtete järgimist</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Artikkel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21. juuni 2004. aasta seaduse nr 2004-575 (usalduse kohta digitaalmajanduses) I jaotise II peatükki muudetakse järgmiselt.</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Artikli 6 I osa lõike 8 alguses asendatakse sõnad</w:t>
      </w:r>
      <w:r>
        <w:rPr>
          <w:sz w:val="21"/>
          <w:rFonts w:ascii="Times-Roman" w:hAnsi="Times-Roman"/>
        </w:rPr>
        <w:t xml:space="preserve"> </w:t>
      </w:r>
      <w:r>
        <w:rPr>
          <w:sz w:val="21"/>
          <w:rFonts w:ascii="Times-Roman" w:hAnsi="Times-Roman"/>
        </w:rPr>
        <w:t xml:space="preserve">„Õigusasutus võib ajutise meetmena või taotluse korral määrata punktis 2 nimetatud isiku või selle puudumisel punktis 1 nimetatud isiku,“ järgmisega:</w:t>
      </w:r>
      <w:r>
        <w:rPr>
          <w:sz w:val="21"/>
          <w:rFonts w:ascii="Times-Roman" w:hAnsi="Times-Roman"/>
        </w:rPr>
        <w:t xml:space="preserve"> </w:t>
      </w:r>
      <w:r>
        <w:rPr>
          <w:sz w:val="21"/>
          <w:rFonts w:ascii="Times-Roman" w:hAnsi="Times-Roman"/>
        </w:rPr>
        <w:t xml:space="preserve">„Kohtu esimees, kes tegutseb kiirendatud menetluse kohaselt, võib määrata isiku, kes võib sellesse panustada“;</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Pärast artiklit 6-2, mida on muudetud 19. oktoobri 2020. aasta seadusega nr 2020-1266, mille eesmärk on reguleerida alla 16-aastaste laste kuvandi ärieesmärgil kasutamist veebiplatvormidel, lisatakse artiklid 6-3 ja 6-4, mille sõnastus on järgmine:</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Artikkel 6-4.</w:t>
      </w:r>
      <w:r>
        <w:rPr>
          <w:sz w:val="21"/>
          <w:i/>
          <w:rFonts w:ascii="Times-Italic" w:hAnsi="Times-Italic"/>
        </w:rPr>
        <w:t xml:space="preserve"> </w:t>
      </w:r>
      <w:r>
        <w:rPr>
          <w:sz w:val="21"/>
          <w:rFonts w:ascii="Times-Roman" w:hAnsi="Times-Roman"/>
        </w:rPr>
        <w:t xml:space="preserve">— Kui täitmisele pööratava kohtuotsusega on määratud mis tahes meede, mis takistab juurdepääsu internetipõhisele üldkasutatavale sideteenusele, mille sisu kuulub artikli 6 I osa punktis 7 sätestatud süütegude alla, võib haldusasutus juhul, kui asjaomane isik seda nõuab, nõuda mis tahes isikult, kes võib sellele kaasa aidata, ja mitte pikemaks ajaks kui käesoleva kohtuotsusega määratud meetmete puhul, et takistada juurdepääsu kõigile avalikele internetipõhistele sideteenustele, mis sisaldavad veebisaidi sisu täielikult või olulisel määral.</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Samadel tingimustel võib haldusasutus nõuda otsingumootori, kataloogi või muu viitamisteenuse operaatorilt ka selliste veebiaadresside sidumist, mis võimaldavad üldsusele juurdepääsu sellistele veebipõhistele sideteenustele.</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Haldusasutus peab ajakohastama käesoleva artikli esimeses lõigus nimetatud veebipõhiste sideteenuste loetelu, mille kohta on esitatud sama esimese lõigu alusel esitatud juurdepääsu blokeerimise taotlus, samuti sellistele teenustele juurdepääsu võimaldavatest veebiaadressidest ning tegema selle nimekirja kättesaadavaks reklaamijatele, nende esindajatele ja üldise maksuseadustiku artikli 299 II jaotise punktis 2 nimetatud teenustele.</w:t>
      </w:r>
      <w:r>
        <w:rPr>
          <w:sz w:val="21"/>
          <w:rFonts w:ascii="Times-Roman" w:hAnsi="Times-Roman"/>
        </w:rPr>
        <w:t xml:space="preserve"> </w:t>
      </w:r>
      <w:r>
        <w:rPr>
          <w:sz w:val="21"/>
          <w:rFonts w:ascii="Times-Roman" w:hAnsi="Times-Roman"/>
        </w:rPr>
        <w:t xml:space="preserve">Need teenused lisatakse sellesse nimekirja õigusasutuse määratud meetmete kehtivusaja lõpuni.</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Kui selliseid teenuseid ei ole käesoleva artikli kohaselt blokeeritud või edasi lükatud, võib kohtu esimees kiirendatud menetluse kohaselt ette näha mis tahes meetme, mille eesmärk on lõpetada juurdepääs kõnealuste teenuste sisule.“</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Artikkel 19 </w:t>
      </w:r>
      <w:r>
        <w:rPr>
          <w:b/>
          <w:sz w:val="21"/>
          <w:i/>
          <w:rFonts w:ascii="Times-BoldItalic" w:hAnsi="Times-BoldItalic"/>
        </w:rPr>
        <w:t xml:space="preserve">bis (uus)</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21. juuni 2004. aasta seaduse nr 2004-575 (usalduse kohta digitaalmajanduses) I jaotise II peatükki muudetakse järgmiselt.</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Artikli 6 I osa lõike 7 punkti 4 muudetakse järgmiselt:</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esimesele lausele lisatakse sõnad:</w:t>
      </w:r>
      <w:r>
        <w:rPr>
          <w:sz w:val="21"/>
          <w:rFonts w:ascii="Times-Roman" w:hAnsi="Times-Roman"/>
        </w:rPr>
        <w:t xml:space="preserve"> </w:t>
      </w:r>
      <w:r>
        <w:rPr>
          <w:sz w:val="21"/>
          <w:rFonts w:ascii="Times-Roman" w:hAnsi="Times-Roman"/>
        </w:rPr>
        <w:t xml:space="preserve">„ja avalikustama vahendid, mida nad kasutavad võitluseks käesoleva punkti 7 kolmandas lõigus osutatud ebaseadusliku tegevuse vastu“;</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sama esimese lause järele lisatakse järgmine lause:</w:t>
      </w:r>
      <w:r>
        <w:rPr>
          <w:sz w:val="21"/>
          <w:rFonts w:ascii="Times-Roman" w:hAnsi="Times-Roman"/>
        </w:rPr>
        <w:t xml:space="preserve"> </w:t>
      </w:r>
      <w:r>
        <w:rPr>
          <w:sz w:val="21"/>
          <w:rFonts w:ascii="Times-Roman" w:hAnsi="Times-Roman"/>
        </w:rPr>
        <w:t xml:space="preserve">„Neid kohustusi ei kohaldata artikli 6-5 esimeses lõigus osutatud operaatorite suhtes, et võidelda samas esimeses lõigus osutatud veebisisu levitamise vastu.“;</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w:t>
      </w:r>
      <w:r>
        <w:rPr>
          <w:sz w:val="21"/>
          <w:rFonts w:ascii="Times-Roman" w:hAnsi="Times-Roman"/>
        </w:rPr>
        <w:t xml:space="preserve"> teist lauset muudetakse järgmiselt:</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alguses asendatakse sõna</w:t>
      </w:r>
      <w:r>
        <w:rPr>
          <w:sz w:val="21"/>
          <w:rFonts w:ascii="Times-Roman" w:hAnsi="Times-Roman"/>
        </w:rPr>
        <w:t xml:space="preserve"> </w:t>
      </w:r>
      <w:r>
        <w:rPr>
          <w:sz w:val="21"/>
          <w:rFonts w:ascii="Times-Roman" w:hAnsi="Times-Roman"/>
        </w:rPr>
        <w:t xml:space="preserve">„Nemad“ sõnadega</w:t>
      </w:r>
      <w:r>
        <w:rPr>
          <w:sz w:val="21"/>
          <w:rFonts w:ascii="Times-Roman" w:hAnsi="Times-Roman"/>
        </w:rPr>
        <w:t xml:space="preserve"> </w:t>
      </w:r>
      <w:r>
        <w:rPr>
          <w:sz w:val="21"/>
          <w:rFonts w:ascii="Times-Roman" w:hAnsi="Times-Roman"/>
        </w:rPr>
        <w:t xml:space="preserve">„Punktides 1 ja 2 nimetatud isikud“;</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sõnad:</w:t>
      </w:r>
      <w:r>
        <w:rPr>
          <w:sz w:val="21"/>
          <w:rFonts w:ascii="Times-Roman" w:hAnsi="Times-Roman"/>
        </w:rPr>
        <w:t xml:space="preserve"> </w:t>
      </w:r>
      <w:r>
        <w:rPr>
          <w:sz w:val="21"/>
          <w:rFonts w:ascii="Times-Roman" w:hAnsi="Times-Roman"/>
        </w:rPr>
        <w:t xml:space="preserve">„, ühelt poolt“ jäetakse välja;</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sõnad</w:t>
      </w:r>
      <w:r>
        <w:rPr>
          <w:sz w:val="21"/>
          <w:rFonts w:ascii="Times-Roman" w:hAnsi="Times-Roman"/>
        </w:rPr>
        <w:t xml:space="preserve"> </w:t>
      </w:r>
      <w:r>
        <w:rPr>
          <w:sz w:val="21"/>
          <w:rFonts w:ascii="Times-Roman" w:hAnsi="Times-Roman"/>
        </w:rPr>
        <w:t xml:space="preserve">„eelmise lõigu“ asendatakse sõnadega</w:t>
      </w:r>
      <w:r>
        <w:rPr>
          <w:sz w:val="21"/>
          <w:rFonts w:ascii="Times-Roman" w:hAnsi="Times-Roman"/>
        </w:rPr>
        <w:t xml:space="preserve"> </w:t>
      </w:r>
      <w:r>
        <w:rPr>
          <w:sz w:val="21"/>
          <w:rFonts w:ascii="Times-Roman" w:hAnsi="Times-Roman"/>
        </w:rPr>
        <w:t xml:space="preserve">„samas kolmandas lõigus“;</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pärast sõna</w:t>
      </w:r>
      <w:r>
        <w:rPr>
          <w:sz w:val="21"/>
          <w:rFonts w:ascii="Times-Roman" w:hAnsi="Times-Roman"/>
        </w:rPr>
        <w:t xml:space="preserve"> </w:t>
      </w:r>
      <w:r>
        <w:rPr>
          <w:sz w:val="21"/>
          <w:rFonts w:ascii="Times-Roman" w:hAnsi="Times-Roman"/>
        </w:rPr>
        <w:t xml:space="preserve">„teenused“ kustutatakse ülejäänud lause;</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Eespool nimetatud 19. oktoobri 2020. aasta seadusega nr 2020-1266 muudetud artikli 6-2 järele lisatakse artikkel 6-5 järgmises sõnastuses:</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Artikkel 6-5.</w:t>
      </w:r>
      <w:r>
        <w:rPr>
          <w:sz w:val="21"/>
          <w:i/>
          <w:rFonts w:ascii="Times-Italic" w:hAnsi="Times-Italic"/>
        </w:rPr>
        <w:t xml:space="preserve"> </w:t>
      </w:r>
      <w:r>
        <w:rPr>
          <w:sz w:val="21"/>
          <w:rFonts w:ascii="Times-Roman" w:hAnsi="Times-Roman"/>
        </w:rPr>
        <w:t xml:space="preserve">– Tarbijaseadustiku artiklis L111-7 määratletud veebiplatvormide käitajad, kes pakuvad üldsusele internetipõhist sideteenust, mis põhineb kolmandate isikute poolt internetis avaldatud sisu liigitamisel, viitamisel või jagamisel ja kelle tegevus Prantsusmaa territooriumil ületab dekreediga kindlaks määratud ühenduste arvu piirmäära, olenemata sellest, kas need on asutatud Prantsusmaa territooriumil või mitte, aitavad kaasa võitlusele sellise sisu avaliku levitamise vastu, mis on vastuolus käesoleva seaduse artikli 6 I osa lõike 7 punktiga 3 ja artikliga 24 </w:t>
      </w:r>
      <w:r>
        <w:rPr>
          <w:sz w:val="21"/>
          <w:i/>
          <w:rFonts w:ascii="Times-Italic" w:hAnsi="Times-Italic"/>
        </w:rPr>
        <w:t xml:space="preserve">bis </w:t>
      </w:r>
      <w:r>
        <w:rPr>
          <w:sz w:val="21"/>
          <w:rFonts w:ascii="Times-Roman" w:hAnsi="Times-Roman"/>
        </w:rPr>
        <w:t xml:space="preserve">ning 29. juuli 1881. aasta ajakirjandusvabaduse seaduse artikli 33 kolmanda ja neljanda lõiguga.</w:t>
      </w:r>
      <w:r>
        <w:rPr>
          <w:sz w:val="21"/>
          <w:rFonts w:ascii="Times-Roman" w:hAnsi="Times-Roman"/>
        </w:rPr>
        <w:t xml:space="preserve"> </w:t>
      </w:r>
      <w:r>
        <w:rPr>
          <w:sz w:val="21"/>
          <w:rFonts w:ascii="Times-Roman" w:hAnsi="Times-Roman"/>
        </w:rPr>
        <w:t xml:space="preserve">Sellega seoses:</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nad peavad rakendama proportsionaalseid inim- ja tehnoloogilisi protseduure ja vahendeid, mis võimaldavad neil:</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w:t>
      </w:r>
      <w:r>
        <w:rPr>
          <w:sz w:val="21"/>
          <w:rFonts w:ascii="Times-Roman" w:hAnsi="Times-Roman"/>
        </w:rPr>
        <w:t xml:space="preserve"> teavitada võimalikult kiiresti õigus- või haldusasutusi meetmetest, mida nad on võtnud nende asutuste ettekirjutuste tulemusel seoses käesoleva artikli esimeses lõigus osutatud veebisisuga;</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viivitamata kinnitada nende käsutuses olevate andmete edastamiseks esitatud õigus- või haldusasutuste taotluste turvalist vastuvõtmist, et võimaldada samas esimeses lõigus osutatud veebisisu üleslaadinud kasutajate tuvastamist, ning teavitada neid asutusi võimalikult kiiresti selliste taotluste järelmeetmetest;</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ajutiselt säilitada sisu, millest on teatatud, et see on vastuolus esimeses lõigus osutatud sätetega, ja mille nad on eemaldanud või teinud kättesaamatuks, et teha see õigusasutustele kuriteo uurimise, tuvastamise ja selle eest vastutusele võtmise eesmärgil kättesaadavaks;</w:t>
      </w:r>
      <w:r>
        <w:rPr>
          <w:sz w:val="21"/>
          <w:rFonts w:ascii="Times-Roman" w:hAnsi="Times-Roman"/>
        </w:rPr>
        <w:t xml:space="preserve"> </w:t>
      </w:r>
      <w:r>
        <w:rPr>
          <w:sz w:val="21"/>
          <w:rFonts w:ascii="Times-Roman" w:hAnsi="Times-Roman"/>
        </w:rPr>
        <w:t xml:space="preserve">selle sisu säilitamise kestus ja tingimused määratakse kindlaks riiginõukogu dekreediga pärast</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riikliku infotehnoloogia ja vabaduste komisjoni arvamust;</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nad peavad määrama ühe kontaktpunkti, füüsilise isiku, kes vastutab riigiasutustega suhtlemise eest käesoleva artikli rakendamise eest, kellele võib eelkõige saata elektrooniliselt kõik taotlused, mille audiovisuaalvaldkonna kõrge nõukogu on esitanud 30. septembri 1986. aasta kommunikatsioonivabaduse seaduse nr 86-1067 artikli 62 alusel.</w:t>
      </w:r>
      <w:r>
        <w:rPr>
          <w:sz w:val="21"/>
          <w:rFonts w:ascii="Times-Roman" w:hAnsi="Times-Roman"/>
        </w:rPr>
        <w:t xml:space="preserve"> </w:t>
      </w:r>
      <w:r>
        <w:rPr>
          <w:sz w:val="21"/>
          <w:rFonts w:ascii="Times-Roman" w:hAnsi="Times-Roman"/>
        </w:rPr>
        <w:t xml:space="preserve">See ühtne kontaktpunkt vastutab eelkõige selle eest, et õigusasutus esitaks käesoleva seaduse artikli 6 II jaotises sätestatud korras operaatorile adresseeritud taotlused, et tagada nende kiire menetlemine;</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nad teevad üldsusele hõlpsasti kättesaadaval viisil kättesaadavaks nende pakutava teenuse kasutamise üldtingimused;</w:t>
      </w:r>
      <w:r>
        <w:rPr>
          <w:sz w:val="21"/>
          <w:rFonts w:ascii="Times-Roman" w:hAnsi="Times-Roman"/>
        </w:rPr>
        <w:t xml:space="preserve"> </w:t>
      </w:r>
      <w:r>
        <w:rPr>
          <w:sz w:val="21"/>
          <w:rFonts w:ascii="Times-Roman" w:hAnsi="Times-Roman"/>
        </w:rPr>
        <w:t xml:space="preserve">need sisaldavad sätteid, millega keelatakse käesoleva artikli esimeses lõigus osutatud sisu avaldamine Internetis;</w:t>
      </w:r>
      <w:r>
        <w:rPr>
          <w:sz w:val="21"/>
          <w:rFonts w:ascii="Times-Roman" w:hAnsi="Times-Roman"/>
        </w:rPr>
        <w:t xml:space="preserve"> </w:t>
      </w:r>
      <w:r>
        <w:rPr>
          <w:sz w:val="21"/>
          <w:rFonts w:ascii="Times-Roman" w:hAnsi="Times-Roman"/>
        </w:rPr>
        <w:t xml:space="preserve">nad kirjeldavad selles selgelt ja täpselt oma modereerimiskorda, mille eesmärk on vajaduse korral sellise sisu tuvastamine ja töötlemine, täpsustades selleks kasutatavaid menetlusi ja inim- või automatiseeritud vahendeid ning nende rakendatavaid meetmeid, mis mõjutavad sellise sisu kättesaadavust, nähtavust ja juurdepääsetavust;</w:t>
      </w:r>
      <w:r>
        <w:rPr>
          <w:sz w:val="21"/>
          <w:rFonts w:ascii="Times-Roman" w:hAnsi="Times-Roman"/>
        </w:rPr>
        <w:t xml:space="preserve"> </w:t>
      </w:r>
      <w:r>
        <w:rPr>
          <w:sz w:val="21"/>
          <w:rFonts w:ascii="Times-Roman" w:hAnsi="Times-Roman"/>
        </w:rPr>
        <w:t xml:space="preserve">nad märgivad selles meetmed, mida nad rakendavad seoses kasutajatega, kes on teinud selle sisu internetis kättesaadavaks, ning samuti sellistele kasutajatele kättesaadavad siseriiklikud ja õiguslikud õiguskaitsevahendid;</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nad peavad teavitama üldsust kasutatud vahenditest ja võetud meetmetest, et tõkestada Prantsusmaa territooriumil asuvatele kasutajatele esimeses lõigus osutatud veebisisu levitamist, avaldades audiovisuaalvaldkonna kõrge nõukogu kehtestatud korras ja ajavahemike järel viimase määratletud teabe ja kvantitatiivsed näitajad, mis on eelkõige seotud õigus- või haldusasutuste ettekirjutuste või teabetaotluste menetlemisega, saadud teadetega ja asutusesiseste õiguskaitsevahendite valikuga, ning kui see on asjakohane, siis ka kolmandate pooltega tehtava koostöö kriteeriumidega;</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nad peavad rakendama kergesti juurdepääsetavat ja kergesti kasutatavat menetlust, mis võimaldab igal isikul teatada elektrooniliselt mis tahes veebisisust, mida peetakse esimeses lõigus nimetatud sätetega vastuolus olevaks, et selgelt määratleda selle asukoht ja põhjused, miks arvatakse, et kõnealust veebisisu tuleks pidada ebaseaduslikuks, ning esitada teave, mis võimaldab ühendust võtta ja ebaõigest teatamisest tulenevatest karistustest teatada;</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nad peavad rakendama proportsionaalseid inim- ja tehnoloogilisi protseduure ja vahendeid, mis võimaldavad neil:</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viivitamata kinnitada esimeses lõigus osutatud sisuga seotud teadete ohutut kättesaamist, kasutades selleks autoriga ühenduse võtmiseks vajalikku teavet;</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tagada kõnealuste teadete õigeaegne analüüs;</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teavitada autorit võetud meetmetest ning kättesaadavatest siseriiklikest ja õiguslikest õiguskaitsevahenditest, tingimusel, et neil on vajalikud andmed, et nendega ühendust võtta;</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d) </w:t>
      </w:r>
      <w:r>
        <w:rPr>
          <w:sz w:val="21"/>
          <w:rFonts w:ascii="Times-Roman" w:hAnsi="Times-Roman"/>
        </w:rPr>
        <w:t xml:space="preserve">kui esimeses lõigus osutatud sätete eiramise tõttu otsustatakse veebisisu eemaldada või muuta see mittejuurdepääsetavaks, teavitada selle avaldamise päritolu kasutajat, tingimusel et tal on nendega ühenduse võtmiseks vajalik teave, et:</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märkida otsuse põhjused;</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täpsustada, kas see otsus tehti automatiseeritud vahendi abil;</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teavitada neid nende käsutuses olevatest siseriiklikest ja õiguslikest õiguskaitsevahenditest;</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ning teatada, et ebaseadusliku veebisisu avaldamise eest rakendatakse tsiviil- ja kriminaalkaristusi;</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nad peavad rakendama sisemisi parandusmeetmeid, mis võimaldavad:</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esimeses lõigus osutatud sisuteate autoril vaidlustada operaatori sellele teatele vastuseks tehtud otsuse;</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kasutajal, kes on sellise veebisisu avaldamise algataja, mille kohta on tehtud punkti 6 alapunktis d osutatud otsus, kõnealuse otsuse vaidlustada;</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rFonts w:ascii="Times-Italic" w:hAnsi="Times-Italic"/>
        </w:rPr>
        <w:t xml:space="preserve">c) </w:t>
      </w:r>
      <w:r>
        <w:rPr>
          <w:sz w:val="21"/>
          <w:rFonts w:ascii="Times-Roman" w:hAnsi="Times-Roman"/>
        </w:rPr>
        <w:t xml:space="preserve">kasutajal, kelle kohta on tehtud lõike 8</w:t>
      </w:r>
      <w:r>
        <w:rPr>
          <w:sz w:val="21"/>
        </w:rPr>
        <w:t xml:space="preserve"> punktis </w:t>
      </w:r>
      <w:r>
        <w:rPr>
          <w:sz w:val="21"/>
          <w:i/>
          <w:rFonts w:ascii="Times-Italic" w:hAnsi="Times-Italic"/>
        </w:rPr>
        <w:t xml:space="preserve">a) </w:t>
      </w:r>
      <w:r>
        <w:rPr>
          <w:sz w:val="21"/>
          <w:rFonts w:ascii="Times-Roman" w:hAnsi="Times-Roman"/>
        </w:rPr>
        <w:t xml:space="preserve">või</w:t>
      </w:r>
      <w:r>
        <w:rPr>
          <w:sz w:val="21"/>
          <w:i/>
          <w:rFonts w:ascii="Times-Italic" w:hAnsi="Times-Italic"/>
        </w:rPr>
        <w:t xml:space="preserve">b) </w:t>
      </w:r>
      <w:r>
        <w:rPr>
          <w:sz w:val="21"/>
          <w:rFonts w:ascii="Times-Roman" w:hAnsi="Times-Roman"/>
        </w:rPr>
        <w:t xml:space="preserve">nimetatud otsus, kõnealuse otsuse vaidlustada.</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Nad peavad tagama, et kõnealused süsteemid on kergesti juurdepääsetavad ja kergesti kasutatavad ning võimaldavad kaebuse asjakohast ja kiiret menetlemist, mis ei põhine üksnes automaatsetel vahenditel, teavitades kasutajat viivitamata vastuvõetud otsusest ja tühistades viivitamata asjaomase veebisisuga seotud meetmed või operaatori rakendatud meetmed, kui apellatsioonkaebuse põhjal otsustatakse, et vaidlustatud otsus ei olnud põhjendatud;</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kui nad otsustavad selliste menetluste rakendamise üle, peavad nad sätestama oma kasutustingimustes selgelt ja täpselt menetlused, mille tulemuseks on:</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peatada või kõige tõsisemal juhul lõpetada konto kasutajate puhul, kes on korduvalt üles laadinud veebisisu, mis on vastuolus käesoleva artikli esimeses lõigus osutatud sätetega;</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teatamismehhanismile juurdepääsu peatamine kasutajatele, kes on korduvalt esitanud selgelt põhjendamatuid teateid samas esimeses lõigus osutatud sisu kohta.</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selliste protseduuride rakendamisel rakendatakse juhtumipõhist analüüsi, mille eesmärk on objektiivselt iseloomustada lõike 8 punktis </w:t>
      </w:r>
      <w:r>
        <w:rPr>
          <w:sz w:val="21"/>
          <w:i/>
          <w:rFonts w:ascii="Times-Italic" w:hAnsi="Times-Italic"/>
        </w:rPr>
        <w:t xml:space="preserve">a </w:t>
      </w:r>
      <w:r>
        <w:rPr>
          <w:sz w:val="21"/>
          <w:rFonts w:ascii="Times-Roman" w:hAnsi="Times-Roman"/>
        </w:rPr>
        <w:t xml:space="preserve">või </w:t>
      </w:r>
      <w:r>
        <w:rPr>
          <w:sz w:val="21"/>
          <w:i/>
          <w:rFonts w:ascii="Times-Italic" w:hAnsi="Times-Italic"/>
        </w:rPr>
        <w:t xml:space="preserve">b </w:t>
      </w:r>
      <w:r>
        <w:rPr>
          <w:sz w:val="21"/>
          <w:rFonts w:ascii="Times-Roman" w:hAnsi="Times-Roman"/>
        </w:rPr>
        <w:t xml:space="preserve">osutatud teguviisi olemasolu, võttes arvesse eelkõige:</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käesoleva artikli esimeses lõigus osutatud ebaseadusliku sisu kogust või kasutajalt eelmisel aastal saadud ilmselgelt põhjendamatute teadete arvu nii absoluutarvudes kui ka proportsionaalselt sellise sisu või teadete koguarvuga, mille eest ta vastutas;</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ja nende kuritarvituste tõsidust ja tagajärgi.</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Nende menetluste rakendamise korral nähakse ette, et punkti 8 alapunktides a ja b osutatud meetmed on oma laadilt proportsionaalsed kõnealuse teo tõsidusega ning peatamise korral tuleb need välja kuulutada mõistliku aja jooksul.</w:t>
      </w:r>
      <w:r>
        <w:rPr>
          <w:sz w:val="21"/>
          <w:rFonts w:ascii="Times-Roman" w:hAnsi="Times-Roman"/>
        </w:rPr>
        <w:t xml:space="preserve"> </w:t>
      </w:r>
      <w:r>
        <w:rPr>
          <w:sz w:val="21"/>
          <w:rFonts w:ascii="Times-Roman" w:hAnsi="Times-Roman"/>
        </w:rPr>
        <w:t xml:space="preserve">Kasutajale tuleb anda hoiatus ja teave olemasolevate siseriiklike ja õiguskaitsevahendite kohta;</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käesoleva artikli esimeses lõigus nimetatud operaatorid, kelle tegevus Prantsusmaa territooriumil ületab määrusega kindlaksmääratud ühenduste arvu ja on suuremad samas esimeses lõigus nimetatutest, peavad:</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kord aastas hindama oma teenuste toimimise ja kasutamisega seotud süsteemseid riske seoses esimeses lõigus osutatud veebisisu levitamisega ning põhiõiguste, sealhulgas sõnavabaduse rikkumisega.</w:t>
      </w:r>
      <w:r>
        <w:rPr>
          <w:sz w:val="21"/>
          <w:rFonts w:ascii="Times-Roman" w:hAnsi="Times-Roman"/>
        </w:rPr>
        <w:t xml:space="preserve"> </w:t>
      </w:r>
      <w:r>
        <w:rPr>
          <w:sz w:val="21"/>
          <w:rFonts w:ascii="Times-Roman" w:hAnsi="Times-Roman"/>
        </w:rPr>
        <w:t xml:space="preserve">Hindamisel tuleb võtta arvesse kõnealuste teenuste omadusi, eelkõige nende mõju eespool nimetatud veebisisu levikule või massilisele levikule;</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rakendama mõistlikke, tõhusaid ja proportsionaalseid meetmeid, eelkõige seoses teenuste omadustega ning punkti 9 alapunktis a osutatud hindamise lõpus kindlaks tehtud riskide ulatuse ja tõsidusega, et leevendada sellise veebisisu levitamisega seotud riske, mis võivad eelkõige olla seotud menetluste ning inim- ja tehnoloogiliste vahenditega, mida kasutatakse sellise veebisisu avastamiseks, tuvastamiseks ja käsitlemiseks, vältides samas põhjendamatu kõrvaldamise ohtu vastavalt kohaldatavale õigusele ja nende kasutustingimustele;</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teatama üldsusele kooskõlas audiovisuaalvaldkonna kõrge nõukogu kehtestatud menetluste ja ajavahemikega kõnealuste süsteemsete riskide hindamisest ja rakendatud riskide vähendamise meetmetest;</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esimeses lõigus nimetatud operaatorid peavad andma eespool nimetatud 30. septembri 1986. aasta seaduse nr 86-1067 artiklis 62 sätestatud tingimustel aru käesoleva artikli kohaldamisel kasutatavatest menetlustest ja vahenditest audiovisuaalvaldkonna kõrgele nõukogule.</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30. septembri 1986. aasta kommunikatsioonivabadust käsitlevat seadust nr 86-1067 muudetakse järgmiselt.</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artikli 19 I osa lõike 1 kolmandas lõigus asendatakse sõnad:</w:t>
      </w:r>
      <w:r>
        <w:rPr>
          <w:sz w:val="21"/>
          <w:rFonts w:ascii="Times-Roman" w:hAnsi="Times-Roman"/>
        </w:rPr>
        <w:t xml:space="preserve"> </w:t>
      </w:r>
      <w:r>
        <w:rPr>
          <w:sz w:val="21"/>
          <w:rFonts w:ascii="Times-Roman" w:hAnsi="Times-Roman"/>
        </w:rPr>
        <w:t xml:space="preserve">„ja videojagamisplatvormid“ sõnadega:</w:t>
      </w:r>
      <w:r>
        <w:rPr>
          <w:sz w:val="21"/>
          <w:rFonts w:ascii="Times-Roman" w:hAnsi="Times-Roman"/>
        </w:rPr>
        <w:t xml:space="preserve"> </w:t>
      </w:r>
      <w:r>
        <w:rPr>
          <w:sz w:val="21"/>
          <w:rFonts w:ascii="Times-Roman" w:hAnsi="Times-Roman"/>
        </w:rPr>
        <w:t xml:space="preserve">„videojagamisplatvormid ja artiklis 62 osutatud veebiplatvormide operaatorid“;</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artikli 42-7 esimeses lõigus asendatakse viide:</w:t>
      </w:r>
      <w:r>
        <w:rPr>
          <w:sz w:val="21"/>
          <w:rFonts w:ascii="Times-Roman" w:hAnsi="Times-Roman"/>
        </w:rPr>
        <w:t xml:space="preserve"> </w:t>
      </w:r>
      <w:r>
        <w:rPr>
          <w:sz w:val="21"/>
          <w:rFonts w:ascii="Times-Roman" w:hAnsi="Times-Roman"/>
        </w:rPr>
        <w:t xml:space="preserve">„ja 48-3“ viidetega:</w:t>
      </w:r>
      <w:r>
        <w:rPr>
          <w:sz w:val="21"/>
          <w:rFonts w:ascii="Times-Roman" w:hAnsi="Times-Roman"/>
        </w:rPr>
        <w:t xml:space="preserve"> </w:t>
      </w:r>
      <w:r>
        <w:rPr>
          <w:sz w:val="21"/>
          <w:rFonts w:ascii="Times-Roman" w:hAnsi="Times-Roman"/>
        </w:rPr>
        <w:t xml:space="preserve">„, 48-3 ja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IV jaotist täiendatakse III peatükiga, mille sisu on järgmine:</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III PEATÜKK</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Vaenu õhutava sisu vastu võitlemiseks kasutatavate veebiplatvormide suhtes kohaldatavad sätted</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Artikkel 62</w:t>
      </w:r>
      <w:r>
        <w:rPr>
          <w:sz w:val="21"/>
          <w:i/>
          <w:rFonts w:ascii="Times-Italic" w:hAnsi="Times-Italic"/>
        </w:rPr>
        <w:t xml:space="preserve"> </w:t>
      </w:r>
      <w:r>
        <w:rPr>
          <w:sz w:val="21"/>
          <w:rFonts w:ascii="Times-Roman" w:hAnsi="Times-Roman"/>
        </w:rPr>
        <w:t xml:space="preserve">– I. – Audiovisuaalvaldkonna kõrge nõukogu peab tagama, et 21. juuni 2004. aasta seaduse nr 2004-575 (usalduse kohta digitaalmajanduse vastu) artikli 6-5 esimeses lõigus osutatud veebiplatvormide operaatorid peavad järgima sama artikli 6-5 sätteid, võttes arvesse kõigi nende pakutavate teenuste puhul teenuse omadusi ja operaatori poolt kasutatavate vahendite piisavust eelkõige seoses selle artikli 6-5 kohase sisu levitamisega seotud riskide ulatuse ja raskusega.</w:t>
      </w:r>
      <w:r>
        <w:rPr>
          <w:sz w:val="21"/>
          <w:rFonts w:ascii="Times-Roman" w:hAnsi="Times-Roman"/>
        </w:rPr>
        <w:t xml:space="preserve"> </w:t>
      </w:r>
      <w:r>
        <w:rPr>
          <w:sz w:val="21"/>
          <w:rFonts w:ascii="Times-Roman" w:hAnsi="Times-Roman"/>
        </w:rPr>
        <w:t xml:space="preserve">Ta peab andma kõnealustele platvormi operaatoritele suunised sama artikli 6-5 kohaldamiseks.</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Ta peab koguma neilt operaatoritelt käesoleva seaduse artiklis 19 sätestatud tingimustel teavet, mis on vajalik nende kohustuste jälgimiseks.</w:t>
      </w:r>
      <w:r>
        <w:rPr>
          <w:sz w:val="21"/>
          <w:rFonts w:ascii="Times-Roman" w:hAnsi="Times-Roman"/>
        </w:rPr>
        <w:t xml:space="preserve"> </w:t>
      </w:r>
      <w:r>
        <w:rPr>
          <w:sz w:val="21"/>
          <w:rFonts w:ascii="Times-Roman" w:hAnsi="Times-Roman"/>
        </w:rPr>
        <w:t xml:space="preserve">21. juuni 2004. aasta seaduse nr 2004-575 artikli 6-5 punktis 9 nimetatud operaatorid võimaldavad juurdepääsu nimetatud kohustuste täitmiseks kasutatavate automatiseeritud vahendite kasutamise põhimõtetele, nende vahendite kasutatavatele parameetritele, nende tulemuslikkuse hindamiseks ja parandamiseks kasutatavatele meetoditele ja andmetele ning mis tahes muule teabele või andmetele, mis võimaldavad neil hinnata nende tõhusust vastavalt isikuandmete kaitset käsitlevatele sätetele.</w:t>
      </w:r>
      <w:r>
        <w:rPr>
          <w:sz w:val="21"/>
          <w:rFonts w:ascii="Times-Roman" w:hAnsi="Times-Roman"/>
        </w:rPr>
        <w:t xml:space="preserve"> </w:t>
      </w:r>
      <w:r>
        <w:rPr>
          <w:sz w:val="21"/>
          <w:rFonts w:ascii="Times-Roman" w:hAnsi="Times-Roman"/>
        </w:rPr>
        <w:t xml:space="preserve">Kooskõlas nimetatud sätetega võib audiovisuaalvaldkonna kõrge nõukogu saata proportsionaalseid taotlusi juurdepääsu saamiseks spetsiaalsete programmeerimisliideste kaudu mis tahes andmete kohta, mis on olulised nende tõhususe hindamiseks.</w:t>
      </w:r>
      <w:r>
        <w:rPr>
          <w:sz w:val="21"/>
          <w:rFonts w:ascii="Times-Roman" w:hAnsi="Times-Roman"/>
        </w:rPr>
        <w:t xml:space="preserve"> </w:t>
      </w:r>
      <w:r>
        <w:rPr>
          <w:sz w:val="21"/>
          <w:rFonts w:ascii="Times-Roman" w:hAnsi="Times-Roman"/>
        </w:rPr>
        <w:t xml:space="preserve">Kooskõlas nimetatud sätetega ja samadel eesmärkidel võib audiovisuaalvaldkonna kõrge nõukogu rakendada proportsionaalseid meetodeid üldsusele kättesaadavate andmete automaatseks kogumiseks, et saada juurdepääs vajalikele andmetele.</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Selles määratletakse teave ja kvantifitseeritud näitajad, mida kõnealused operaatorid peavad avaldama vastavalt artikli 6-5 punktile 4, samuti selle avaldamise kord ja sagedus.</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Komisjon peab igal aastal avaldama ülevaate artikli 6-5 sätete kohaldamisest.</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Audiovisuaalvaldkonna kõrge nõukogu võib kutsuda operaatoreid üles täitma märgukirja esitamisega ja oma kehtestatud tähtaja jooksul eespool nimetatud 21. juuni 2004. aasta seaduse nr 2004-575 artikli 6-5 sätteid.</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Kui operaator ei järgi saadud teadet, võib kõrge audiovisuaalvaldkonna nõukogu määrata käesoleva seaduse artiklis 42-7 sätestatud tingimustel trahvi, mille suurus võtab arvesse rikkumise tõsidust ja vajaduse korral selle korduvat olemust, mis ei ületa 20 miljonit eurot või 6% eelmise aasta kogukäibest, olenevalt sellest, kumb on suurem.</w:t>
      </w:r>
      <w:r>
        <w:rPr>
          <w:sz w:val="21"/>
          <w:rFonts w:ascii="Times-Roman" w:hAnsi="Times-Roman"/>
        </w:rPr>
        <w:t xml:space="preserve"> </w:t>
      </w:r>
      <w:r>
        <w:rPr>
          <w:sz w:val="21"/>
          <w:rFonts w:ascii="Times-Roman" w:hAnsi="Times-Roman"/>
        </w:rPr>
        <w:t xml:space="preserve">Kui sama rikkumise suhtes on teises riigis kohaldatud samal alusel arvutatud rahatrahv, võetakse käesoleva lõike alusel määratud karistuse määramisel arvesse kõnealuse karistuse suurus.</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Erandina käesoleva II jaotise teisest lõigust ei tohi määratud karistuse summa ületada 1% eelmise majandusaasta ülemaailmsest kogukäibest, kui keeldutakse avaldamast teavet, mida reguleeriv asutus nõuab I jaotise teise lõigu alusel, või kui edastatakse ebaõiget või eksitavat teavet.</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Audiovisuaalvaldkonna kõrge nõukogu võib tehtud teated ja sanktsioonid avalikustada.</w:t>
      </w:r>
      <w:r>
        <w:rPr>
          <w:sz w:val="21"/>
          <w:rFonts w:ascii="Times-Roman" w:hAnsi="Times-Roman"/>
        </w:rPr>
        <w:t xml:space="preserve"> </w:t>
      </w:r>
      <w:r>
        <w:rPr>
          <w:sz w:val="21"/>
          <w:rFonts w:ascii="Times-Roman" w:hAnsi="Times-Roman"/>
        </w:rPr>
        <w:t xml:space="preserve">Ta peab oma otsuses määrama kindlaks sellise avaldamise üksikasjad, mis on proportsionaalsed rikkumise tõsidusega.</w:t>
      </w:r>
      <w:r>
        <w:rPr>
          <w:sz w:val="21"/>
          <w:rFonts w:ascii="Times-Roman" w:hAnsi="Times-Roman"/>
        </w:rPr>
        <w:t xml:space="preserve"> </w:t>
      </w:r>
      <w:r>
        <w:rPr>
          <w:sz w:val="21"/>
          <w:rFonts w:ascii="Times-Roman" w:hAnsi="Times-Roman"/>
        </w:rPr>
        <w:t xml:space="preserve">Samuti võib ta anda korralduse lisada oma otsus määratud väljaannetesse, ajalehtedesse ja meediasse nende operaatorite kulul, kelle suhtes kohaldatakse märgukirja või sanktsiooni.</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Trahve nõutakse sisse riigile tasumisele kuuluvate võlgade mittemaksuliste ja mittevaraliste võlgadena.</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pärast sõna</w:t>
      </w:r>
      <w:r>
        <w:rPr>
          <w:sz w:val="21"/>
          <w:rFonts w:ascii="Times-Roman" w:hAnsi="Times-Roman"/>
        </w:rPr>
        <w:t xml:space="preserve"> </w:t>
      </w:r>
      <w:r>
        <w:rPr>
          <w:sz w:val="21"/>
          <w:rFonts w:ascii="Times-Roman" w:hAnsi="Times-Roman"/>
        </w:rPr>
        <w:t xml:space="preserve">„tuleneb“ sõnastatakse artikli 108 esimese lõigu lõpp on järgmiselt:</w:t>
      </w:r>
      <w:r>
        <w:rPr>
          <w:sz w:val="21"/>
          <w:rFonts w:ascii="Times-Roman" w:hAnsi="Times-Roman"/>
        </w:rPr>
        <w:t xml:space="preserve"> </w:t>
      </w:r>
      <w:r>
        <w:rPr>
          <w:sz w:val="21"/>
          <w:rFonts w:ascii="Times-Roman" w:hAnsi="Times-Roman"/>
        </w:rPr>
        <w:t xml:space="preserve">„[kuupäev] seadusest nr     vabariigi põhimõtete järgimise tugevdamise kohta.“</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Käesoleva artikli sätteid kohaldatakse kuni 31. detsembrini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