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4AD1" w14:textId="77777777" w:rsidR="00694BF3" w:rsidRDefault="00694BF3" w:rsidP="00F54ECB">
      <w:pPr>
        <w:jc w:val="both"/>
      </w:pPr>
    </w:p>
    <w:p w14:paraId="3A200FF0" w14:textId="77777777" w:rsidR="009C128D" w:rsidRDefault="009C128D" w:rsidP="00F54ECB">
      <w:pPr>
        <w:jc w:val="both"/>
      </w:pPr>
    </w:p>
    <w:p w14:paraId="7B10461F" w14:textId="77777777" w:rsidR="009C128D" w:rsidRDefault="009C128D" w:rsidP="00F54ECB">
      <w:pPr>
        <w:jc w:val="both"/>
        <w:rPr>
          <w:color w:val="000000"/>
          <w:rFonts w:ascii="Arial" w:hAnsi="Arial" w:cs="Arial"/>
        </w:rPr>
      </w:pPr>
      <w:r>
        <w:rPr>
          <w:color w:val="000000"/>
          <w:rFonts w:ascii="Arial" w:hAnsi="Arial"/>
        </w:rPr>
        <w:t xml:space="preserve">Projekt ustawy wzmacniającej zgodność z zasadami Republiki</w:t>
      </w:r>
    </w:p>
    <w:p w14:paraId="3A5F0E98" w14:textId="77777777"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14:paraId="6BBFB675" w14:textId="77777777"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14:paraId="34C78D28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1"/>
          <w:szCs w:val="21"/>
          <w:rFonts w:ascii="Times-Bold" w:hAnsi="Times-Bold" w:cs="Times-Bold"/>
        </w:rPr>
      </w:pPr>
      <w:r>
        <w:rPr>
          <w:b/>
          <w:sz w:val="21"/>
          <w:rFonts w:ascii="Times-Bold" w:hAnsi="Times-Bold"/>
        </w:rPr>
        <w:t xml:space="preserve">Artykuł 19</w:t>
      </w:r>
    </w:p>
    <w:p w14:paraId="667F0BAC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2EFC503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 tytule I rozdział II ustawy nr 2004-575 z dnia 21 czerwca 2004 r. o zaufaniu do gospodarki cyfrowej wprowadza się następujące zmiany:</w:t>
      </w:r>
    </w:p>
    <w:p w14:paraId="3365E3C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6DFFB0B" w14:textId="77777777" w:rsidR="001048BC" w:rsidRDefault="0001397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Na początku art. 6 ust. I pkt 8 wyrazy: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„Organ sądowy może nakazać, w postępowaniu uproszczonym lub na wniosek, każdej osobie wymienionej w art. 2 lub, w przeciwnym razie, każdej osobie wymienionej w art. 1” otrzymuje brzmienie: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„Prezes sądu, orzekając zgodnie z procedurą przyspieszoną co do istoty sprawy, może nakazać każdej osobie, która może przyczynić się do postępowania”;</w:t>
      </w:r>
      <w:r>
        <w:rPr>
          <w:sz w:val="21"/>
          <w:rFonts w:ascii="Times-Roman" w:hAnsi="Times-Roman"/>
        </w:rPr>
        <w:t xml:space="preserve"> </w:t>
      </w:r>
    </w:p>
    <w:p w14:paraId="39AEC637" w14:textId="77777777" w:rsidR="00742738" w:rsidRDefault="00742738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0F6F112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Po art. 6-2 w brzmieniu wynikającym z ustawy nr 2020-1266 z dnia 19 października 2020 r. mającej na celu uregulowanie kwestii komercyjnego wykorzystywania wizerunku dzieci poniżej szesnastego roku życia na platformach internetowych dodaje się art. 6-3 i 6-4 w brzmieniu:</w:t>
      </w:r>
    </w:p>
    <w:p w14:paraId="1C8ADEC9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691950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„Artykuł 6-4.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— W przypadku gdy prawomocnym orzeczeniem sądu zasądzono środek uniemożliwiający dostęp do usługi publicznego udostępniania online, której treść wyczerpuje znamiona wykroczeń wymienionych w art. 6 ust. I pkt 7, organ administracyjny, na żądanie zainteresowanej osoby, może zwrócić się do każdej osoby mogącej uczestniczyć w świadczeniu takiej usługi, o uniemożliwienie całkowicie lub w znacznej części dostępu do publicznych usług łączności online obejmujących treści zawarte na stronie, na okres nieprzekraczający okresu pozostałego do zastosowania środków nałożonych orzeczeniem sądowym.</w:t>
      </w:r>
    </w:p>
    <w:p w14:paraId="6A0FAC09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647C01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Na tych samych warunkach organ administracyjny może również zwrócić się do każdego operatora wyszukiwarki, katalogu lub innej usługi referencyjnej o zaprzestanie umieszczania odnośników do adresów internetowych umożliwiających publiczny dostęp do takich usług komunikacji online.</w:t>
      </w:r>
    </w:p>
    <w:p w14:paraId="39A0A984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393F64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Organ administracyjny aktualizuje wykaz usług łączności online, o których mowa w ustępie pierwszym niniejszego artykułu, będących przedmiotem wniosku o zablokowanie dostępu zgodnie z tym samym ustępem pierwszym, jak również adresów internetowych udostępniających takie usługi, oraz udostępnia ten wykaz reklamodawcom, ich przedstawicielom i służbom, o których mowa w art. 299 ust. II akapit 2 KP.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Usługi te zostają włączone do tego wykazu na pozostały okres obowiązywania środków zarządzonych przez organ sądowy.</w:t>
      </w:r>
    </w:p>
    <w:p w14:paraId="3E5D07DF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203C15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 przypadku gdy takie usługi nie zostały zablokowane lub wstrzymane zgodnie z niniejszym artykułem, prezes sądu, orzekając zgodnie z procedurą przyspieszoną co do istoty sprawy, może zarządzić każdy środek mający na celu zakończenie dostępu do treści tych usług”.</w:t>
      </w:r>
      <w:r>
        <w:rPr>
          <w:sz w:val="21"/>
          <w:rFonts w:ascii="Times-Roman" w:hAnsi="Times-Roman"/>
        </w:rPr>
        <w:t xml:space="preserve"> </w:t>
      </w:r>
    </w:p>
    <w:p w14:paraId="351C08F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0F90724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337BD38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1"/>
          <w:szCs w:val="21"/>
          <w:rFonts w:ascii="Times-BoldItalic" w:hAnsi="Times-BoldItalic" w:cs="Times-BoldItalic"/>
        </w:rPr>
      </w:pPr>
      <w:r>
        <w:rPr>
          <w:b/>
          <w:sz w:val="21"/>
          <w:rFonts w:ascii="Times-Bold" w:hAnsi="Times-Bold"/>
        </w:rPr>
        <w:t xml:space="preserve">Artykuł 19</w:t>
      </w:r>
      <w:r>
        <w:rPr>
          <w:b/>
          <w:sz w:val="21"/>
          <w:i/>
          <w:rFonts w:ascii="Times-BoldItalic" w:hAnsi="Times-BoldItalic"/>
        </w:rPr>
        <w:t xml:space="preserve">a (nowy)</w:t>
      </w:r>
    </w:p>
    <w:p w14:paraId="306E8017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A34C5FA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I. – W tytule I rozdział II ustawy nr 2004-575 z dnia 21 czerwca 2004 r. o zaufaniu do gospodarki cyfrowej wprowadza się następujące zmiany:</w:t>
      </w:r>
    </w:p>
    <w:p w14:paraId="759BD69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683753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art. 6 ust. I pkt 7 ppkt 4 wprowadza się następujące zmiany:</w:t>
      </w:r>
    </w:p>
    <w:p w14:paraId="2C3447E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6CB70DB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a)</w:t>
      </w:r>
      <w:r>
        <w:rPr>
          <w:sz w:val="21"/>
        </w:rPr>
        <w:t xml:space="preserve"> </w:t>
      </w:r>
      <w:r>
        <w:rPr>
          <w:sz w:val="21"/>
          <w:rFonts w:ascii="Times-Roman" w:hAnsi="Times-Roman"/>
        </w:rPr>
        <w:t xml:space="preserve">zdanie pierwsze uzupełnia się słowami: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„i podać do wiadomości publicznej środki przeznaczone na walkę z nielegalną działalnością, o której mowa w trzecim akapicie pkt. 7”;</w:t>
      </w:r>
    </w:p>
    <w:p w14:paraId="4595B9B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1C0256C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b)</w:t>
      </w:r>
      <w:r>
        <w:rPr>
          <w:sz w:val="21"/>
        </w:rPr>
        <w:t xml:space="preserve"> </w:t>
      </w:r>
      <w:r>
        <w:rPr>
          <w:sz w:val="21"/>
          <w:rFonts w:ascii="Times-Roman" w:hAnsi="Times-Roman"/>
        </w:rPr>
        <w:t xml:space="preserve">po tym samym zdaniu pierwszym dodaje się zdanie w brzmieniu: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„Obowiązki te nie mają zastosowania do podmiotów, o których mowa w art. 6-5 akapit pierwszy, w celu zwalczania rozpowszechniania treści, o których mowa w tym samym akapicie pierwszym.”;</w:t>
      </w:r>
      <w:r>
        <w:rPr>
          <w:sz w:val="21"/>
          <w:rFonts w:ascii="Times-Roman" w:hAnsi="Times-Roman"/>
        </w:rPr>
        <w:t xml:space="preserve"> </w:t>
      </w:r>
    </w:p>
    <w:p w14:paraId="20C709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EC70F9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c)</w:t>
      </w:r>
      <w:r>
        <w:rPr>
          <w:sz w:val="21"/>
        </w:rPr>
        <w:t xml:space="preserve"> W drugim zdaniu wprowadza się następujące zmiany:</w:t>
      </w:r>
    </w:p>
    <w:p w14:paraId="05AED14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E9E6E9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na początku wyraz: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„Oni” zastępuje się wyrazami: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„Osoby, o których mowa w pkt 1 i 2”;</w:t>
      </w:r>
    </w:p>
    <w:p w14:paraId="3F04CD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64F67E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–</w:t>
      </w:r>
      <w:r>
        <w:rPr>
          <w:sz w:val="21"/>
        </w:rPr>
        <w:t xml:space="preserve"> skreśla się wyrazy: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„z jednej strony”;</w:t>
      </w:r>
    </w:p>
    <w:p w14:paraId="1F50F6A9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01375A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wyrazy: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„z poprzedniego akapitu” zastępuje się wyrazami: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„w tym samym akapicie trzecim”;</w:t>
      </w:r>
    </w:p>
    <w:p w14:paraId="059573B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1850A7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po wyrazie: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„usługi”, skreśla się pozostałą część zdania;</w:t>
      </w:r>
    </w:p>
    <w:p w14:paraId="77EFA707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FE7B4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Po art. 6-2 w brzmieniu wynikającym z ww. ustawy nr 2020-1266 z dnia 19 października 2020 r. dodaje się art. 6-5 w brzmieniu:</w:t>
      </w:r>
    </w:p>
    <w:p w14:paraId="3710D11A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B32B31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„Artykuł 6-5.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– Operatorzy platform internetowych określonych w art. L111-7 kodeksu konsumenta, którzy oferują publicznie usługę komunikacyjną online opartą na klasyfikacji, odsyłaniu lub udostępnianiu treści umieszczonych w internecie przez osoby trzecie, których działalność na terytorium Francji przekracza próg liczby połączeń określonej w dekrecie, niezależnie od tego, czy mają siedzibę na terytorium Francji, przyczyniają się do zwalczania publicznego rozpowszechniania treści sprzecznych z przepisami art. 6 ust. I pkt 7 ppkt 3 niniejszej ustawy oraz art. 24</w:t>
      </w:r>
      <w:r>
        <w:rPr>
          <w:sz w:val="21"/>
          <w:i/>
          <w:iCs/>
        </w:rPr>
        <w:t xml:space="preserve">a</w:t>
      </w:r>
      <w:r>
        <w:rPr>
          <w:sz w:val="21"/>
          <w:rFonts w:ascii="Times-Roman" w:hAnsi="Times-Roman"/>
        </w:rPr>
        <w:t xml:space="preserve"> oraz art. 33 akapity trzeci i czwarty ustawy z dnia 29 lipca 1881 r. o wolności prasy.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związku z tym:</w:t>
      </w:r>
    </w:p>
    <w:p w14:paraId="030DD26D" w14:textId="77777777" w:rsidR="00F54ECB" w:rsidRDefault="00F54ECB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444E5B3E" w14:textId="77777777" w:rsidR="00317039" w:rsidRDefault="00317039" w:rsidP="00196BE6">
      <w:pPr>
        <w:spacing w:after="0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Wdrażają odpowiednie procedury oraz zasoby ludzkie i technologiczne, które umożliwią im:</w:t>
      </w:r>
    </w:p>
    <w:p w14:paraId="0D0F237C" w14:textId="77777777" w:rsidR="001048BC" w:rsidRDefault="001048BC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18D0FAE1" w14:textId="77777777" w:rsidR="00317039" w:rsidRPr="004E021A" w:rsidRDefault="001048BC" w:rsidP="00196BE6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Roman" w:hAnsi="Times-Roman"/>
        </w:rPr>
        <w:t xml:space="preserve">a)</w:t>
      </w:r>
      <w:r>
        <w:rPr>
          <w:sz w:val="21"/>
          <w:rFonts w:ascii="Times-Roman" w:hAnsi="Times-Roman"/>
        </w:rPr>
        <w:t xml:space="preserve"> jak najszybsze poinformowanie organów sądowych lub administracyjnych o działaniach podjętych w wyniku nakazów wydanych przez te organy dotyczących treści, o których mowa w pierwszym akapicie niniejszego artykułu;</w:t>
      </w:r>
    </w:p>
    <w:p w14:paraId="2435515F" w14:textId="77777777" w:rsidR="004E021A" w:rsidRPr="004E021A" w:rsidRDefault="004E021A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2C7F75D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iCs/>
        </w:rPr>
        <w:t xml:space="preserve">b)</w:t>
      </w:r>
      <w:r>
        <w:rPr>
          <w:sz w:val="21"/>
        </w:rPr>
        <w:t xml:space="preserve"> </w:t>
      </w:r>
      <w:r>
        <w:rPr>
          <w:sz w:val="21"/>
          <w:rFonts w:ascii="Times-Roman" w:hAnsi="Times-Roman"/>
        </w:rPr>
        <w:t xml:space="preserve">niezwłoczne potwierdzenie bezpiecznego otrzymania wniosków od organów sądowych lub administracyjnych o przekazanie danych, którymi dysponują, w celu umożliwienia identyfikacji użytkowników, którzy udostępnili treści, o których mowa w tym samym akapicie pierwszym, oraz jak najszybsze poinformowanie tych organów o działaniach podjętych w następstwie takich wniosków</w:t>
      </w:r>
      <w:r>
        <w:rPr>
          <w:sz w:val="21"/>
        </w:rPr>
        <w:t xml:space="preserve">;</w:t>
      </w:r>
    </w:p>
    <w:p w14:paraId="30D97CA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28FAC3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c) </w:t>
      </w:r>
      <w:r>
        <w:rPr>
          <w:sz w:val="21"/>
          <w:rFonts w:ascii="Times-Roman" w:hAnsi="Times-Roman"/>
        </w:rPr>
        <w:t xml:space="preserve">tymczasowe wstrzymanie treści, które zostały im zgłoszone jako sprzeczne z przepisami, o których mowa w akapicie pierwszym i które wycofały lub stały się niedostępne, w celu udostępnienia ich organom prawnym do celów dochodzenia, identyfikacji i ścigania przestępstw;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czas trwania i warunki zachowania tej treści określa się w drodze dekretu Rady Stanu, po uzyskaniu opinii</w:t>
      </w:r>
    </w:p>
    <w:p w14:paraId="7CCEB7D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Krajowej Komisji ds. Technologii Informatycznych i Wolności;</w:t>
      </w:r>
    </w:p>
    <w:p w14:paraId="217052C2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D239C3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Wyznaczają pojedynczy punkt kontaktowy – osobę fizyczną odpowiedzialną za komunikowanie się z władzami publicznymi w celu wykonania przepisów niniejszego artykułu, do której w szczególności można kierować wszelkie wnioski złożone przez Wysoka Radę Do Spraw Audiowizualnych zgodnie z art. 62 ustawy nr 86-1067 z dnia 30 września 1986 r. o swobodzie komunikacji drogą elektroniczną.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Ten pojedynczy punkt kontaktowy odpowiada w szczególności za przyjmowanie wniosków kierowanych do operatora przez organ sądowy zgodnie z procedurą określoną w art. 6 ust. II niniejszej ustawy, w celu zapewnienia ich szybkiego rozpatrzenia;</w:t>
      </w:r>
    </w:p>
    <w:p w14:paraId="0A2DC01B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82F8DA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3.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Udostępniają ogółowi społeczeństwa w przystępny sposób ogólne warunki korzystania z oferowanej przez siebie usługi;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zamieszczają w nich przepisy zakazujące publikowania w internecie treści, o których mowa w akapicie pierwszym niniejszego artykułu;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sposób jasny i precyzyjny opisują swoje rozwiązania z zakresu moderowania, które służą wykrywaniu oraz, w stosownych przypadkach, identyfikacji i przetwarzaniu takich treści, z wyszczególnieniem procedur i wykorzystywanych w tym celu zasobów ludzkich lub zautomatyzowanych rozwiązań, a wdrażane przez nie środki wpływają na dostępność, widoczność i możliwość dotarcia do takich treści;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wskazują środki stosowane wobec użytkowników, którzy udostępnili te treści w internecie, a także krajowe i prawne środki odwoławcze dostępne dla takich użytkowników;</w:t>
      </w:r>
    </w:p>
    <w:p w14:paraId="735ACC5C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D5ECD3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4.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Informują opinię publiczną o stosowanych środkach i działaniach przyjętych w celu zwalczania rozpowszechniania wśród użytkowników znajdujących się na terytorium Francji treści, o których mowa w akapicie pierwszym, poprzez publikację, zgodnie z procedurami i w odstępach czasu ustalonych przez Wysoką Radę ds. Audiowizualnych, informacji i wskaźników ilościowych, określonych przez te ostatnie, odnoszących się w szczególności do rozpatrywania nakazów lub wniosków o udzielenie informacji pochodzących od organów sądowych lub administracyjnych, otrzymanych powiadomień i wyboru środków odwoławczych, jak również, w stosownym przypadku, kryteriów wyboru zaufanych stron trzecich, których powiadomienia są traktowane priorytetowo, oraz warunków współpracy z tymi stronami trzecimi;</w:t>
      </w:r>
    </w:p>
    <w:p w14:paraId="38F2E708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995FF1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5.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Wprowadzają łatwo dostępną i łatwą w użyciu procedurę, która umożliwi każdej osobie zgłaszanie drogą elektroniczną, wszelkich treści uznanych za sprzeczne z przepisami wymienionymi w akapicie pierwszym, wyraźne określenie jej lokalizacji i powodów, dla których uważa się, że treści te powinny być uznane za niezgodne z prawem, oraz dostarczenie informacji umożliwiających kontakt i poinformowanie o karach grożących w przypadku nieprawidłowego powiadomienia;</w:t>
      </w:r>
    </w:p>
    <w:p w14:paraId="6A67DF62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DF19E2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6.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Wdrażają proporcjonalne ludzkie i technologiczne procedury i środki umożliwiające im:</w:t>
      </w:r>
    </w:p>
    <w:p w14:paraId="294BFE3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363DCC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‘</w:t>
      </w:r>
      <w:r>
        <w:rPr>
          <w:sz w:val="21"/>
          <w:i/>
          <w:rFonts w:ascii="Times-Italic" w:hAnsi="Times-Italic"/>
        </w:rPr>
        <w:t xml:space="preserve">a) </w:t>
      </w:r>
      <w:r>
        <w:rPr>
          <w:sz w:val="21"/>
          <w:rFonts w:ascii="Times-Roman" w:hAnsi="Times-Roman"/>
        </w:rPr>
        <w:t xml:space="preserve">niezwłoczne potwierdzenie bezpiecznego otrzymania powiadomień dotyczących treści, o których mowa w akapicie pierwszym, z zastrzeżeniem informacji niezbędnych do skontaktowania się z autorem;</w:t>
      </w:r>
    </w:p>
    <w:p w14:paraId="091A31AA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CEFF90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‘</w:t>
      </w:r>
      <w:r>
        <w:rPr>
          <w:sz w:val="21"/>
          <w:i/>
          <w:rFonts w:ascii="Times-Italic" w:hAnsi="Times-Italic"/>
        </w:rPr>
        <w:t xml:space="preserve">b) </w:t>
      </w:r>
      <w:r>
        <w:rPr>
          <w:sz w:val="21"/>
          <w:rFonts w:ascii="Times-Roman" w:hAnsi="Times-Roman"/>
        </w:rPr>
        <w:t xml:space="preserve">zapewnienie odpowiedniej analizy tych powiadomień w odpowiednim czasie;</w:t>
      </w:r>
    </w:p>
    <w:p w14:paraId="2D31A38A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45BB3B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'</w:t>
      </w:r>
      <w:r>
        <w:rPr>
          <w:sz w:val="21"/>
          <w:i/>
          <w:rFonts w:ascii="Times-Italic" w:hAnsi="Times-Italic"/>
        </w:rPr>
        <w:t xml:space="preserve">c) </w:t>
      </w:r>
      <w:r>
        <w:rPr>
          <w:sz w:val="21"/>
          <w:rFonts w:ascii="Times-Roman" w:hAnsi="Times-Roman"/>
        </w:rPr>
        <w:t xml:space="preserve">powiadomienie autora o podjętych działaniach oraz o dostępnych krajowych i prawnych środkach odwoławczych, z zastrzeżeniem posiadania niezbędnych informacji, aby się z nimi skontaktować;</w:t>
      </w:r>
    </w:p>
    <w:p w14:paraId="2D0AFB87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96047C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‘</w:t>
      </w:r>
      <w:r>
        <w:rPr>
          <w:sz w:val="21"/>
          <w:i/>
          <w:rFonts w:ascii="Times-Italic" w:hAnsi="Times-Italic"/>
        </w:rPr>
        <w:t xml:space="preserve">d) </w:t>
      </w:r>
      <w:r>
        <w:rPr>
          <w:sz w:val="21"/>
          <w:rFonts w:ascii="Times-Roman" w:hAnsi="Times-Roman"/>
        </w:rPr>
        <w:t xml:space="preserve">poinformowanie użytkownika o pochodzeniu publikacji, pod warunkiem posiadania niezbędnych informacji umożliwiających skontaktowanie się z nim, jeżeli zostanie podjęta decyzja o usunięciu treści lub uniemożliwieniu dostępu do nich ze względu na nieprzestrzeganie postanowień, o których mowa w akapicie pierwszym, przy czym należy:</w:t>
      </w:r>
    </w:p>
    <w:p w14:paraId="1DAE800D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A7335A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wskazać przyczyny takiej decyzji;</w:t>
      </w:r>
    </w:p>
    <w:p w14:paraId="40DD698F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927676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określić, czy decyzja ta została podjęta za pomocą zautomatyzowanego narzędzia;</w:t>
      </w:r>
    </w:p>
    <w:p w14:paraId="47B65C5E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A02515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poinformować o dostępnych krajowych środkach odwoławczych;</w:t>
      </w:r>
    </w:p>
    <w:p w14:paraId="05F79CF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74CD30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oraz poinformować, że za publikację treści niezgodnych z prawem grożą sankcje cywilne i karne;</w:t>
      </w:r>
    </w:p>
    <w:p w14:paraId="294932C0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82CBCD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7.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Wdrażają wewnętrzne środki zaradcze umożliwiające:</w:t>
      </w:r>
    </w:p>
    <w:p w14:paraId="6755CD8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1B9FE0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a) </w:t>
      </w:r>
      <w:r>
        <w:rPr>
          <w:sz w:val="21"/>
          <w:rFonts w:ascii="Times-Roman" w:hAnsi="Times-Roman"/>
        </w:rPr>
        <w:t xml:space="preserve"> zaskarżenie przez autora powiadomienia o treści, o której mowa w akapicie pierwszym, decyzji podjętej przez operatora w odpowiedzi na otrzymane powiadomienie;</w:t>
      </w:r>
    </w:p>
    <w:p w14:paraId="3752E11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1919F4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</w:rPr>
        <w:t xml:space="preserve">b) </w:t>
      </w:r>
      <w:r>
        <w:rPr>
          <w:sz w:val="21"/>
          <w:rFonts w:ascii="Times-Roman" w:hAnsi="Times-Roman"/>
        </w:rPr>
        <w:t xml:space="preserve">zaskarżenie decyzji przez użytkownika, który jest autorem opublikowanych treści będących przedmiotem decyzji, o której mowa w pkt 6 lit. d)</w:t>
      </w:r>
      <w:r>
        <w:rPr>
          <w:sz w:val="21"/>
        </w:rPr>
        <w:t xml:space="preserve">;</w:t>
      </w:r>
    </w:p>
    <w:p w14:paraId="4A970BB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A8CDBD" w14:textId="77777777" w:rsidR="00317039" w:rsidRPr="004E021A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1"/>
          <w:szCs w:val="21"/>
          <w:rFonts w:ascii="Times-Italic" w:hAnsi="Times-Italic" w:cs="Times-Italic"/>
        </w:rPr>
      </w:pPr>
      <w:r>
        <w:rPr>
          <w:sz w:val="21"/>
          <w:rFonts w:ascii="Times-Roman" w:hAnsi="Times-Roman"/>
        </w:rPr>
        <w:t xml:space="preserve">'</w:t>
      </w:r>
      <w:r>
        <w:rPr>
          <w:sz w:val="21"/>
          <w:i/>
          <w:rFonts w:ascii="Times-Italic" w:hAnsi="Times-Italic"/>
        </w:rPr>
        <w:t xml:space="preserve">c) </w:t>
      </w:r>
      <w:r>
        <w:rPr>
          <w:sz w:val="21"/>
          <w:rFonts w:ascii="Times-Roman" w:hAnsi="Times-Roman"/>
        </w:rPr>
        <w:t xml:space="preserve">zaskarżenie decyzji przez użytkownika, którego dotyczy decyzja określona w 8</w:t>
      </w:r>
      <w:r>
        <w:rPr>
          <w:sz w:val="21"/>
          <w:i/>
          <w:rFonts w:ascii="Times-Italic" w:hAnsi="Times-Italic"/>
        </w:rPr>
        <w:t xml:space="preserve">a)</w:t>
      </w:r>
      <w:r>
        <w:rPr>
          <w:sz w:val="21"/>
          <w:rFonts w:ascii="Times-Roman" w:hAnsi="Times-Roman"/>
        </w:rPr>
        <w:t xml:space="preserve"> lub </w:t>
      </w:r>
      <w:r>
        <w:rPr>
          <w:sz w:val="21"/>
          <w:i/>
          <w:rFonts w:ascii="Times-Italic" w:hAnsi="Times-Italic"/>
        </w:rPr>
        <w:t xml:space="preserve">b)</w:t>
      </w:r>
      <w:r>
        <w:rPr>
          <w:sz w:val="21"/>
          <w:rFonts w:ascii="Times-Roman" w:hAnsi="Times-Roman"/>
        </w:rPr>
        <w:t xml:space="preserve">.</w:t>
      </w:r>
    </w:p>
    <w:p w14:paraId="29E98655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ED326F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Zapewniają, aby systemy te były łatwo dostępne i łatwe w użyciu oraz aby umożliwiały właściwe i szybkie rozpatrywanie odwołań, które nie opierają się wyłącznie na wykorzystaniu zautomatyzowanych środków, bezzwłoczne informując użytkownika o podjętej decyzji i niezwłocznie uchylając środki odnoszące się do danej treści lub użytkownika wdrożone przez operatora, jeżeli w wyniku odwołania uzna on, że zaskarżona decyzja nie była uzasadniona;</w:t>
      </w:r>
    </w:p>
    <w:p w14:paraId="058AEBDD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D8722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8.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Decydując się na wdrożenie takich procedur, określają w warunkach użytkowania, w sposób jasny i precyzyjny, procedury prowadzące do:</w:t>
      </w:r>
    </w:p>
    <w:p w14:paraId="044FD292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54DDD5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</w:rPr>
        <w:t xml:space="preserve">a) </w:t>
      </w:r>
      <w:r>
        <w:rPr>
          <w:sz w:val="21"/>
          <w:rFonts w:ascii="Times-Roman" w:hAnsi="Times-Roman"/>
        </w:rPr>
        <w:t xml:space="preserve">zawieszenia lub, w najpoważniejszych przypadkach, usunięcia kont użytkowników, którzy wielokrotnie zamieszczali treści niezgodne z przepisami, o których mowa w akapicie pierwszym niniejszego artykułu</w:t>
      </w:r>
      <w:r>
        <w:rPr>
          <w:sz w:val="21"/>
        </w:rPr>
        <w:t xml:space="preserve">;</w:t>
      </w:r>
    </w:p>
    <w:p w14:paraId="173041B2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155184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b) </w:t>
      </w:r>
      <w:r>
        <w:rPr>
          <w:sz w:val="21"/>
          <w:rFonts w:ascii="Times-Roman" w:hAnsi="Times-Roman"/>
        </w:rPr>
        <w:t xml:space="preserve">zawieszenia dostępu do mechanizmu powiadamiania użytkowników, którzy wielokrotnie składali oczywiście nieuzasadnione powiadomienia dotyczące treści, o których mowa w tym samym akapicie pierwszym</w:t>
      </w:r>
      <w:r>
        <w:rPr>
          <w:sz w:val="21"/>
        </w:rPr>
        <w:t xml:space="preserve">.</w:t>
      </w:r>
    </w:p>
    <w:p w14:paraId="2890B0F0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1E09E8F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 przypadku gdy takie procedury są wdrażane, przeprowadza się analizę poszczególnych przypadków mającą na celu obiektywną charakterystykę zachowania, o którym mowa w lit. </w:t>
      </w:r>
      <w:r>
        <w:rPr>
          <w:sz w:val="21"/>
          <w:i/>
          <w:rFonts w:ascii="Times-Italic" w:hAnsi="Times-Italic"/>
        </w:rPr>
        <w:t xml:space="preserve">a) </w:t>
      </w:r>
      <w:r>
        <w:rPr>
          <w:sz w:val="21"/>
          <w:rFonts w:ascii="Times-Roman" w:hAnsi="Times-Roman"/>
        </w:rPr>
        <w:t xml:space="preserve">lub </w:t>
      </w:r>
      <w:r>
        <w:rPr>
          <w:sz w:val="21"/>
          <w:i/>
          <w:rFonts w:ascii="Times-Italic" w:hAnsi="Times-Italic"/>
        </w:rPr>
        <w:t xml:space="preserve">b) pkt. 8</w:t>
      </w:r>
      <w:r>
        <w:rPr>
          <w:sz w:val="21"/>
          <w:rFonts w:ascii="Times-Roman" w:hAnsi="Times-Roman"/>
        </w:rPr>
        <w:t xml:space="preserve">, biorąc pod uwagę w szczególności</w:t>
      </w:r>
      <w:r>
        <w:rPr>
          <w:sz w:val="21"/>
        </w:rPr>
        <w:t xml:space="preserve">:</w:t>
      </w:r>
    </w:p>
    <w:p w14:paraId="312FB6B5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E8100A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ilość nielegalnych treści, o których mowa w akapicie pierwszym niniejszego artykułu, lub liczbę oczywiście nieuzasadnionych powiadomień pochodzących od użytkownika w ubiegłym roku, zarówno w wartościach bezwzględnych, jak i proporcjonalnie do całkowitej ilości treści lub liczby powiadomień, za które był on odpowiedzialny;</w:t>
      </w:r>
    </w:p>
    <w:p w14:paraId="06035B7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9D8B8A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– oraz powagę i konsekwencje tych nadużyć.</w:t>
      </w:r>
    </w:p>
    <w:p w14:paraId="1A31938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AF54AE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Procedury te przewidują, że środki, o których mowa w ust. 8 lit. a) i b), ze względu na ich charakter, są proporcjonalne do wagi danego postępowania oraz, w przypadku zawieszenia, że są one orzekane na rozsądny okres.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Użytkownik otrzymuje ostrzeżenie wraz z informacją na temat dostępnych krajowych i sądowych środków odwoławczych;</w:t>
      </w:r>
    </w:p>
    <w:p w14:paraId="2F46735B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CC426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9.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Operatorzy, o których mowa w akapicie pierwszym niniejszego artykułu, prowadzący działalność na terytorium Francji, którzy przekraczają limit liczby połączeń określony dekretem i które są wyższe niż wymienione w tym samym akapicie pierwszym mają obowiązek:</w:t>
      </w:r>
    </w:p>
    <w:p w14:paraId="4C12526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5F02CE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a) przeprowadzać raz w roku ocenę ryzyka systemowego związanego z funkcjonowaniem i korzystaniem z ich usług w odniesieniu do rozpowszechniania treści, o których mowa w akapicie pierwszym, oraz w odniesieniu do naruszeń praw podstawowych, w tym wolności wypowiedzi.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Ocena ta uwzględnia cechy charakterystyczne tych usług, w szczególności ich wpływ na wirusowe rozprzestrzenianie się lub masowe rozpowszechnianie wyżej wymienionych treści;</w:t>
      </w:r>
    </w:p>
    <w:p w14:paraId="19F6B06C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7DADC4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b) wdrażać racjonalne, skuteczne i proporcjonalne środki, w szczególności w odniesieniu do cech ich usług oraz skali i stopnia ryzyka zidentyfikowanego na końcu oceny, o której mowa w pkt 9 lit. a), mające na celu złagodzenie ryzyka rozpowszechniania takich treści, które może w szczególności odnosić się do procedur oraz zasobów ludzkich i technologicznych wykorzystywanych do wykrywania, identyfikowania i przetwarzania takich treści, przy jednoczesnym zapobieganiu ryzyku nieuzasadnionej eliminacji na mocy obowiązującego prawa i korzystania z tych usług;</w:t>
      </w:r>
    </w:p>
    <w:p w14:paraId="1242513D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5334DC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c) podawać do publicznej wiadomości, zgodnie z procedurami i w odstępach czasu ustalonych przez Wysoką Radę do Spraw Audiowizualnych, ocenę tych zagrożeń systemowych oraz wdrożonych środków ograniczających ryzyko;</w:t>
      </w:r>
    </w:p>
    <w:p w14:paraId="6C3BA31B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6ED3E8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10.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Podmioty, o których mowa w akapicie pierwszym, składają Wysokiej Radzie ds. Audiowizualnych sprawozdania dotyczące procedur i środków stosowanych w celu wdrożenia niniejszego artykułu, na warunkach określonych w art. 62 ustawy nr 86-1067 z dnia 30 września 1986 r., o której mowa powyżej.</w:t>
      </w:r>
      <w:r>
        <w:rPr>
          <w:sz w:val="21"/>
          <w:rFonts w:ascii="Times-Roman" w:hAnsi="Times-Roman"/>
        </w:rPr>
        <w:t xml:space="preserve"> </w:t>
      </w:r>
    </w:p>
    <w:p w14:paraId="1684239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6566FA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W ustawie nr 86-1067 z dnia 30 września 1986 r. o wolności komunikacji społecznej wprowadza się następujące zmiany:</w:t>
      </w:r>
    </w:p>
    <w:p w14:paraId="1D06806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D780F3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art. 19 ust. I pkt 1 akapit trzeci wyrazy: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„a także platformy udostępniania plików wideo” zastępuje się wyrazami: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„platformy udostępniania plików wideo, jak również operatorzy platform internetowych, o których mowa w art. 62”;</w:t>
      </w:r>
    </w:p>
    <w:p w14:paraId="21EC5BC4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3893D2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art. 42-7 w akapicie pierwszym odniesienie: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„i 48-3” zastępuje się odniesieniami: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„, 48-3 i 62”;</w:t>
      </w:r>
    </w:p>
    <w:p w14:paraId="42FCD26C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821425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3.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Tytuł IV uzupełnia się rozdziałem III, który otrzymuje brzmienie:</w:t>
      </w:r>
    </w:p>
    <w:p w14:paraId="2EFBCE6A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D2A904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1"/>
          <w:szCs w:val="21"/>
          <w:rFonts w:ascii="Times-Italic" w:hAnsi="Times-Italic" w:cs="Times-Italic"/>
        </w:rPr>
      </w:pPr>
      <w:r>
        <w:rPr>
          <w:i/>
          <w:rFonts w:ascii="Times-Italic" w:hAnsi="Times-Italic"/>
        </w:rPr>
        <w:t xml:space="preserve">„ROZDZIAŁ III</w:t>
      </w:r>
    </w:p>
    <w:p w14:paraId="34ECB5A0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780094D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1"/>
          <w:szCs w:val="21"/>
          <w:rFonts w:ascii="Times-BoldItalic" w:hAnsi="Times-BoldItalic" w:cs="Times-BoldItalic"/>
        </w:rPr>
      </w:pPr>
      <w:r>
        <w:rPr>
          <w:b/>
          <w:i/>
          <w:sz w:val="21"/>
          <w:rFonts w:ascii="Times-BoldItalic" w:hAnsi="Times-BoldItalic"/>
        </w:rPr>
        <w:t xml:space="preserve">Przepisy mające zastosowanie do platform internetowych w celu zwalczania treści nawołujących do nienawiści</w:t>
      </w:r>
    </w:p>
    <w:p w14:paraId="4959D9A9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7000A07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</w:rPr>
        <w:t xml:space="preserve">„</w:t>
      </w:r>
      <w:r>
        <w:rPr>
          <w:sz w:val="21"/>
          <w:i/>
        </w:rPr>
        <w:t xml:space="preserve">Art. 62.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- I. - Wysoka Rada do Spraw Audiowizualnych czuwa nad tym, by operatorzy platform internetowych, o których mowa w art. 6-5 w akapicie pierwszym ustawy nr 2004-575 z dnia 21 czerwca 2004 r. o zaufaniu społecznym do gospodarki cyfrowej, przestrzegali przepisów tegoż art. 6-5, uwzględniając w odniesieniu do każdej oferowanej przez nich usługi cechy charakterystyczne usługi i adekwatność środków stosowanych przez operatora w odniesieniu do, w szczególności, zakresu i stopnia ryzyka rozpowszechniania na niej treści, o których mowa w pierwszym akapicie artykułu 6-5, oraz ryzyka nieuzasadnionej eliminacji na mocy obowiązującego prawa i warunków użytkowania.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Dostarcza tym operatorom platform wytyczne dotyczące stosowania tego samego art. 6-5.</w:t>
      </w:r>
    </w:p>
    <w:p w14:paraId="778D7C04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9DB9E9E" w14:textId="77777777" w:rsidR="00317039" w:rsidRDefault="00317039" w:rsidP="00F02A14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Zbiera od takich podmiotów, na warunkach określonych w art. 19 niniejszej ustawy, informacje niezbędne do monitorowania ich zobowiązań.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związku z tym podmioty, o których mowa w art. 6-5 ust. 9 powyższej ustawy nr 2004-575 z dnia 21 czerwca 2004 r., zapewniają dostęp do zasad działania zautomatyzowanych narzędzi stosowanych w celu wypełnienia tych zobowiązań, do parametrów wykorzystywanych przez te narzędzia, do metod i danych wykorzystywanych do oceny i poprawy ich działania, a także do wszelkich innych informacji lub danych umożliwiających ocenę ich skuteczności, zgodnie z przepisami dotyczącymi ochrony danych osobowych.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Zgodnie z tymi przepisami Wysoka Rada ds. Audiowizualnych może przekazywać proporcjonalne wnioski o dostęp do wszelkich danych istotnych dla oceny ich skuteczności za pośrednictwem specjalnych interfejsów programowych.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Zgodnie z tymi przepisami i w tych samych celach Wysoka Rada ds. Audiowizualnych może wdrożyć proporcjonalne metody automatycznego gromadzenia publicznie dostępnych danych w celu uzyskania dostępu do niezbędnych danych.</w:t>
      </w:r>
    </w:p>
    <w:p w14:paraId="4960BBEF" w14:textId="77777777"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16A3EE" w14:textId="77777777" w:rsidR="006522CF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Określa informacje i wskaźniki ilościowe, które podmioty te mają obowiązek publikować zgodnie z art. 6-5 ust. 4, jak również zasady i częstotliwość takiej publikacji.</w:t>
      </w:r>
    </w:p>
    <w:p w14:paraId="429BAEB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98A605E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Publikuje corocznie przegląd stosowania przepisów art. 6-5.</w:t>
      </w:r>
    </w:p>
    <w:p w14:paraId="7C9FF7B2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EE6A0B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Wysoka Rada ds. Audiowizualnych może wezwać operatorów do przestrzegania przepisów art. 6-5 ustawy nr 2004-575 z dnia 21 czerwca 2004 r., o której mowa powyżej, poprzez złożenie formalnego zawiadomienia i w terminie przez nią wyznaczonym.</w:t>
      </w:r>
    </w:p>
    <w:p w14:paraId="1866DD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D4EFF02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 przypadku gdy operator nie zastosuje się do otrzymanego zawiadomienia, Wysoka Rada ds. Audiowizualnych może, na warunkach określonych w art. 42-7 niniejszej ustawy, nałożyć grzywnę, której wysokość uwzględnia wagę naruszenia oraz, w stosownych przypadkach, jego powtarzający się charakter, nieprzekraczającą 20 mln EUR lub 6 % całkowitego rocznego obrotu uzyskanego w poprzednim roku, w zależności od tego, która z tych kwot jest wyższa.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Jeżeli za to samo przewinienie w innym państwie nałożono karę finansową obliczoną na tej samej podstawie, kwotę tej kary uwzględnia się przy ustalaniu kary nałożonej na mocy niniejszego ustępu.</w:t>
      </w:r>
    </w:p>
    <w:p w14:paraId="1A99C8D2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8B9D2A5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 drodze odstępstwa od akapitu drugiego niniejszego punktu II, w przypadku odmowy ujawnienia informacji wymaganych przez organ regulacyjny na mocy akapitu drugiego pkt I lub w przypadku przekazania nieprawdziwych lub wprowadzających w błąd informacji, wysokość nałożonej kary nie może przekroczyć 1% całkowitego rocznego światowego obrotu z poprzedniego roku budżetowego.</w:t>
      </w:r>
    </w:p>
    <w:p w14:paraId="2BD2B9D1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E2F5167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Wysoka Rada do Spraw Audiowizualnych może podawać do wiadomości publicznej informacje o zawiadomieniach i nałożonych sankcjach.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W swojej decyzji określa ona szczegóły takiej publikacji, które są proporcjonalne do wagi przewinienia.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Może również nakazać zamieszczenie informacji o swojej decyzji w wyznaczonych publikacjach, gazetach i środkach masowego przekazu na koszt podmiotów podlegających formalnemu wezwaniu lub sankcjom.</w:t>
      </w:r>
    </w:p>
    <w:p w14:paraId="0852CB6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B516F2D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Grzywny są pobierane jako zobowiązania nieopodatkowane i niemajątkowe należności wobec państwa.</w:t>
      </w:r>
      <w:r>
        <w:rPr>
          <w:sz w:val="21"/>
          <w:rFonts w:ascii="Times-Roman" w:hAnsi="Times-Roman"/>
        </w:rPr>
        <w:t xml:space="preserve"> </w:t>
      </w:r>
    </w:p>
    <w:p w14:paraId="2E2305DD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0A4B426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4° Art. 108 akapit pierwszy po wyrazie: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„wynikający” otrzymuje brzmienie: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„z ustawy nr... z dnia... o wzmocnieniu poszanowania zasad Republiki”.</w:t>
      </w:r>
      <w:r>
        <w:rPr>
          <w:sz w:val="21"/>
          <w:rFonts w:ascii="Times-Roman" w:hAnsi="Times-Roman"/>
        </w:rPr>
        <w:t xml:space="preserve"> </w:t>
      </w:r>
    </w:p>
    <w:p w14:paraId="199FC683" w14:textId="77777777"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18F459E" w14:textId="77777777" w:rsidR="006522CF" w:rsidRPr="00F54ECB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III. Przepisy niniejszego artykułu stosuje się do dnia 31 grudnia 2023 r.</w:t>
      </w:r>
    </w:p>
    <w:sectPr w:rsidR="006522CF" w:rsidRPr="00F54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F1FF0"/>
    <w:multiLevelType w:val="hybridMultilevel"/>
    <w:tmpl w:val="70DE856A"/>
    <w:lvl w:ilvl="0" w:tplc="73F84A00">
      <w:start w:val="1"/>
      <w:numFmt w:val="lowerLetter"/>
      <w:lvlText w:val="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8D"/>
    <w:rsid w:val="00013979"/>
    <w:rsid w:val="0005174C"/>
    <w:rsid w:val="001048BC"/>
    <w:rsid w:val="00134B73"/>
    <w:rsid w:val="00196BE6"/>
    <w:rsid w:val="00317039"/>
    <w:rsid w:val="00485A93"/>
    <w:rsid w:val="004E021A"/>
    <w:rsid w:val="006522CF"/>
    <w:rsid w:val="00694BF3"/>
    <w:rsid w:val="00742738"/>
    <w:rsid w:val="00994AE4"/>
    <w:rsid w:val="009C128D"/>
    <w:rsid w:val="00EB212A"/>
    <w:rsid w:val="00F02A14"/>
    <w:rsid w:val="00F54ECB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D280"/>
  <w15:chartTrackingRefBased/>
  <w15:docId w15:val="{D7122478-4E01-4C1D-9BE7-99AC4826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2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2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2910</Words>
  <Characters>16589</Characters>
  <Application>Microsoft Office Word</Application>
  <DocSecurity>0</DocSecurity>
  <Lines>138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Chantal</dc:creator>
  <cp:keywords/>
  <dc:description/>
  <cp:lastModifiedBy>Dimitris Dimitriadis</cp:lastModifiedBy>
  <cp:revision>3</cp:revision>
  <dcterms:created xsi:type="dcterms:W3CDTF">2021-05-21T16:07:00Z</dcterms:created>
  <dcterms:modified xsi:type="dcterms:W3CDTF">2021-05-25T08:09:00Z</dcterms:modified>
</cp:coreProperties>
</file>