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Osnutek zakona o krepitvi skladnosti z načeli Republike</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Člen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Poglavje II naslova I Zakona št. 2004-575 z dne 21. junija 2004 o zaupanju v digitalno gospodarstvo se spremeni:</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Na začetku člena 6(I)(8) se besedilo:</w:t>
      </w:r>
      <w:r>
        <w:rPr>
          <w:sz w:val="21"/>
          <w:rFonts w:ascii="Times-Roman" w:hAnsi="Times-Roman"/>
        </w:rPr>
        <w:t xml:space="preserve"> </w:t>
      </w:r>
      <w:r>
        <w:rPr>
          <w:sz w:val="21"/>
          <w:rFonts w:ascii="Times-Roman" w:hAnsi="Times-Roman"/>
        </w:rPr>
        <w:t xml:space="preserve">„Sodni organ lahko kot začasni ukrep ali na zahtevo, naslovljeno na katero koli osebo iz 2 ali, če to ni mogoče, določi katero koli osebo iz točke 1“ nadomesti z naslednjim:</w:t>
      </w:r>
      <w:r>
        <w:rPr>
          <w:sz w:val="21"/>
          <w:rFonts w:ascii="Times-Roman" w:hAnsi="Times-Roman"/>
        </w:rPr>
        <w:t xml:space="preserve"> </w:t>
      </w:r>
      <w:r>
        <w:rPr>
          <w:sz w:val="21"/>
          <w:rFonts w:ascii="Times-Roman" w:hAnsi="Times-Roman"/>
        </w:rPr>
        <w:t xml:space="preserve">„Predsednik sodišča lahko po hitrem vsebinskem postopku določi katero koli osebo, ki bi lahko k temu prispevala“;</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Za členom 6-2, kakor je bil spremenjen z Zakonom št. 2020-1266 z dne 19. oktobra 2020, ki ureja komercialno izkoriščanje podobe otrok, mlajših od šestnajstih let, na spletnih platformah, se vstavita člena 6-3 in 6-4, in sicer:</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„Člen 6-4.</w:t>
      </w:r>
      <w:r>
        <w:rPr>
          <w:sz w:val="21"/>
          <w:i/>
          <w:rFonts w:ascii="Times-Italic" w:hAnsi="Times-Italic"/>
        </w:rPr>
        <w:t xml:space="preserve"> </w:t>
      </w:r>
      <w:r>
        <w:rPr>
          <w:sz w:val="21"/>
          <w:rFonts w:ascii="Times-Roman" w:hAnsi="Times-Roman"/>
        </w:rPr>
        <w:t xml:space="preserve">– Če izvršljiva sodna odločba odredi kakršen koli ukrep za preprečitev dostopa do spletne javne komunikacijske storitve, katere vsebina spada med kazniva dejanja iz člena 6(I)(7), lahko upravni organ, če to zahteva katera koli zadevna oseba, zahteva katero koli osebo, ki bi lahko k temu prispevala, in sicer za obdobje, ki ni daljše od preostalega trajanja ukrepov, odrejenih s to sodno odločbo, k preprečitvi dostopa do katere koli spletne javne komunikacijske storitve, ki v celoti ali bistveno vsebuje vsebino spletnega mesta.</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Pod enakimi pogoji lahko upravni organ od katerega koli upravljavca iskalnika, imenika ali druge referenčne storitve zahteva, da prekine navajanje spletnih naslovov, ki javnosti omogočajo dostop do takšnih spletnih komunikacijskih storitev.</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Upravni organ posodablja seznam spletnih komunikacijskih storitev iz prvega odstavka tega člena, ki so bile predmet zahteve po blokiranju dostopa v skladu z istim prvim odstavkom, ter spletnih naslovov, ki omogočajo dostop do teh storitev, in ga da na voljo oglaševalcem, njihovim zastopnikom in službam iz člena 299(II)(2) Splošnega davčnega zakonika.</w:t>
      </w:r>
      <w:r>
        <w:rPr>
          <w:sz w:val="21"/>
          <w:rFonts w:ascii="Times-Roman" w:hAnsi="Times-Roman"/>
        </w:rPr>
        <w:t xml:space="preserve"> </w:t>
      </w:r>
      <w:r>
        <w:rPr>
          <w:sz w:val="21"/>
          <w:rFonts w:ascii="Times-Roman" w:hAnsi="Times-Roman"/>
        </w:rPr>
        <w:t xml:space="preserve">Te storitve se dodajo na ta seznam za preostalo obdobje trajanja ukrepov, ki ga odredi sodni organ.</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Če take storitve niso bile blokirane ali odložene v skladu s tem členom, lahko predsednik sodišča po hitrem vsebinskem postopku predpiše kakršen koli ukrep za prenehanje dostopa do vsebine teh storitev.“</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Člen 19 </w:t>
      </w:r>
      <w:r>
        <w:rPr>
          <w:b/>
          <w:sz w:val="21"/>
          <w:i/>
          <w:rFonts w:ascii="Times-BoldItalic" w:hAnsi="Times-BoldItalic"/>
        </w:rPr>
        <w:t xml:space="preserve">bis (novo)</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Poglavje II naslova I Zakona št. 2004-575 z dne 21. junija 2004 o zaupanju v digitalno gospodarstvo se spremeni:</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Člen 6(I)(7)(4) se spremeni na naslednji način:</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w:t>
      </w:r>
      <w:r>
        <w:rPr>
          <w:sz w:val="21"/>
        </w:rPr>
        <w:t xml:space="preserve"> prvi stavek se dopolni z besedilom:</w:t>
      </w:r>
      <w:r>
        <w:rPr>
          <w:sz w:val="21"/>
          <w:rFonts w:ascii="Times-Roman" w:hAnsi="Times-Roman"/>
        </w:rPr>
        <w:t xml:space="preserve"> </w:t>
      </w:r>
      <w:r>
        <w:rPr>
          <w:sz w:val="21"/>
          <w:rFonts w:ascii="Times-Roman" w:hAnsi="Times-Roman"/>
        </w:rPr>
        <w:t xml:space="preserve">„in javno objavijo sredstva, ki jih namenjajo boju proti nezakonitim dejavnostim iz tretjega odstavka te točke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za istim prvim stavkom se vstavi naslednji stavek:</w:t>
      </w:r>
      <w:r>
        <w:rPr>
          <w:sz w:val="21"/>
          <w:rFonts w:ascii="Times-Roman" w:hAnsi="Times-Roman"/>
        </w:rPr>
        <w:t xml:space="preserve"> </w:t>
      </w:r>
      <w:r>
        <w:rPr>
          <w:sz w:val="21"/>
          <w:rFonts w:ascii="Times-Roman" w:hAnsi="Times-Roman"/>
        </w:rPr>
        <w:t xml:space="preserve">„Te obveznosti zaradi boja proti razširjanju vsebine iz prvega odstavka člena 6-5 ne veljajo za upravljavce iz istega prvega odstavka.“;</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c)</w:t>
      </w:r>
      <w:r>
        <w:rPr>
          <w:sz w:val="21"/>
        </w:rPr>
        <w:t xml:space="preserve"> drugi stavek se spremeni, kot sledi:</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na začetku se beseda:</w:t>
      </w:r>
      <w:r>
        <w:rPr>
          <w:sz w:val="21"/>
          <w:rFonts w:ascii="Times-Roman" w:hAnsi="Times-Roman"/>
        </w:rPr>
        <w:t xml:space="preserve"> </w:t>
      </w:r>
      <w:r>
        <w:rPr>
          <w:sz w:val="21"/>
          <w:rFonts w:ascii="Times-Roman" w:hAnsi="Times-Roman"/>
        </w:rPr>
        <w:t xml:space="preserve">„Oni“ nadomesti z besedilom:</w:t>
      </w:r>
      <w:r>
        <w:rPr>
          <w:sz w:val="21"/>
          <w:rFonts w:ascii="Times-Roman" w:hAnsi="Times-Roman"/>
        </w:rPr>
        <w:t xml:space="preserve"> </w:t>
      </w:r>
      <w:r>
        <w:rPr>
          <w:sz w:val="21"/>
          <w:rFonts w:ascii="Times-Roman" w:hAnsi="Times-Roman"/>
        </w:rPr>
        <w:t xml:space="preserve">„Osebe iz 1 in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 besedilo:</w:t>
      </w:r>
      <w:r>
        <w:rPr>
          <w:sz w:val="21"/>
          <w:rFonts w:ascii="Times-Roman" w:hAnsi="Times-Roman"/>
        </w:rPr>
        <w:t xml:space="preserve"> </w:t>
      </w:r>
      <w:r>
        <w:rPr>
          <w:sz w:val="21"/>
          <w:rFonts w:ascii="Times-Roman" w:hAnsi="Times-Roman"/>
        </w:rPr>
        <w:t xml:space="preserve">„po eni strani“ se izbriše;</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besedilo:</w:t>
      </w:r>
      <w:r>
        <w:rPr>
          <w:sz w:val="21"/>
          <w:rFonts w:ascii="Times-Roman" w:hAnsi="Times-Roman"/>
        </w:rPr>
        <w:t xml:space="preserve"> </w:t>
      </w:r>
      <w:r>
        <w:rPr>
          <w:sz w:val="21"/>
          <w:rFonts w:ascii="Times-Roman" w:hAnsi="Times-Roman"/>
        </w:rPr>
        <w:t xml:space="preserve">„prejšnjega pododstavka“ se nadomesti z besedilom:</w:t>
      </w:r>
      <w:r>
        <w:rPr>
          <w:sz w:val="21"/>
          <w:rFonts w:ascii="Times-Roman" w:hAnsi="Times-Roman"/>
        </w:rPr>
        <w:t xml:space="preserve"> </w:t>
      </w:r>
      <w:r>
        <w:rPr>
          <w:sz w:val="21"/>
          <w:rFonts w:ascii="Times-Roman" w:hAnsi="Times-Roman"/>
        </w:rPr>
        <w:t xml:space="preserve">„v istem tretjem pododstavku“;</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za besedo:</w:t>
      </w:r>
      <w:r>
        <w:rPr>
          <w:sz w:val="21"/>
          <w:rFonts w:ascii="Times-Roman" w:hAnsi="Times-Roman"/>
        </w:rPr>
        <w:t xml:space="preserve"> </w:t>
      </w:r>
      <w:r>
        <w:rPr>
          <w:sz w:val="21"/>
          <w:rFonts w:ascii="Times-Roman" w:hAnsi="Times-Roman"/>
        </w:rPr>
        <w:t xml:space="preserve">„storitve“, se črta konec;</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Za členom 6-2, kakor je bil spremenjen z zgoraj navedenim Zakonom št. 2020-1266 z dne 19. oktobra 2020, se vstavi člen 6-5, ki se glasi:</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iCs/>
        </w:rPr>
        <w:t xml:space="preserve">Člen 6-5.</w:t>
      </w:r>
      <w:r>
        <w:rPr>
          <w:sz w:val="21"/>
          <w:i/>
          <w:rFonts w:ascii="Times-Italic" w:hAnsi="Times-Italic"/>
        </w:rPr>
        <w:t xml:space="preserve"> </w:t>
      </w:r>
      <w:r>
        <w:rPr>
          <w:sz w:val="21"/>
          <w:rFonts w:ascii="Times-Roman" w:hAnsi="Times-Roman"/>
        </w:rPr>
        <w:t xml:space="preserve">– Upravljavci spletnih platform, opredeljenih v členu L111-7 Zakonika o varstvu potrošnikov, ki javnosti ponujajo spletno komunikacijsko storitev na podlagi klasifikacije, sklicevanja ali souporabe vsebin, ki so jih objavile tretje osebe in katerih dejavnost na francoskem ozemlju presega prag števila povezav, določenih z uredbo, ne glede na to, ali imajo sedež na francoskem ozemlju ali ne, prispevajo k boju proti javnemu razširjanju vsebin, ki so v nasprotju z določbami iz člena 6(I)(7)(3) tega zakona in člena 24 </w:t>
      </w:r>
      <w:r>
        <w:rPr>
          <w:sz w:val="21"/>
          <w:i/>
          <w:rFonts w:ascii="Times-Italic" w:hAnsi="Times-Italic"/>
        </w:rPr>
        <w:t xml:space="preserve">bis </w:t>
      </w:r>
      <w:r>
        <w:rPr>
          <w:sz w:val="21"/>
          <w:rFonts w:ascii="Times-Roman" w:hAnsi="Times-Roman"/>
        </w:rPr>
        <w:t xml:space="preserve">ter v tretjem in četrtem pododstavku člena 33 zakona z dne 29. julija 1881 o svobodi tiska.</w:t>
      </w:r>
      <w:r>
        <w:rPr>
          <w:sz w:val="21"/>
          <w:rFonts w:ascii="Times-Roman" w:hAnsi="Times-Roman"/>
        </w:rPr>
        <w:t xml:space="preserve"> </w:t>
      </w:r>
      <w:r>
        <w:rPr>
          <w:sz w:val="21"/>
          <w:rFonts w:ascii="Times-Roman" w:hAnsi="Times-Roman"/>
        </w:rPr>
        <w:t xml:space="preserve">V zvezi s tem:</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Uporabljajo sorazmerne človeške in tehnološke postopke ter sredstva, ki jim bodo omogočili:</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i/>
          <w:iCs/>
          <w:i/>
          <w:iCs/>
          <w:i/>
          <w:iCs/>
          <w:rFonts w:ascii="Times-Roman" w:hAnsi="Times-Roman"/>
        </w:rPr>
        <w:t xml:space="preserve">a</w:t>
      </w:r>
      <w:r>
        <w:rPr>
          <w:sz w:val="21"/>
          <w:i/>
          <w:rFonts w:ascii="Times-Roman" w:hAnsi="Times-Roman"/>
        </w:rPr>
        <w:t xml:space="preserve">)</w:t>
      </w:r>
      <w:r>
        <w:rPr>
          <w:sz w:val="21"/>
          <w:rFonts w:ascii="Times-Roman" w:hAnsi="Times-Roman"/>
        </w:rPr>
        <w:t xml:space="preserve"> da čim prej obvestijo sodne ali upravne organe o ukrepih, ki so jih sprejeli na podlagi sodnih odredb, ki so jih ti organi izdali v zvezi z vsebino iz prvega odstavka tega člena;</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da takoj potrdijo varno sprejemanje zahtev sodnih ali upravnih organov za namen sporočanja podatkov, ki so jim na voljo, da se omogoči identifikacija uporabnikov, ki so naložili vsebino iz istega prvega odstavka, in da čim prej obvestijo te organe o nadaljnjem ukrepanju v zvezi s tovrstnimi zahtevami;</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da začasno obdržijo vsebino, o kateri so bili obveščeni kot v nasprotju z določbami iz prvega pododstavka in ki so jo umaknili ali dali nedostopno, z namenom, da bodo na voljo pravnim organom za namene preiskovanja, identifikacije in pregona kaznivih dejanj;</w:t>
      </w:r>
      <w:r>
        <w:rPr>
          <w:sz w:val="21"/>
          <w:rFonts w:ascii="Times-Roman" w:hAnsi="Times-Roman"/>
        </w:rPr>
        <w:t xml:space="preserve"> </w:t>
      </w:r>
      <w:r>
        <w:rPr>
          <w:sz w:val="21"/>
          <w:rFonts w:ascii="Times-Roman" w:hAnsi="Times-Roman"/>
        </w:rPr>
        <w:t xml:space="preserve">trajanje in pogoji za zadržanje te vsebine se določijo z uredbo državnega sveta na podlagi mnenja</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Nacionalne komisije za informacijsko tehnologijo in svoboščine;</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Določijo enotno kontaktno točko, fizično osebo, odgovorno za komuniciranje z javnimi organi z namenom izvajanja določb tega člena, ki ji je zlasti mogoče v elektronski obliki poslati vse vloge Visokega sveta za avdiovizualne medije v skladu s členom 62 Zakona št. 86-1067 z dne 30. septembra 1986 o svobodi komuniciranja.</w:t>
      </w:r>
      <w:r>
        <w:rPr>
          <w:sz w:val="21"/>
          <w:rFonts w:ascii="Times-Roman" w:hAnsi="Times-Roman"/>
        </w:rPr>
        <w:t xml:space="preserve"> </w:t>
      </w:r>
      <w:r>
        <w:rPr>
          <w:sz w:val="21"/>
          <w:rFonts w:ascii="Times-Roman" w:hAnsi="Times-Roman"/>
        </w:rPr>
        <w:t xml:space="preserve">Ta enotna kontaktna točka je odgovorna zlasti za sprejemanje prošenj, ki jih na upravljavca sodni organ naslovi v skladu s postopkom iz člena 6(II) tega zakona, da se zagotovi njihova takojšnja obravnava;</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Javnosti na lahko dostopen način dajo na voljo splošne pogoje uporabe storitve, ki jih ponujajo;</w:t>
      </w:r>
      <w:r>
        <w:rPr>
          <w:sz w:val="21"/>
          <w:rFonts w:ascii="Times-Roman" w:hAnsi="Times-Roman"/>
        </w:rPr>
        <w:t xml:space="preserve"> </w:t>
      </w:r>
      <w:r>
        <w:rPr>
          <w:sz w:val="21"/>
          <w:rFonts w:ascii="Times-Roman" w:hAnsi="Times-Roman"/>
        </w:rPr>
        <w:t xml:space="preserve">vanje bodo vključene določbe, ki prepovedujejo spletno objavo vsebin iz prvega pododstavka tega člena;</w:t>
      </w:r>
      <w:r>
        <w:rPr>
          <w:sz w:val="21"/>
          <w:rFonts w:ascii="Times-Roman" w:hAnsi="Times-Roman"/>
        </w:rPr>
        <w:t xml:space="preserve"> </w:t>
      </w:r>
      <w:r>
        <w:rPr>
          <w:sz w:val="21"/>
          <w:rFonts w:ascii="Times-Roman" w:hAnsi="Times-Roman"/>
        </w:rPr>
        <w:t xml:space="preserve">v njih jasno in natančno opišejo svoje ureditve moderiranja, katerih cilj je odkrivanje, kjer je to primerno, opredelitve in obdelave take vsebine, podrobno navedejo postopke in v ta namen uporabljena človeška ali avtomatizirana sredstva ter ukrepe, ki jih izvajajo, ki vplivajo na razpoložljivost, vidnost in dostopnost takih vsebin;</w:t>
      </w:r>
      <w:r>
        <w:rPr>
          <w:sz w:val="21"/>
          <w:rFonts w:ascii="Times-Roman" w:hAnsi="Times-Roman"/>
        </w:rPr>
        <w:t xml:space="preserve"> </w:t>
      </w:r>
      <w:r>
        <w:rPr>
          <w:sz w:val="21"/>
          <w:rFonts w:ascii="Times-Roman" w:hAnsi="Times-Roman"/>
        </w:rPr>
        <w:t xml:space="preserve">v njih navedejo ukrepe, ki jih izvajajo v zvezi z uporabniki, ki so to vsebino dali na voljo na spletu, ter domača in pravna sredstva, ki so tem uporabnikom na voljo;</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Javnost obveščajo o uporabljenih sredstvih in ukrepih, sprejetih za boj proti razširjanju vsebine iz prvega odstavka med uporabniki na francoskem ozemlju, v skladu s postopki in v časovnih presledkih, ki jih določi Visoki svet za avdiovizualne medije, o informacijah in količinsko opredeljenih kazalnikih, ki jih je določil ta Svet in ki se nanašajo zlasti na obravnavo sodnih odredb ali zahtev za informacije s strani sodnih ali upravnih organov, o prejetih obvestilih in izboru notranjih pravnih sredstev, ter po potrebi o merilih za izbiro zaupanja vrednih tretjih oseb, katerih obvestila so obravnavana prednostno obravnavo, in pogoje sodelovanja s temi tretjimi osebami;</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Izvajajo lahko dostopen in za uporabo enostaven postopek, ki bo vsaki osebi omogočil, da v elektronski obliki poroča o kakršni koli vsebini, za katero se šteje, da je v nasprotju z določbami iz prvega odstavka, jasno navede lokacijo in razloge, zaradi katerih se meni, da bi bilo potrebno to vsebino obravnavati kot nezakonito, ter zagotovi informacije, ki omogočajo stik, in poročajo o kaznih, nastalih v primeru neustreznega poročila;</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Uporabljajo sorazmerne človeške in tehnološke postopke in sredstva, ki jim omogočajo:</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a</w:t>
      </w:r>
      <w:r>
        <w:rPr>
          <w:sz w:val="21"/>
          <w:i/>
          <w:rFonts w:ascii="Times-Italic" w:hAnsi="Times-Italic"/>
        </w:rPr>
        <w:t xml:space="preserve">) </w:t>
      </w:r>
      <w:r>
        <w:rPr>
          <w:sz w:val="21"/>
          <w:rFonts w:ascii="Times-Roman" w:hAnsi="Times-Roman"/>
        </w:rPr>
        <w:t xml:space="preserve">da takoj potrdijo prejem obvestil v zvezi z vsebino iz prvega odstavka, ob upoštevanju informacij, potrebnih za stik z avtorjem;</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b</w:t>
      </w:r>
      <w:r>
        <w:rPr>
          <w:sz w:val="21"/>
          <w:i/>
          <w:rFonts w:ascii="Times-Italic" w:hAnsi="Times-Italic"/>
        </w:rPr>
        <w:t xml:space="preserve">)</w:t>
      </w:r>
      <w:r>
        <w:rPr>
          <w:sz w:val="21"/>
        </w:rPr>
        <w:t xml:space="preserve"> da pravočasno zagotovijo ustrezno analizo tovrstnih obvestil;</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c</w:t>
      </w:r>
      <w:r>
        <w:rPr>
          <w:sz w:val="21"/>
          <w:i/>
          <w:rFonts w:ascii="Times-Italic" w:hAnsi="Times-Italic"/>
        </w:rPr>
        <w:t xml:space="preserve">)</w:t>
      </w:r>
      <w:r>
        <w:rPr>
          <w:sz w:val="21"/>
        </w:rPr>
        <w:t xml:space="preserve"> </w:t>
      </w:r>
      <w:r>
        <w:rPr>
          <w:sz w:val="21"/>
          <w:rFonts w:ascii="Times-Roman" w:hAnsi="Times-Roman"/>
        </w:rPr>
        <w:t xml:space="preserve">da obvestijo avtorja o izvedenem ukrepu ter o domačih in pravnih sredstvih, ki so na voljo, pod pogojem, da imajo potrebne informacije za stik z njimi;</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d</w:t>
      </w:r>
      <w:r>
        <w:rPr>
          <w:sz w:val="21"/>
          <w:i/>
          <w:rFonts w:ascii="Times-Italic" w:hAnsi="Times-Italic"/>
        </w:rPr>
        <w:t xml:space="preserve">)</w:t>
      </w:r>
      <w:r>
        <w:rPr>
          <w:sz w:val="21"/>
        </w:rPr>
        <w:t xml:space="preserve"> če je sprejeta odločitev, da se zaradi neupoštevanja določb iz prvega odstavka vsebina odstrani ali se do nje ukine dostop, da obvestijo uporabnika na izvoru objave te vsebine, če ima na voljo potrebne informacije, da se jih kontaktira:</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z navedbo razlogov za odločitev,</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z navedbo, ali je bila ta odločitev sprejeta s pomočjo avtomatiziranega orodja,</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z obvestilom o nacionalnih in pravnih sredstvih, ki so jim na voljo,</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ter z obvestilom o civilnih in kazenskih sankcijah za objavo nezakonite vsebine;</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Uporabljajo notranja sanacijska sredstva, ki omogočajo:</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i/>
          <w:iCs/>
          <w:rFonts w:ascii="Times-Roman" w:hAnsi="Times-Roman"/>
        </w:rPr>
        <w:t xml:space="preserve">a</w:t>
      </w:r>
      <w:r>
        <w:rPr>
          <w:sz w:val="21"/>
          <w:i/>
          <w:rFonts w:ascii="Times-Italic" w:hAnsi="Times-Italic"/>
        </w:rPr>
        <w:t xml:space="preserve">)</w:t>
      </w:r>
      <w:r>
        <w:rPr>
          <w:sz w:val="21"/>
        </w:rPr>
        <w:t xml:space="preserve"> </w:t>
      </w:r>
      <w:r>
        <w:rPr>
          <w:sz w:val="21"/>
          <w:rFonts w:ascii="Times-Roman" w:hAnsi="Times-Roman"/>
        </w:rPr>
        <w:t xml:space="preserve">avtorju obvestila o vsebini iz prvega odstavka izpodbijati odločitve, ki jo je upravljavec sprejel v odgovor na to obvestilo;</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b</w:t>
      </w:r>
      <w:r>
        <w:rPr>
          <w:sz w:val="21"/>
          <w:i/>
          <w:rFonts w:ascii="Times-Italic" w:hAnsi="Times-Italic"/>
        </w:rPr>
        <w:t xml:space="preserve">)</w:t>
      </w:r>
      <w:r>
        <w:rPr>
          <w:sz w:val="21"/>
        </w:rPr>
        <w:t xml:space="preserve"> uporabniku, ki je prvotno objavil vsebine, ki je predmet odločitve iz točke 6(d), te odločbe izpodbijati;</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i/>
          <w:iCs/>
          <w:rFonts w:ascii="Times-Roman" w:hAnsi="Times-Roman"/>
        </w:rPr>
        <w:t xml:space="preserve">c</w:t>
      </w:r>
      <w:r>
        <w:rPr>
          <w:sz w:val="21"/>
          <w:i/>
          <w:rFonts w:ascii="Times-Italic" w:hAnsi="Times-Italic"/>
        </w:rPr>
        <w:t xml:space="preserve">)</w:t>
      </w:r>
      <w:r>
        <w:rPr>
          <w:sz w:val="21"/>
          <w:rFonts w:ascii="Times-Roman" w:hAnsi="Times-Roman"/>
        </w:rPr>
        <w:t xml:space="preserve"> uporabniku, ki je bil predmet odločitve iz točke 8</w:t>
      </w:r>
      <w:r>
        <w:rPr>
          <w:sz w:val="21"/>
          <w:i/>
          <w:rFonts w:ascii="Times-Italic" w:hAnsi="Times-Italic"/>
        </w:rPr>
        <w:t xml:space="preserve">(a)</w:t>
      </w:r>
      <w:r>
        <w:rPr>
          <w:sz w:val="21"/>
          <w:rFonts w:ascii="Times-Roman" w:hAnsi="Times-Roman"/>
        </w:rPr>
        <w:t xml:space="preserve"> ali </w:t>
      </w:r>
      <w:r>
        <w:rPr>
          <w:sz w:val="21"/>
          <w:i/>
          <w:rFonts w:ascii="Times-Italic" w:hAnsi="Times-Italic"/>
        </w:rPr>
        <w:t xml:space="preserve">(b) </w:t>
      </w:r>
      <w:r>
        <w:rPr>
          <w:sz w:val="21"/>
          <w:rFonts w:ascii="Times-Roman" w:hAnsi="Times-Roman"/>
        </w:rPr>
        <w:t xml:space="preserve">za te odločitve izpodbijati.</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Zagotavljajo, da so ti sistemi lahko dostopni in enostavni za uporabo ter da omogočajo ustrezno in hitro obravnavo pritožb, ki ne temelji zgolj na uporabi avtomatiziranih sredstev, uporabnika nemudoma obvestijo o sprejeti odločitvi in nemudoma prekličejo ukrepe, ki se nanašajo na zadevno vsebino ali na uporabnika in ki jih izvaja upravljavec, kadar iz pritožba izhaja ugotovitev, da izpodbijana odločba ni bila utemeljena;</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Pri odločanju o izvajanju tovrstnih postopkov v svojih pogojih uporabe jasno in natančno določijo postopke, ki vodijo do:</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i/>
          <w:iCs/>
          <w:rFonts w:ascii="Times-Roman" w:hAnsi="Times-Roman"/>
        </w:rPr>
        <w:t xml:space="preserve">a</w:t>
      </w:r>
      <w:r>
        <w:rPr>
          <w:sz w:val="21"/>
          <w:i/>
          <w:rFonts w:ascii="Times-Italic" w:hAnsi="Times-Italic"/>
        </w:rPr>
        <w:t xml:space="preserve">)</w:t>
      </w:r>
      <w:r>
        <w:rPr>
          <w:sz w:val="21"/>
        </w:rPr>
        <w:t xml:space="preserve"> začasne ukinitve ali v najresnejših primerih odstranitve računa uporabnikov, ki so večkrat naložili vsebino v nasprotju z določbami iz prvega odstavka tega člena;</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i/>
          <w:rFonts w:ascii="Times-Italic" w:hAnsi="Times-Italic"/>
        </w:rPr>
        <w:t xml:space="preserve">)</w:t>
      </w:r>
      <w:r>
        <w:rPr>
          <w:sz w:val="21"/>
        </w:rPr>
        <w:t xml:space="preserve"> </w:t>
      </w:r>
      <w:r>
        <w:rPr>
          <w:sz w:val="21"/>
          <w:rFonts w:ascii="Times-Roman" w:hAnsi="Times-Roman"/>
        </w:rPr>
        <w:t xml:space="preserve">začasne prekinitve dostopa do mehanizma obveščanja uporabnikov, ki so večkrat predložili očitno neutemeljena obvestila v zvezi z vsebino iz istega prvega pododstavka.</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Ko se ti postopki izvajajo, se izvede analiza za vsak primer posebej, katere cilj je objektivno opredeliti obstoj ravnanja iz</w:t>
      </w:r>
      <w:r>
        <w:rPr>
          <w:sz w:val="21"/>
          <w:rFonts w:ascii="Times-Roman" w:hAnsi="Times-Roman"/>
        </w:rPr>
        <w:t xml:space="preserve"> te točke</w:t>
      </w:r>
      <w:r>
        <w:rPr>
          <w:sz w:val="21"/>
          <w:rFonts w:ascii="Times-Roman" w:hAnsi="Times-Roman"/>
        </w:rPr>
        <w:t xml:space="preserve"> 8(a) ali (b), in upošteva, zlasti:</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količino nezakonite vsebine iz prvega odstavka tega člena ali število očitno neutemeljenih obvestil uporabnika v preteklem letu, tako v absolutnem smislu kot v sorazmerju s skupno količino vsebine ali številom obvestil, za katere je bil odgovoren;</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 resnost in posledice teh zlorab.</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Kadar se ti postopki izvajajo, zagotavljajo, da so ukrepi iz točk 8(a) in (b) po svoji naravi sorazmerni z resnostjo zadevnega ravnanja in da so v primeru začasne prekinitve razglašeni za razumno obdobje.</w:t>
      </w:r>
      <w:r>
        <w:rPr>
          <w:sz w:val="21"/>
          <w:rFonts w:ascii="Times-Roman" w:hAnsi="Times-Roman"/>
        </w:rPr>
        <w:t xml:space="preserve"> </w:t>
      </w:r>
      <w:r>
        <w:rPr>
          <w:sz w:val="21"/>
          <w:rFonts w:ascii="Times-Roman" w:hAnsi="Times-Roman"/>
        </w:rPr>
        <w:t xml:space="preserve">Uporabnik prejme opozorilo in informacije o razpoložljivih domačih pravnih in sodnih sredstvih;</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Upravljavci, navedeni v prvem odstavku tega člena, z dejavnostmi na francoskem ozemlju, ki presegajo omejitev števila priključkov, določeno z odlokom, in so višji od tistih iz istega prvega odstavka:</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vsako leto ocenijo sistemska tveganja, povezana z delovanjem in uporabo njihovih storitev, v zvezi z razširjanjem vsebine iz prvega odstavka in v zvezi s kršitvami temeljnih pravic, vključno s svobodo izražanja.</w:t>
      </w:r>
      <w:r>
        <w:rPr>
          <w:sz w:val="21"/>
          <w:rFonts w:ascii="Times-Roman" w:hAnsi="Times-Roman"/>
        </w:rPr>
        <w:t xml:space="preserve"> </w:t>
      </w:r>
      <w:r>
        <w:rPr>
          <w:sz w:val="21"/>
          <w:rFonts w:ascii="Times-Roman" w:hAnsi="Times-Roman"/>
        </w:rPr>
        <w:t xml:space="preserve">Ta ocena upošteva značilnosti teh storitev, zlasti njihove učinke na virusno širjenje ali množično razširjanje zgoraj navedenih vsebin;</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izvajajo razumne, učinkovite in sorazmerne ukrepe, zlasti v zvezi z značilnostmi njihovih storitev ter obsegom in resnostjo tveganj, ugotovljenih na koncu ocene iz točke 9(a), z namenom ublažitve tveganja za razširjanje tovrstnih vsebin, ki je lahko povezano zlasti s postopki ter človeškimi in tehnološkimi sredstvi, ki se uporabljajo za odkrivanje, prepoznavanje in obdelavo teh vsebin, pri čemer se preprečijo tveganja neupravičene ukinitve v skladu z veljavno zakonodajo in pogoji njihove uporabe;</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v skladu s postopki in intervali, ki jih je določil Visoki svet za avdiovizualne medije, javnosti poročajo o oceni teh sistemskih tveganj in izvedenih ukrepih za ublažitev tveganja;</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Upravljavci iz prvega odstavka Visokemu svetu za avdiovizualne medije poročajo o postopkih in sredstvih, uporabljenih za izvajanje tega člena, pod pogoji, določenimi v členu 62 zgoraj navedenega zakona št. 86-1067 z dne 30. septembra 1986.“</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Zakon št. 86-1067 z dne 30. septembra 1986 o svobodi komuniciranja se spremeni kot sledi:</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V tretjem pododstavku člena 19(I)(1) se besedilo:</w:t>
      </w:r>
      <w:r>
        <w:rPr>
          <w:sz w:val="21"/>
          <w:rFonts w:ascii="Times-Roman" w:hAnsi="Times-Roman"/>
        </w:rPr>
        <w:t xml:space="preserve"> </w:t>
      </w:r>
      <w:r>
        <w:rPr>
          <w:sz w:val="21"/>
          <w:rFonts w:ascii="Times-Roman" w:hAnsi="Times-Roman"/>
        </w:rPr>
        <w:t xml:space="preserve">„in platforme za izmenjavo video posnetkov“ nadomesti z besedilom:</w:t>
      </w:r>
      <w:r>
        <w:rPr>
          <w:sz w:val="21"/>
          <w:rFonts w:ascii="Times-Roman" w:hAnsi="Times-Roman"/>
        </w:rPr>
        <w:t xml:space="preserve"> </w:t>
      </w:r>
      <w:r>
        <w:rPr>
          <w:sz w:val="21"/>
          <w:rFonts w:ascii="Times-Roman" w:hAnsi="Times-Roman"/>
        </w:rPr>
        <w:t xml:space="preserve">„platforme za izmenjavo video posnetkov in upravljavce spletnih platform iz člena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V prvem odstavku člena 42-7 se sklicevanje na:</w:t>
      </w:r>
      <w:r>
        <w:rPr>
          <w:sz w:val="21"/>
          <w:rFonts w:ascii="Times-Roman" w:hAnsi="Times-Roman"/>
        </w:rPr>
        <w:t xml:space="preserve"> </w:t>
      </w:r>
      <w:r>
        <w:rPr>
          <w:sz w:val="21"/>
          <w:rFonts w:ascii="Times-Roman" w:hAnsi="Times-Roman"/>
        </w:rPr>
        <w:t xml:space="preserve">„in 48-3“ nadomesti z naslednjim:</w:t>
      </w:r>
      <w:r>
        <w:rPr>
          <w:sz w:val="21"/>
          <w:rFonts w:ascii="Times-Roman" w:hAnsi="Times-Roman"/>
        </w:rPr>
        <w:t xml:space="preserve"> </w:t>
      </w:r>
      <w:r>
        <w:rPr>
          <w:sz w:val="21"/>
          <w:rFonts w:ascii="Times-Roman" w:hAnsi="Times-Roman"/>
        </w:rPr>
        <w:t xml:space="preserve">„48-3 in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Naslov IV se dopolni s poglavjem III, ki se glasi:</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„POGLAVJE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Določbe, ki se uporabljajo za spletne platforme za boj proti sovražnim vsebinam</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Člen 62.</w:t>
      </w:r>
      <w:r>
        <w:rPr>
          <w:sz w:val="21"/>
          <w:i/>
          <w:rFonts w:ascii="Times-Italic" w:hAnsi="Times-Italic"/>
        </w:rPr>
        <w:t xml:space="preserve"> </w:t>
      </w:r>
      <w:r>
        <w:rPr>
          <w:sz w:val="21"/>
          <w:rFonts w:ascii="Times-Roman" w:hAnsi="Times-Roman"/>
        </w:rPr>
        <w:t xml:space="preserve">I. Visoki svet za avdiovizualne medije zagotavlja, da upravljavci spletnih platform iz prvega odstavka člena 6-5 Zakona št. 2004-575 z dne 21. junija 2004 o zaupanju v digitalno gospodarstvo ravnajo v skladu z določbami istega člena 6-5, pri čemer v zvezi z vsako od storitev, ki jih ponujajo, upoštevajo značilnosti storitve in ustreznost sredstev, ki jih uporablja upravljavec, zlasti glede obsega in resnosti tveganj razširjanja vsebin iz prvega odstavka istega člena 6-5 in glede tveganj neupravičene ukinitve v skladu z veljavno zakonodajo in pogoji njihove uporabe.</w:t>
      </w:r>
      <w:r>
        <w:rPr>
          <w:sz w:val="21"/>
          <w:rFonts w:ascii="Times-Roman" w:hAnsi="Times-Roman"/>
        </w:rPr>
        <w:t xml:space="preserve"> </w:t>
      </w:r>
      <w:r>
        <w:rPr>
          <w:sz w:val="21"/>
          <w:rFonts w:ascii="Times-Roman" w:hAnsi="Times-Roman"/>
        </w:rPr>
        <w:t xml:space="preserve">Tem upravljavcem platform zagotovi smernice za izvajanje določil istega člena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Od teh upravljavcev pod pogoji iz člena 19 tega zakona zbira podatke, potrebne za nadzor nad njihovimi obveznostmi.</w:t>
      </w:r>
      <w:r>
        <w:rPr>
          <w:sz w:val="21"/>
          <w:rFonts w:ascii="Times-Roman" w:hAnsi="Times-Roman"/>
        </w:rPr>
        <w:t xml:space="preserve"> </w:t>
      </w:r>
      <w:r>
        <w:rPr>
          <w:sz w:val="21"/>
          <w:rFonts w:ascii="Times-Roman" w:hAnsi="Times-Roman"/>
        </w:rPr>
        <w:t xml:space="preserve">Upravljavci iz člena 6-5(9) Zakona št. 2004-575 z dne 21. junija 2004 zagotavljajo dostop do načel delovanja avtomatiziranih orodij, ki se uporabljajo za izpolnjevanje teh obveznosti, do parametrov, ki jih uporabljajo ta orodja, do metod in podatkov, uporabljenih za ocenjevanje in izboljševanje njihove učinkovitosti, ter do vseh drugih informacij ali podatkov, ki jim omogočajo oceno njihove učinkovitosti v skladu z določbami o varstvu osebnih podatkov.</w:t>
      </w:r>
      <w:r>
        <w:rPr>
          <w:sz w:val="21"/>
          <w:rFonts w:ascii="Times-Roman" w:hAnsi="Times-Roman"/>
        </w:rPr>
        <w:t xml:space="preserve"> </w:t>
      </w:r>
      <w:r>
        <w:rPr>
          <w:sz w:val="21"/>
          <w:rFonts w:ascii="Times-Roman" w:hAnsi="Times-Roman"/>
        </w:rPr>
        <w:t xml:space="preserve">V skladu s temi določbami lahko Visoki svet za avdiovizualne medije pošlje sorazmerne zahteve za dostop prek namenskih programskih vmesnikov, in sicer do vseh podatkov, ki so pomembni za oceno njihove učinkovitosti.</w:t>
      </w:r>
      <w:r>
        <w:rPr>
          <w:sz w:val="21"/>
          <w:rFonts w:ascii="Times-Roman" w:hAnsi="Times-Roman"/>
        </w:rPr>
        <w:t xml:space="preserve"> </w:t>
      </w:r>
      <w:r>
        <w:rPr>
          <w:sz w:val="21"/>
          <w:rFonts w:ascii="Times-Roman" w:hAnsi="Times-Roman"/>
        </w:rPr>
        <w:t xml:space="preserve">V skladu s temi določbami in za iste namene lahko Visoki svet za avdiovizualne medije izvaja sorazmerne metode za avtomatizirano zbiranje javno dostopnih podatkov za dostop do potrebnih podatkov.</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Opredeljuje informacije in količinsko opredeljene kazalnike, ki jih morajo ti upravljavci objaviti v skladu s členom 6-5(4), ter načine in intervale te objave.</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Vsako leto objavi pregled izvrševanja določb člena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Visoki svet za avdiovizualne medije lahko upravljavce pozove, naj s predložitvijo uradnega obvestila in v opredeljenem roku, izvršujejo določbe člena 6-5 zgoraj navedenega zakona št. 2004-575 z dne 21. junija 2004.</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Če upravljavec ne ravna v skladu s prejetim obvestilom, lahko Visoki svet za avdiovizualne medije pod pogoji, določenimi v členu 42-7 tega zakona, izda globo, katere znesek odraža resnost neizpolnjevanja obveznosti in po potrebi ponavljajočo se naravo, ki ne presega 20 milijonov EUR ali 6 % skupnega letnega prometa v predhodnem letu, karkoli od tega je višje.</w:t>
      </w:r>
      <w:r>
        <w:rPr>
          <w:sz w:val="21"/>
          <w:rFonts w:ascii="Times-Roman" w:hAnsi="Times-Roman"/>
        </w:rPr>
        <w:t xml:space="preserve"> </w:t>
      </w:r>
      <w:r>
        <w:rPr>
          <w:sz w:val="21"/>
          <w:rFonts w:ascii="Times-Roman" w:hAnsi="Times-Roman"/>
        </w:rPr>
        <w:t xml:space="preserve">Če je bila za isto kršitev v drugi državi izrečena denarna kazen, izračunana na isti podlagi, se za določitev kazni, izrečene pod določili tega odstavka, upošteva znesek te kazni.</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Z odstopanjem od drugega odstavka tega člena v primeru zavrnitve razkritja informacij, ki jih regulativni organ zahteva v skladu z drugim odstavkom I, ali v primeru sporočenih napačnih ali zavajajočih informacij znesek naložene kazni ne sme presegati 1 % skupnega letnega svetovnega prometa v predhodnem poslovnem letu.</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Visoki svet za avdiovizualne medije lahko obvestila in sankcije javno objavi.</w:t>
      </w:r>
      <w:r>
        <w:rPr>
          <w:sz w:val="21"/>
          <w:rFonts w:ascii="Times-Roman" w:hAnsi="Times-Roman"/>
        </w:rPr>
        <w:t xml:space="preserve"> </w:t>
      </w:r>
      <w:r>
        <w:rPr>
          <w:sz w:val="21"/>
          <w:rFonts w:ascii="Times-Roman" w:hAnsi="Times-Roman"/>
        </w:rPr>
        <w:t xml:space="preserve">Po lastni presoji določi podrobnosti takšne objave, ki so sorazmerne z resnostjo kršitve.</w:t>
      </w:r>
      <w:r>
        <w:rPr>
          <w:sz w:val="21"/>
          <w:rFonts w:ascii="Times-Roman" w:hAnsi="Times-Roman"/>
        </w:rPr>
        <w:t xml:space="preserve"> </w:t>
      </w:r>
      <w:r>
        <w:rPr>
          <w:sz w:val="21"/>
          <w:rFonts w:ascii="Times-Roman" w:hAnsi="Times-Roman"/>
        </w:rPr>
        <w:t xml:space="preserve">Prav tako lahko odredi vnos svoje odločbe v določene publikacije, časopise in medije na račun upravljavcev, za katere velja uradni opomin ali sankcija.</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Globe se izterjajo kot nedavčne in nelastniške terjatve, dolgovane državi.“;</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po besedi:</w:t>
      </w:r>
      <w:r>
        <w:rPr>
          <w:sz w:val="21"/>
          <w:rFonts w:ascii="Times-Roman" w:hAnsi="Times-Roman"/>
        </w:rPr>
        <w:t xml:space="preserve"> </w:t>
      </w:r>
      <w:r>
        <w:rPr>
          <w:sz w:val="21"/>
          <w:rFonts w:ascii="Times-Roman" w:hAnsi="Times-Roman"/>
        </w:rPr>
        <w:t xml:space="preserve">„posledično“ se prvi pododstavek člena 108 konča z besedilom:</w:t>
      </w:r>
      <w:r>
        <w:rPr>
          <w:sz w:val="21"/>
          <w:rFonts w:ascii="Times-Roman" w:hAnsi="Times-Roman"/>
        </w:rPr>
        <w:t xml:space="preserve"> </w:t>
      </w:r>
      <w:r>
        <w:rPr>
          <w:sz w:val="21"/>
          <w:rFonts w:ascii="Times-Roman" w:hAnsi="Times-Roman"/>
        </w:rPr>
        <w:t xml:space="preserve">„iz Zakona št.      z dne    o krepitvi spoštovanja načel Republike.“</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Določbe tega člena se uporabljajo do 31. decembra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