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E87B" w14:textId="77777777" w:rsidR="00A31ACD" w:rsidRPr="00A31ACD" w:rsidRDefault="00A31ACD" w:rsidP="00A31A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Zákon č. 2021-1109 ze dne 24. srpna 2021, kterým se posiluje dodržování zásad republiky (1)</w:t>
      </w:r>
    </w:p>
    <w:p w14:paraId="64CA8548" w14:textId="77777777" w:rsidR="00A31ACD" w:rsidRPr="00A31ACD" w:rsidRDefault="00A31ACD" w:rsidP="00A31A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Hlava I: ZARUČENÍ DODRŽOVÁNÍ ZÁSAD REPUBLIKY A MINIMÁLNÍCH POŽADAVKŮ NA SPOLEČENSKÝ ŽIVOT (články 1 až 67)</w:t>
      </w:r>
    </w:p>
    <w:p w14:paraId="486809C0" w14:textId="77777777" w:rsidR="00A31ACD" w:rsidRPr="00A31ACD" w:rsidRDefault="00A31ACD" w:rsidP="00A31A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Hlava II: ZARUČENÍ SVOBODNÉHO PROJEVU NÁBOŽENSKÉHO VYZNÁNÍ (články 68 až 88)</w:t>
      </w:r>
    </w:p>
    <w:p w14:paraId="5A4AE87C" w14:textId="77777777" w:rsidR="00A31ACD" w:rsidRPr="00A31ACD" w:rsidRDefault="00A31ACD" w:rsidP="00A31A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Hlava III: RŮZNÁ USTANOVENÍ (články 89 až 90)</w:t>
      </w:r>
    </w:p>
    <w:p w14:paraId="06C5BFCE" w14:textId="77777777" w:rsidR="00A31ACD" w:rsidRPr="00A31ACD" w:rsidRDefault="00A31ACD" w:rsidP="00A31A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Hlava IV: USTANOVENÍ, KTERÁ SE VZTAHUJÍ NA ZÁMOŘÍ (články 91 až 103)</w:t>
      </w:r>
    </w:p>
    <w:p w14:paraId="6B5C04BF" w14:textId="77777777" w:rsidR="00A31ACD" w:rsidRPr="00A31ACD" w:rsidRDefault="00A31ACD" w:rsidP="00A31A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Hlava I: ZARUČENÍ DODRŽOVÁNÍ ZÁSAD REPUBLIKY A MINIMÁLNÍCH POŽADAVKŮ NA SPOLEČENSKÝ ŽIVOT (články 1 až 67)</w:t>
      </w:r>
    </w:p>
    <w:p w14:paraId="442EF518" w14:textId="77777777" w:rsidR="00A31ACD" w:rsidRPr="00A31ACD" w:rsidRDefault="00A31ACD" w:rsidP="00A31ACD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Kapitola IV: Ustanovení o boji proti nenávistným verbálním projevům a nezákonnému obsahu on-line (články 36 až 48)</w:t>
      </w:r>
    </w:p>
    <w:p w14:paraId="587D6E29" w14:textId="77777777" w:rsidR="00A31ACD" w:rsidRPr="00A31ACD" w:rsidRDefault="00A31ACD" w:rsidP="00A31ACD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39</w:t>
      </w:r>
    </w:p>
    <w:p w14:paraId="5EF80FEE" w14:textId="77777777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Kapitola II hlavy I zákona č. 2004-575 ze dne 21. června 2004 o důvěře v digitální ekonomiku se mění takto:</w:t>
      </w:r>
      <w:r>
        <w:rPr>
          <w:rFonts w:ascii="Times New Roman" w:hAnsi="Times New Roman"/>
          <w:sz w:val="24"/>
        </w:rPr>
        <w:br/>
        <w:t>1. V čl. 6 odst. I se bod 8 mění takto:</w:t>
      </w:r>
      <w:r>
        <w:rPr>
          <w:rFonts w:ascii="Times New Roman" w:hAnsi="Times New Roman"/>
          <w:sz w:val="24"/>
        </w:rPr>
        <w:br/>
        <w:t>a) začátek se mění takto: „8. „Předseda soudu může ve zrychleném řízení ve věci samé stanovit jakoukoli osobu, která k němu může jakkoli přispět… (zbytek beze změny).“;</w:t>
      </w:r>
      <w:r>
        <w:rPr>
          <w:rFonts w:ascii="Times New Roman" w:hAnsi="Times New Roman"/>
          <w:sz w:val="24"/>
        </w:rPr>
        <w:br/>
        <w:t>b) doplňuje se nový pododstavec, který zní:</w:t>
      </w:r>
      <w:r>
        <w:rPr>
          <w:rFonts w:ascii="Times New Roman" w:hAnsi="Times New Roman"/>
          <w:sz w:val="24"/>
        </w:rPr>
        <w:br/>
        <w:t>„Určí osoby nebo kategorie osob, kterým může správní orgán podat žádost za podmínek stanovených v čl. 6-3.“;</w:t>
      </w:r>
      <w:r>
        <w:rPr>
          <w:rFonts w:ascii="Times New Roman" w:hAnsi="Times New Roman"/>
          <w:sz w:val="24"/>
        </w:rPr>
        <w:br/>
        <w:t>2. Za článek 6-2 se vkládá nový článek 6-3, který zní:</w:t>
      </w:r>
    </w:p>
    <w:p w14:paraId="6D881305" w14:textId="171D73E9" w:rsid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„Článek 6-3. </w:t>
      </w:r>
      <w:r w:rsidR="002C3CD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V případě, že vykonatelné rozhodnutí soudu nařídilo jakékoli opatření k zabránění přístupu k on-line veřejné komunikační službě, jejíž obsah spadá pod trestné činy stanovené v čl. 6 odst. I bodě 7, může správní orgán, na vyžádání kterékoli dotčené osoby, vyžádat od osoby uvedené v článku 6 odst. I bodu 1 nebo 2, případně kterékoli osoby nebo kategorie osob uvedených v soudním rozhodnutí, na období nepřesahující zbývající období nařízené v soudním rozhodnutí, aby zabránila přístupu k jakékoli on-line veřejné komunikační službě, u níž dříve stanovil, že obsahuje obsah stránky v plném nebo podstatném rozsahu.</w:t>
      </w:r>
      <w:r>
        <w:rPr>
          <w:rFonts w:ascii="Times New Roman" w:hAnsi="Times New Roman"/>
          <w:sz w:val="24"/>
        </w:rPr>
        <w:br/>
        <w:t>„Za týchž podmínek a na totéž období může správní orgán rovněž požádat provozovatele služby založené prostřednictvím počítačových algoritmů na klasifikaci nebo vyhledávání obsahu nabízeného nebo nahraného on-line třetími stranami, aby stáhl odkaz na webové adresy umožňující přístup k těmto on-line veřejným komunikačním službám, uvedeným v prvním pododstavci tohoto článku.</w:t>
      </w:r>
      <w:r>
        <w:rPr>
          <w:rFonts w:ascii="Times New Roman" w:hAnsi="Times New Roman"/>
          <w:sz w:val="24"/>
        </w:rPr>
        <w:br/>
        <w:t xml:space="preserve">„Správní orgán aktualizuje seznam on-line komunikačních služeb uvedených v témže prvním pododstavci tohoto článku, které byly předmětem žádosti o blokování přístupu podle téhož prvního pododstavce, jakož i internetových adres umožňujících přístup k těmto službám, a zpřístupní tento seznam inzerentům, </w:t>
      </w:r>
      <w:r>
        <w:rPr>
          <w:rFonts w:ascii="Times New Roman" w:hAnsi="Times New Roman"/>
          <w:sz w:val="24"/>
        </w:rPr>
        <w:lastRenderedPageBreak/>
        <w:t>jejich zástupcům a službám uvedeným v čl. 299 odst. II bodě 2 obecného zákona o daních. Tyto služby se na tento seznam zahrnou po zbytek doby trvání opatření nařízených soudním orgánem. Inzerenti, jejich zástupci a služby uvedené v čl. 299 odst. II bodě 2 obecného zákona o daních, jež udržují obchodní vztahy, zejména za účelem umisťování reklamy, s on-line veřejnými komunikačními službami uvedenými na tomto seznamu jsou po celou dobu zápisu na tomto seznamu povinni alespoň jednou ročně zveřejnit na svých internetových stránkách existenci těchto vztahů a uvést je ve své výroční zprávě, pokud jsou povinni ji vypracovávat.</w:t>
      </w:r>
      <w:r>
        <w:rPr>
          <w:rFonts w:ascii="Times New Roman" w:hAnsi="Times New Roman"/>
          <w:sz w:val="24"/>
        </w:rPr>
        <w:br/>
        <w:t>„Pokud tyto služby nebyly zablokovány nebo pozastaveny v souladu s tímto článkem, může předseda soudu ve zrychleném řízení ve věci samé nařídit jakékoli opatření směřující k ukončení přístupu k obsahu těchto služeb.“</w:t>
      </w:r>
    </w:p>
    <w:p w14:paraId="184EA6CC" w14:textId="77777777" w:rsidR="00E7401A" w:rsidRPr="00A31ACD" w:rsidRDefault="00E7401A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(…)</w:t>
      </w:r>
    </w:p>
    <w:p w14:paraId="1C619CE1" w14:textId="77777777" w:rsidR="00A31ACD" w:rsidRPr="00A31ACD" w:rsidRDefault="00A31ACD" w:rsidP="00A31ACD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42</w:t>
      </w:r>
    </w:p>
    <w:p w14:paraId="67CC2320" w14:textId="3CA1B5E7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I. </w:t>
      </w:r>
      <w:r w:rsidR="002C3CD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Kapitola II hlavy I zákona č. 2004-575 ze dne 21. června 2004 o důvěře v digitální ekonomiku se mění takto:</w:t>
      </w:r>
      <w:r>
        <w:rPr>
          <w:rFonts w:ascii="Times New Roman" w:hAnsi="Times New Roman"/>
          <w:sz w:val="24"/>
        </w:rPr>
        <w:br/>
        <w:t>1. Ustanovení čl. 6 odst. I bodu 7 dílčího bodu 4 se mění takto:</w:t>
      </w:r>
      <w:r>
        <w:rPr>
          <w:rFonts w:ascii="Times New Roman" w:hAnsi="Times New Roman"/>
          <w:sz w:val="24"/>
        </w:rPr>
        <w:br/>
        <w:t>a) První věta se doplňuje slovy: „a zveřejní prostředky, které věnují boji proti nepovoleným činnostem uvedeným ve třetím odstavci tohoto bodu 7“;</w:t>
      </w:r>
      <w:r>
        <w:rPr>
          <w:rFonts w:ascii="Times New Roman" w:hAnsi="Times New Roman"/>
          <w:sz w:val="24"/>
        </w:rPr>
        <w:br/>
        <w:t>b) za stejnou první větu se vkládá nová věta, která zní: „Tyto povinnosti se nevztahují na hospodářské subjekty uvedené v čl. 6-4 odst. I s cílem bojovat proti šíření obsahu uvedeného v témže odstavci I.“;</w:t>
      </w:r>
      <w:r>
        <w:rPr>
          <w:rFonts w:ascii="Times New Roman" w:hAnsi="Times New Roman"/>
          <w:sz w:val="24"/>
        </w:rPr>
        <w:br/>
        <w:t>c) Druhá věta se mění takto:</w:t>
      </w:r>
    </w:p>
    <w:p w14:paraId="1D6C7618" w14:textId="1A58D979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2C3CD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na začátku se slovo: „Tito“ nahrazuje slovy: „Osoby uvedené v bodech 1 a 2 tohoto odstavce I“;</w:t>
      </w:r>
      <w:r>
        <w:rPr>
          <w:rFonts w:ascii="Times New Roman" w:hAnsi="Times New Roman"/>
          <w:sz w:val="24"/>
        </w:rPr>
        <w:br/>
      </w:r>
      <w:r w:rsidR="002C3CD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slova: „, na jedné straně“ se vypouštějí;</w:t>
      </w:r>
      <w:r>
        <w:rPr>
          <w:rFonts w:ascii="Times New Roman" w:hAnsi="Times New Roman"/>
          <w:sz w:val="24"/>
        </w:rPr>
        <w:br/>
      </w:r>
      <w:r w:rsidR="002C3CD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slova: „předchozího pododstavce“ se nahrazují slovy: „ve třetím pododstavci článku 7“;</w:t>
      </w:r>
      <w:r>
        <w:rPr>
          <w:rFonts w:ascii="Times New Roman" w:hAnsi="Times New Roman"/>
          <w:sz w:val="24"/>
        </w:rPr>
        <w:br/>
      </w:r>
      <w:r w:rsidR="002C3CD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po slově: „služby“, se vypouští závěr;</w:t>
      </w:r>
    </w:p>
    <w:p w14:paraId="64FB26AC" w14:textId="77777777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2. Za článek 6-2 se vkládá nový článek 6-4, který zní:</w:t>
      </w:r>
    </w:p>
    <w:p w14:paraId="120777EB" w14:textId="77777777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„Článek 6-4. - I. - Provozovatelé on-line platforem definovaných v článku L111-7 spotřebitelského zákoníku, kteří nabízejí on-line veřejnou komunikační službu založenou na klasifikaci, vyhledávání nebo sdílení obsahu umístěného na internetu třetími osobami a jejichž činnost na francouzském území přesahuje prahovou hodnotu počtu spojení stanoveného dekretem, bez ohledu na to, zda jsou usazeni na francouzském území, přispívají k boji proti veřejnému šíření obsahu v rozporu s ustanoveními uvedenými v čl. 6 odst. I bodě 7 tohoto zákona, jakož i v čl. 33 třetím a čtvrtém pododstavci zákona ze dne 29. července 1881 o svobodě tisku. V tomto ohledu:</w:t>
      </w:r>
      <w:r>
        <w:rPr>
          <w:rFonts w:ascii="Times New Roman" w:hAnsi="Times New Roman"/>
          <w:sz w:val="24"/>
        </w:rPr>
        <w:br/>
        <w:t>„1. Zavádějí přiměřené lidské a technologické postupy a prostředky, které jim umožní: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„a) co nejdříve informovat soudní nebo správní orgány o opatřeních, která přijaly v důsledku příkazů vydaných těmito orgány ohledně obsahu uvedeného v prvním pododstavci tohoto odstavce I;</w:t>
      </w:r>
      <w:r>
        <w:rPr>
          <w:rFonts w:ascii="Times New Roman" w:hAnsi="Times New Roman"/>
          <w:sz w:val="24"/>
        </w:rPr>
        <w:br/>
        <w:t>„b) neprodleně potvrdit bezpečné přijetí žádostí soudních nebo správních orgánů o sdělování údajů, které mají k dispozici, s cílem umožnit identifikaci uživatelů, kteří nahráli obsah uvedený ve stejném prvním odstavci, a co nejdříve informovat tyto orgány o následných opatřeních k těmto žádostem;</w:t>
      </w:r>
      <w:r>
        <w:rPr>
          <w:rFonts w:ascii="Times New Roman" w:hAnsi="Times New Roman"/>
          <w:sz w:val="24"/>
        </w:rPr>
        <w:br/>
        <w:t>„c) pokud jsou zapojeni do ukládání obsahu, dočasně zachovat obsah, který jim byl oznámen v rozporu s ustanoveními uvedenými v prvním pododstavci a který stáhli nebo učinili nepřístupným, za účelem jeho zpřístupnění soudním orgánům za účelem vyšetřování, identifikace a stíhání trestných činů; doba trvání a podmínky pro uchování tohoto obsahu se vymezují nařízením Státní rady na základě stanoviska Národní komise pro informační technologie a svobody;</w:t>
      </w:r>
      <w:r>
        <w:rPr>
          <w:rFonts w:ascii="Times New Roman" w:hAnsi="Times New Roman"/>
          <w:sz w:val="24"/>
        </w:rPr>
        <w:br/>
        <w:t>„2. Určují jediné kontaktní místo, fyzickou osobu odpovědnou za komunikaci s orgány veřejné moci a za provádění tohoto článku, jíž zejména všechny žádosti podané Nejvyšší radou pro audiovizuální záležitosti podle článku 62 zákona č. 86-1067 ze dne 30. září 1986 o svobodě komunikací mohou být zasílány elektronickými prostředky. Toto jediné kontaktní místo odpovídá zejména za přijímání žádostí podaných provozovateli soudním orgánem v souladu s řízením dle čl. 6 odst. II tohoto zákona s cílem zajistit jejich rychlé vyřízení;</w:t>
      </w:r>
      <w:r>
        <w:rPr>
          <w:rFonts w:ascii="Times New Roman" w:hAnsi="Times New Roman"/>
          <w:sz w:val="24"/>
        </w:rPr>
        <w:br/>
        <w:t>„3. Zpřístupňují veřejnosti snadno přístupným způsobem obecné podmínky využívání služeb, které nabízejí; zahrnují do nich ustanovení zakazující on-line zveřejňování nezákonného obsahu uvedeného v prvním pododstavci tohoto odstavce I; jasně a přesně v něm popisují opatření pro moderování, jejichž cílem je v případě potřeby odhalit a zpracovávat takový obsah, přičemž podrobně uvedou postupy a lidské nebo automatizované prostředky používané k tomuto účelu a opatření, která provádějí, a opatření, která mají vliv na dostupnost, viditelnost a přístupnost tohoto obsahu; uvádí v něm opatření, která provádějí, pokud jde o uživatele, kteří tento obsah zpřístupnili on-line, jakož i vnitrostátní a právní opravné prostředky, které mají tito uživatelé k dispozici;</w:t>
      </w:r>
      <w:r>
        <w:rPr>
          <w:rFonts w:ascii="Times New Roman" w:hAnsi="Times New Roman"/>
          <w:sz w:val="24"/>
        </w:rPr>
        <w:br/>
        <w:t>„4. Informují veřejnost o použitých prostředcích a opatřeních přijatých k boji proti šíření informací, pro uživatele na území Francie, o nezákonném obsahu uvedeném v prvním pododstavci tohoto odstavce I, v souladu s postupy a intervaly stanovenými Nejvyšší radou pro audiovizuální záležitosti, o informacích a kvantifikovaných ukazatelích vymezených radou, které se týkají zejména zpracování příkazů nebo žádostí o informace od soudních nebo správních orgánů, obdržených oznámení a výběru vnitřní správy a kde je to vhodné, kritéria pro volbu důvěryhodných třetích stran, jejichž oznámení dostávají přednostní zacházení, přičemž se použijí kritéria týkající se důvěrnosti a třetí strany;</w:t>
      </w:r>
      <w:r>
        <w:rPr>
          <w:rFonts w:ascii="Times New Roman" w:hAnsi="Times New Roman"/>
          <w:sz w:val="24"/>
        </w:rPr>
        <w:br/>
        <w:t>„5. Zavádějí snadno přístupný a snadno použitelný postup, který umožní každé osobě ohlásit elektronickými prostředky, s upřesněním údajů uvedených v čl. 6 odst. I bodu 5, jakýkoli obsah, který tato osoba považuje za porušující ustanovení uvedená v prvním pododstavci tohoto odstavce I;</w:t>
      </w:r>
      <w:r>
        <w:rPr>
          <w:rFonts w:ascii="Times New Roman" w:hAnsi="Times New Roman"/>
          <w:sz w:val="24"/>
        </w:rPr>
        <w:br/>
        <w:t>„6. Zajistí, aby oznámení předložená subjekty, které uznávají za důvěryhodné třetí strany, týkající se nezákonného obsahu uvedeného v prvním pododstavci tohoto odstavce I, byla zpracována přednostně.</w:t>
      </w:r>
      <w:r>
        <w:rPr>
          <w:rFonts w:ascii="Times New Roman" w:hAnsi="Times New Roman"/>
          <w:sz w:val="24"/>
        </w:rPr>
        <w:br/>
        <w:t xml:space="preserve">„Status důvěryhodných třetích stran se uděluje v souladu s podmínkami stanovenými Nejvyšší radou pro audiovizuální záležitosti za transparentních a nediskriminačních podmínek a na jejich žádost subjektům, které mají zvláštní odborné znalosti a kompetence pro odhalování, identifikaci a oznamování </w:t>
      </w:r>
      <w:r>
        <w:rPr>
          <w:rFonts w:ascii="Times New Roman" w:hAnsi="Times New Roman"/>
          <w:sz w:val="24"/>
        </w:rPr>
        <w:lastRenderedPageBreak/>
        <w:t>nezákonného obsahu uvedeného v prvním pododstavci, které zastupují kolektivní zájmy a poskytují záruky obezřetnosti a objektivity;</w:t>
      </w:r>
      <w:r>
        <w:rPr>
          <w:rFonts w:ascii="Times New Roman" w:hAnsi="Times New Roman"/>
          <w:sz w:val="24"/>
        </w:rPr>
        <w:br/>
        <w:t>„7. Zavádějí přiměřené lidské a technologické postupy a prostředky, které jim umožňují:</w:t>
      </w:r>
      <w:r>
        <w:rPr>
          <w:rFonts w:ascii="Times New Roman" w:hAnsi="Times New Roman"/>
          <w:sz w:val="24"/>
        </w:rPr>
        <w:br/>
        <w:t>„a) rychle potvrdit bezpečné přijetí oznámení týkajících se nezákonného obsahu uvedeného v prvním pododstavci tohoto odstavce I, s výhradou informací nezbytných pro kontaktování autora;</w:t>
      </w:r>
      <w:r>
        <w:rPr>
          <w:rFonts w:ascii="Times New Roman" w:hAnsi="Times New Roman"/>
          <w:sz w:val="24"/>
        </w:rPr>
        <w:br/>
        <w:t>„b) zajistit včasnou analýzu těchto oznámení;</w:t>
      </w:r>
      <w:r>
        <w:rPr>
          <w:rFonts w:ascii="Times New Roman" w:hAnsi="Times New Roman"/>
          <w:sz w:val="24"/>
        </w:rPr>
        <w:br/>
        <w:t>„c) informovat autora o opatřeních, která v nich byla přijata, a o dostupných vnitrostátních a právních opravných prostředcích, s výhradou informací nezbytných pro jejich kontakt;</w:t>
      </w:r>
      <w:r>
        <w:rPr>
          <w:rFonts w:ascii="Times New Roman" w:hAnsi="Times New Roman"/>
          <w:sz w:val="24"/>
        </w:rPr>
        <w:br/>
        <w:t>„d) Je-li rozhodnuto obsah odstranit nebo jej učinit nepřístupným z důvodu nerespektování ustanovení uvedených v témže prvním pododstavci, informovat uživatele při jeho zveřejnění, pokud jsou k dispozici nezbytné informace pro jejich kontakt:</w:t>
      </w:r>
    </w:p>
    <w:p w14:paraId="43902745" w14:textId="3A6A5D35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</w:t>
      </w:r>
      <w:r w:rsidR="002C3CD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uvedení důvodů tohoto rozhodnutí;</w:t>
      </w:r>
      <w:r>
        <w:rPr>
          <w:rFonts w:ascii="Times New Roman" w:hAnsi="Times New Roman"/>
          <w:sz w:val="24"/>
        </w:rPr>
        <w:br/>
        <w:t>„</w:t>
      </w:r>
      <w:r w:rsidR="002C3CD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upřesnění, zda bylo toto rozhodnutí učiněno prostřednictvím automatizovaného nástroje;</w:t>
      </w:r>
      <w:r>
        <w:rPr>
          <w:rFonts w:ascii="Times New Roman" w:hAnsi="Times New Roman"/>
          <w:sz w:val="24"/>
        </w:rPr>
        <w:br/>
        <w:t>„</w:t>
      </w:r>
      <w:r w:rsidR="002C3CD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informovat je o vnitrostátních a právních opravných prostředcích, které mají k dispozici;</w:t>
      </w:r>
      <w:r>
        <w:rPr>
          <w:rFonts w:ascii="Times New Roman" w:hAnsi="Times New Roman"/>
          <w:sz w:val="24"/>
        </w:rPr>
        <w:br/>
        <w:t>„</w:t>
      </w:r>
      <w:r w:rsidR="002C3CD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a podat zprávy o občanských a trestních sankcích za zveřejnění nedovoleného obsahu.</w:t>
      </w:r>
    </w:p>
    <w:p w14:paraId="0C3F650D" w14:textId="228A3044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„Toto písmeno d) se nepoužije, pokud o to požádá orgán veřejné moci z důvodů veřejného pořádku nebo s cílem zajistit prevenci, odhalování, vyšetřování a stíhání trestných činů;</w:t>
      </w:r>
      <w:r>
        <w:rPr>
          <w:rFonts w:ascii="Times New Roman" w:hAnsi="Times New Roman"/>
          <w:sz w:val="24"/>
        </w:rPr>
        <w:br/>
        <w:t>„8. Zavádějí vnitřní nápravné prostředky, které umožňují:</w:t>
      </w:r>
      <w:r>
        <w:rPr>
          <w:rFonts w:ascii="Times New Roman" w:hAnsi="Times New Roman"/>
          <w:sz w:val="24"/>
        </w:rPr>
        <w:br/>
        <w:t>„a) autorovi oznámení o nezákonném obsahu uvedeném v prvním pododstavci tohoto odstavce I napadnout rozhodnutí provozovatele v reakci na toto oznámení;</w:t>
      </w:r>
      <w:r>
        <w:rPr>
          <w:rFonts w:ascii="Times New Roman" w:hAnsi="Times New Roman"/>
          <w:sz w:val="24"/>
        </w:rPr>
        <w:br/>
        <w:t>„b) uživateli, který je původcem zveřejnění obsahu, jež byl předmětem rozhodnutí uvedeného v bodě 7 písm. d), napadnout toto rozhodnutí;</w:t>
      </w:r>
      <w:r>
        <w:rPr>
          <w:rFonts w:ascii="Times New Roman" w:hAnsi="Times New Roman"/>
          <w:sz w:val="24"/>
        </w:rPr>
        <w:br/>
      </w:r>
      <w:bookmarkStart w:id="0" w:name="_Hlk95728991"/>
      <w:r>
        <w:rPr>
          <w:rFonts w:ascii="Times New Roman" w:hAnsi="Times New Roman"/>
          <w:sz w:val="24"/>
        </w:rPr>
        <w:t>„</w:t>
      </w:r>
      <w:bookmarkEnd w:id="0"/>
      <w:r>
        <w:rPr>
          <w:rFonts w:ascii="Times New Roman" w:hAnsi="Times New Roman"/>
          <w:sz w:val="24"/>
        </w:rPr>
        <w:t>c) uživateli, který byl předmětem rozhodnutí uvedeného v bodu 9 písm. a) nebo b), napadnout toto rozhodnutí.</w:t>
      </w:r>
      <w:r>
        <w:rPr>
          <w:rFonts w:ascii="Times New Roman" w:hAnsi="Times New Roman"/>
          <w:sz w:val="24"/>
        </w:rPr>
        <w:br/>
      </w:r>
      <w:r w:rsidR="002C3CD8" w:rsidRPr="002C3CD8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Zajišťují, aby tyto systémy byly snadno přístupné a snadno použitelné a aby umožňovaly vhodné a rychlé zpracování opravných prostředků, které nejsou založeny pouze na použití automatizovaných prostředků, bezodkladně informují uživatele o přijatém rozhodnutí a neprodleně zruší opatření týkající se dotyčného obsahu nebo uživatele zavedeného provozovatelem, pokud kasační opravný prostředek vede k závěru, že napadené rozhodnutí nebylo odůvodněné;</w:t>
      </w:r>
      <w:r>
        <w:rPr>
          <w:rFonts w:ascii="Times New Roman" w:hAnsi="Times New Roman"/>
          <w:sz w:val="24"/>
        </w:rPr>
        <w:br/>
        <w:t>„9. Při rozhodování o provádění těchto postupů stanoví ve svých podmínkách používání jasné a přesné postupy vedoucí k:</w:t>
      </w:r>
      <w:r>
        <w:rPr>
          <w:rFonts w:ascii="Times New Roman" w:hAnsi="Times New Roman"/>
          <w:sz w:val="24"/>
        </w:rPr>
        <w:br/>
        <w:t>„a) Pozastavení nebo v nejzávažnějších případech ukončení účtu uživatelů, kteří opakovaně nahrávali obsah v rozporu s ustanoveními uvedenými v prvním pododstavci tohoto odstavce I;</w:t>
      </w:r>
      <w:r>
        <w:rPr>
          <w:rFonts w:ascii="Times New Roman" w:hAnsi="Times New Roman"/>
          <w:sz w:val="24"/>
        </w:rPr>
        <w:br/>
        <w:t>„b) Pozastavení přístupu k oznamovacímu mechanismu uživatelům, kteří opakovaně předložili zjevně neopodstatněná oznámení týkající se obsahu uvedeného ve stejném prvním pododstavci.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„Při provádění těchto postupů bude provedena případová analýza zaměřená na objektivní charakterizaci existence jednání uvedeného v bodě 9 písm. a) nebo b), která zohledňuje zejména:</w:t>
      </w:r>
    </w:p>
    <w:p w14:paraId="7714552C" w14:textId="07B9DBE5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</w:t>
      </w:r>
      <w:r w:rsidR="002C3CD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množství nezákonného obsahu uvedeného v prvním pododstavci tohoto odstavce I nebo počet zjevně neopodstatněných oznámení od uživatele v uplynulém roce, a to jak v absolutních číslech, tak v poměru k celkovému množství obsahu nebo počtu oznámení, za která byl odpovědný;</w:t>
      </w:r>
      <w:r>
        <w:rPr>
          <w:rFonts w:ascii="Times New Roman" w:hAnsi="Times New Roman"/>
          <w:sz w:val="24"/>
        </w:rPr>
        <w:br/>
        <w:t>„</w:t>
      </w:r>
      <w:r w:rsidR="002C3CD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a závažnost a důsledky tohoto zneužívání.</w:t>
      </w:r>
    </w:p>
    <w:p w14:paraId="621474B0" w14:textId="77777777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„Při provádění těchto postupů stanoví, že opatření uvedená v bodě 9 písm. a) a b) musí být svou povahou úměrná závažnosti dotyčného jednání a v případě pozastavení se prohlásí na přiměřenou dobu. Uživatel obdrží varování a informace o dostupných vnitrostátních a soudních opravných prostředcích.</w:t>
      </w:r>
      <w:r>
        <w:rPr>
          <w:rFonts w:ascii="Times New Roman" w:hAnsi="Times New Roman"/>
          <w:sz w:val="24"/>
        </w:rPr>
        <w:br/>
        <w:t>„II. - Hospodářské subjekty uvedené v prvním pododstavci tohoto odstavce I s činnostmi na území Francie, které přesahují hranici počtu spojů stanovených výnosem a které jsou vyšší než ty, které jsou uvedeny v témže prvním pododstavci:</w:t>
      </w:r>
      <w:r>
        <w:rPr>
          <w:rFonts w:ascii="Times New Roman" w:hAnsi="Times New Roman"/>
          <w:sz w:val="24"/>
        </w:rPr>
        <w:br/>
        <w:t>„1. Provádějí hodnocení systémových rizik spojených s provozováním a využíváním jejich služeb s ohledem na šíření obsahu uvedeného v prvním pododstavci a v souvislosti s porušováním základních práv, včetně svobody projevu. Toto posouzení zohlední charakteristiky těchto služeb, zejména jejich účinky na šíření viru nebo hromadné šíření výše uvedeného obsahu;</w:t>
      </w:r>
      <w:r>
        <w:rPr>
          <w:rFonts w:ascii="Times New Roman" w:hAnsi="Times New Roman"/>
          <w:sz w:val="24"/>
        </w:rPr>
        <w:br/>
        <w:t>„2. Provádějí přiměřená, účinná a úměrná opatření, zejména pokud jde o charakteristiky jejich služeb a rozsah a závažnost rizik zjištěných na konci posouzení uvedeného v odst. II bodě 1, zaměřená na zmírnění rizik šíření tohoto obsahu, která se mohou týkat zejména postupů a lidských a technologických prostředků používaných ke zjišťování, identifikaci a zacházení s tímto obsahem, přičemž se zabraňuje riziku neoprávněného odstranění podle platného práva a podmínek jejich používání;</w:t>
      </w:r>
      <w:r>
        <w:rPr>
          <w:rFonts w:ascii="Times New Roman" w:hAnsi="Times New Roman"/>
          <w:sz w:val="24"/>
        </w:rPr>
        <w:br/>
        <w:t>„3. V souladu s postupy a intervaly stanovenými Nejvyšší radou pro audiovizuální záležitosti podává veřejnosti zprávu o hodnocení těchto systémových rizik a provedených opatřeních ke zmírnění rizika.</w:t>
      </w:r>
      <w:r>
        <w:rPr>
          <w:rFonts w:ascii="Times New Roman" w:hAnsi="Times New Roman"/>
          <w:sz w:val="24"/>
        </w:rPr>
        <w:br/>
        <w:t>„III. - Provozovatelé uvedení v prvním pododstavci odstavce I podají Nejvyšší radě pro audiovizuální záležitosti zprávu o postupech a prostředcích používaných k uplatňování tohoto článku za podmínek stanovených v článku 62 zákona č. 86-1067 ze dne 30. září 1986, jak je uvedeno výše.“</w:t>
      </w:r>
    </w:p>
    <w:p w14:paraId="45CD7FF2" w14:textId="225D9992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II. </w:t>
      </w:r>
      <w:r w:rsidR="002C3CD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Zákon č. 86-1067 ze dne 30. září 1986 o svobodě komunikací se mění takto:</w:t>
      </w:r>
      <w:r>
        <w:rPr>
          <w:rFonts w:ascii="Times New Roman" w:hAnsi="Times New Roman"/>
          <w:sz w:val="24"/>
        </w:rPr>
        <w:br/>
        <w:t>1. V čl. 19 odst. I odst. 1 třetím pododstavci se slova: „a také platformy pro sdílení videa“ nahrazují slovy: „, platformy pro sdílení videa a provozovatelé on-line platforem uvedených v článku 62“;</w:t>
      </w:r>
      <w:r>
        <w:rPr>
          <w:rFonts w:ascii="Times New Roman" w:hAnsi="Times New Roman"/>
          <w:sz w:val="24"/>
        </w:rPr>
        <w:br/>
        <w:t>2. V čl. 42-7 prvním odstavci se odkaz: „a 48-3“ nahrazuje odkazy: „, 48-3 a 62“;</w:t>
      </w:r>
      <w:r>
        <w:rPr>
          <w:rFonts w:ascii="Times New Roman" w:hAnsi="Times New Roman"/>
          <w:sz w:val="24"/>
        </w:rPr>
        <w:br/>
        <w:t>3. Hlava IV se doplňuje kapitolou III, která zní takto:</w:t>
      </w:r>
    </w:p>
    <w:p w14:paraId="77B231FD" w14:textId="23598024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2C3CD8" w:rsidRPr="002C3CD8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KAPITOLA III</w:t>
      </w:r>
      <w:r>
        <w:rPr>
          <w:rFonts w:ascii="Times New Roman" w:hAnsi="Times New Roman"/>
          <w:sz w:val="24"/>
        </w:rPr>
        <w:br/>
      </w:r>
      <w:r w:rsidR="002C3CD8" w:rsidRPr="002C3CD8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Ustanovení vztahující se na on-line platformy pro boj proti nenávistnému obsahu</w:t>
      </w:r>
    </w:p>
    <w:p w14:paraId="0A34B744" w14:textId="0B68A64B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 xml:space="preserve">„Článek 62. </w:t>
      </w:r>
      <w:r w:rsidR="002C3CD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I. </w:t>
      </w:r>
      <w:r w:rsidR="002C3CD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Nejvyšší rada pro audiovizuální záležitosti zajistí, aby provozovatelé on-line platforem uvedení v čl. 6-4 odst. I zákona č. 2004-575 ze dne 21. června 2004 o důvěře v digitální ekonomiku dodržovali ustanovení téhož článku 6-4, s ohledem na každou ze služeb, které nabízejí, charakteristiky služby a přiměřenost prostředků použitých provozovatelem, zejména s ohledem na rozsah a závažnost rizik šíření obsahu uvedeného v prvním pododstavci uvedeného čl. 6-4 odst. I na této službě a rizika neodůvodněného vyloučení podle platných zákonů a podmínek jejich použití. Poskytne těmto provozovatelům platforem pokyny pro uplatňování téhož článku 6-4.</w:t>
      </w:r>
      <w:r>
        <w:rPr>
          <w:rFonts w:ascii="Times New Roman" w:hAnsi="Times New Roman"/>
          <w:sz w:val="24"/>
        </w:rPr>
        <w:br/>
        <w:t>„Nejvyšší rada pro audiovizuální záležitosti shromažďuje od těchto provozovatelů za podmínek stanovených v článku 19 tohoto zákona informace nezbytné ke sledování jejich povinností. V této souvislosti provozovatelé uvedení v čl. 6-4 odst. II zákona č. 2004-575 ze dne 21. června 2004 poskytují přístup k zásadám fungování automatizovaných nástrojů používaných k plnění těchto povinností, k parametrům používaným těmito nástroji, k metodám a údajům použitým pro hodnocení a zlepšení jejich výkonnosti a k jakýmkoli dalším informacím nebo údajům, které jim umožní vyhodnotit jejich účinnost v souladu s ustanoveními o ochraně osobních údajů. V souladu s těmito ustanoveními jim rada může zaslat přiměřené žádosti o přístup prostřednictvím zvláštních programovacích rozhraní k jakýmkoli údajům, které jsou důležité pro posouzení jejich účinnosti. V souladu s těmito ustanoveními a pro stejné účely může zavést přiměřené metody pro automatizovaný sběr veřejně přístupných údajů za účelem přístupu k nezbytným údajům, a to i v případě, že přístup k těmto údajům vyžaduje přihlášení k účtu.</w:t>
      </w:r>
      <w:r>
        <w:rPr>
          <w:rFonts w:ascii="Times New Roman" w:hAnsi="Times New Roman"/>
          <w:sz w:val="24"/>
        </w:rPr>
        <w:br/>
        <w:t>„Definuje informace a kvantifikované ukazatele, které mají tito provozovatelé zveřejňovat v souladu s čl. 6-4 odst. I bodem 4, jakož i způsoby a intervaly tohoto zveřejnění.</w:t>
      </w:r>
      <w:r>
        <w:rPr>
          <w:rFonts w:ascii="Times New Roman" w:hAnsi="Times New Roman"/>
          <w:sz w:val="24"/>
        </w:rPr>
        <w:br/>
        <w:t>„Každoročně zveřejní přezkum uplatňování ustanovení článku 6-4.</w:t>
      </w:r>
      <w:r>
        <w:rPr>
          <w:rFonts w:ascii="Times New Roman" w:hAnsi="Times New Roman"/>
          <w:sz w:val="24"/>
        </w:rPr>
        <w:br/>
        <w:t xml:space="preserve">„II. </w:t>
      </w:r>
      <w:r w:rsidR="002C3CD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Nejvyšší rada pro audiovizuální záležitosti podpoří provozovatele on-line platforem uvedených v čl. 6–4 odst. I výše uvedeného zákona č. 2004–575 ze dne 21. června 2004 při zavádění:</w:t>
      </w:r>
      <w:r>
        <w:rPr>
          <w:rFonts w:ascii="Times New Roman" w:hAnsi="Times New Roman"/>
          <w:sz w:val="24"/>
        </w:rPr>
        <w:br/>
        <w:t>„1. nástrojů pro spolupráci a sdílení informací mezi provozovateli platforem v otevřeném formátu, který je v souladu s jeho doporučeními, za účelem boje proti případům porušení předpisů uvedeným v článku 6–4;</w:t>
      </w:r>
      <w:r>
        <w:rPr>
          <w:rFonts w:ascii="Times New Roman" w:hAnsi="Times New Roman"/>
          <w:sz w:val="24"/>
        </w:rPr>
        <w:br/>
        <w:t>„2. přiměřených technických zařízení umožňujících až do zpracování oznámení o obsahu podle článku 6–4 omezit sdílení tohoto obsahu a expozici veřejnosti tomuto obsahu;</w:t>
      </w:r>
      <w:r>
        <w:rPr>
          <w:rFonts w:ascii="Times New Roman" w:hAnsi="Times New Roman"/>
          <w:sz w:val="24"/>
        </w:rPr>
        <w:br/>
        <w:t>„3. společných technických norem pro interoperabilitu mezi on-line veřejnými komunikačními službami v souladu se současným stavem techniky, které jsou zdokumentovány a stabilní, s cílem usnadnit volný výběr uživatelů mezi různými platformami.</w:t>
      </w:r>
      <w:r>
        <w:rPr>
          <w:rFonts w:ascii="Times New Roman" w:hAnsi="Times New Roman"/>
          <w:sz w:val="24"/>
        </w:rPr>
        <w:br/>
        <w:t xml:space="preserve">„III. </w:t>
      </w:r>
      <w:r w:rsidR="002C3CD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Nejvyšší rada pro audiovizuální záležitosti může vyzvat subjekty, aby ve stanovené lhůtě vyhověly výše uvedeným ustanovením článku 6-4 zákona č. 2004-575 ze dne 21. června 2004 a odpověděly na žádost o poskytnutí informací zaslanou na základě druhého pododstavce odstavce I tohoto článku.</w:t>
      </w:r>
      <w:r>
        <w:rPr>
          <w:rFonts w:ascii="Times New Roman" w:hAnsi="Times New Roman"/>
          <w:sz w:val="24"/>
        </w:rPr>
        <w:br/>
      </w:r>
      <w:r w:rsidR="002C3CD8" w:rsidRPr="002C3CD8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 xml:space="preserve">V případě, že provozovatel nevyhoví obdrženému oznámení, může Nejvyšší rada pro audiovizuální záležitosti za podmínek stanovených v článku 42-7 tohoto zákona vydat pokutu, jejíž výše zohlední závažnost nesouladu a případně jeho opakovanou povahu, která nepřesahuje 20 milionů EUR nebo 6 % celkového ročního obratu za předchozí rok, podle toho, která hodnota je vyšší. V případě, že </w:t>
      </w:r>
      <w:r>
        <w:rPr>
          <w:rFonts w:ascii="Times New Roman" w:hAnsi="Times New Roman"/>
          <w:sz w:val="24"/>
        </w:rPr>
        <w:lastRenderedPageBreak/>
        <w:t>stejné porušení bylo v jiném státě předmětem finanční sankce vypočtené na stejném základě, vezme se výše této sankce v úvahu pro určení sankce uložené podle tohoto odstavce.</w:t>
      </w:r>
      <w:r>
        <w:rPr>
          <w:rFonts w:ascii="Times New Roman" w:hAnsi="Times New Roman"/>
          <w:sz w:val="24"/>
        </w:rPr>
        <w:br/>
        <w:t>„Odchylně od druhého pododstavce tohoto odstavce III nesmí v případě odmítnutí zveřejnit informace požadované regulačním orgánem podle druhého pododstavce odstavce I nebo v případě sdělení nepravdivých nebo zavádějících informací výše uložené sankce přesáhnout 1 % celkového ročního celosvětového obratu za předchozí rozpočtový rok.</w:t>
      </w:r>
      <w:r>
        <w:rPr>
          <w:rFonts w:ascii="Times New Roman" w:hAnsi="Times New Roman"/>
          <w:sz w:val="24"/>
        </w:rPr>
        <w:br/>
        <w:t>„Nejvyšší rada pro audiovizuální záležitosti může oznámení a sankce zveřejnit. Ve svém rozhodnutí určí podrobnosti tohoto zveřejnění, které musí být úměrné závažnosti porušení. Může rovněž nařídit vložení svého rozhodnutí do určených publikací, novin a sdělovacích prostředků na náklady hospodářských subjektů, na něž se vztahuje formální oznámení nebo sankce.</w:t>
      </w:r>
      <w:r>
        <w:rPr>
          <w:rFonts w:ascii="Times New Roman" w:hAnsi="Times New Roman"/>
          <w:sz w:val="24"/>
        </w:rPr>
        <w:br/>
        <w:t>„Pokuty jsou vybírány jako nezdanitelné a nemovité dluhy vůči státu.“;</w:t>
      </w:r>
    </w:p>
    <w:p w14:paraId="23676506" w14:textId="28E2BEBB" w:rsid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4° za slovem: „výsledkem“ zní konec článku 108 pododstavce 1 takto: „ze zákona č. 2021-1109 ze dne 24. srpna 2021, kterým se posiluje dodržování zásad republiky.“</w:t>
      </w:r>
      <w:r>
        <w:rPr>
          <w:rFonts w:ascii="Times New Roman" w:hAnsi="Times New Roman"/>
          <w:sz w:val="24"/>
        </w:rPr>
        <w:br/>
        <w:t xml:space="preserve">III. </w:t>
      </w:r>
      <w:r w:rsidR="002C3CD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A. </w:t>
      </w:r>
      <w:r w:rsidR="002C3CD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Tento článek se použije do 31. prosince 2023.</w:t>
      </w:r>
      <w:r>
        <w:rPr>
          <w:rFonts w:ascii="Times New Roman" w:hAnsi="Times New Roman"/>
          <w:sz w:val="24"/>
        </w:rPr>
        <w:br/>
        <w:t xml:space="preserve">B. </w:t>
      </w:r>
      <w:r w:rsidR="002C3CD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Odchylně od písmene A tohoto odstavce III se tento článek ode dne 7. června 2022 nepoužije k boji proti veřejnému šíření teroristického obsahu ve smyslu čl. 7 odst. 2 nařízení Evropského parlamentu a Rady (EU) 2021/784 ze dne 29. dubna 2021 o potírání šíření teroristického obsahu online.</w:t>
      </w:r>
    </w:p>
    <w:p w14:paraId="509B6F4B" w14:textId="77777777" w:rsidR="0067021E" w:rsidRPr="00A31ACD" w:rsidRDefault="0067021E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(…).</w:t>
      </w:r>
    </w:p>
    <w:sectPr w:rsidR="0067021E" w:rsidRPr="00A31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65DF"/>
    <w:multiLevelType w:val="multilevel"/>
    <w:tmpl w:val="D38E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D0DDE"/>
    <w:multiLevelType w:val="multilevel"/>
    <w:tmpl w:val="3BE0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5AA"/>
    <w:rsid w:val="000034C9"/>
    <w:rsid w:val="00054B06"/>
    <w:rsid w:val="000D276F"/>
    <w:rsid w:val="001B29CB"/>
    <w:rsid w:val="002225AA"/>
    <w:rsid w:val="002C3CD8"/>
    <w:rsid w:val="0067021E"/>
    <w:rsid w:val="00897AF7"/>
    <w:rsid w:val="00A31ACD"/>
    <w:rsid w:val="00C95584"/>
    <w:rsid w:val="00D4016E"/>
    <w:rsid w:val="00E7401A"/>
    <w:rsid w:val="00FD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7750"/>
  <w15:chartTrackingRefBased/>
  <w15:docId w15:val="{EEF3F0B8-4A83-4913-98D1-0C41ED59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3310</Words>
  <Characters>15892</Characters>
  <Application>Microsoft Office Word</Application>
  <DocSecurity>0</DocSecurity>
  <Lines>317</Lines>
  <Paragraphs>176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19026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Ines Varvodic</cp:lastModifiedBy>
  <cp:revision>2</cp:revision>
  <dcterms:created xsi:type="dcterms:W3CDTF">2022-02-14T10:03:00Z</dcterms:created>
  <dcterms:modified xsi:type="dcterms:W3CDTF">2022-02-14T10:03:00Z</dcterms:modified>
</cp:coreProperties>
</file>