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ZAKON št. 2021-1109 z dne 24.avgusta 2021 o krepitvi skladnosti z načeli Republike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 ZAGOTAVLJANJE SPOŠTOVANJA NAČEL REPUBLIKE IN MINIMALNIH ZAHTEV ZA DRUŽBENO ŽIVLJENJE (členi 1 do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II: ZAGOTAVLJANJE SVOBODNEGA OPRAVLJANJA BOGOSLUŽJA (členi 68 do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III: RAZNE DOLOČBE (členi 89 do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IV: DOLOČBE, KI SE NANAŠAJO NA ČEZMORSKE DEPARTMAJE [OUTRE-MER] (členi 91 do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I: ZAGOTAVLJANJE SPOŠTOVANJA NAČEL REPUBLIKE IN MINIMALNIH ZAHTEV ZA DRUŽBENO ŽIVLJENJE (členi 1 do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IV: Določbe o boju proti sovražnemu govoru in nezakonitim spletnim vsebinam (členi 36 do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Poglavje II naslova I Zakona št. 2004-575 z dne 21. junija 2004 o zaupanju v digitalno gospodarstvo se spremeni:</w:t>
      </w:r>
      <w:r>
        <w:rPr>
          <w:rFonts w:ascii="Times New Roman" w:hAnsi="Times New Roman"/>
          <w:sz w:val="24"/>
        </w:rPr>
        <w:br/>
        <w:t>1. Člen 6(I)(8) se spremeni:</w:t>
      </w:r>
      <w:r>
        <w:rPr>
          <w:rFonts w:ascii="Times New Roman" w:hAnsi="Times New Roman"/>
          <w:sz w:val="24"/>
        </w:rPr>
        <w:br/>
        <w:t>a) Začetek se glasi: „8. Predsednik sodišča lahko po hitrem vsebinskem postopku kateri koli osebi, ki bi lahko k temu prispevala, določi kakršne koli ukrepe ... (ostalo nespremenjeno).“;</w:t>
      </w:r>
      <w:r>
        <w:rPr>
          <w:rFonts w:ascii="Times New Roman" w:hAnsi="Times New Roman"/>
          <w:sz w:val="24"/>
        </w:rPr>
        <w:br/>
        <w:t>b) doda se odstavek, ki se glasi:</w:t>
      </w:r>
      <w:r>
        <w:rPr>
          <w:rFonts w:ascii="Times New Roman" w:hAnsi="Times New Roman"/>
          <w:sz w:val="24"/>
        </w:rPr>
        <w:br/>
        <w:t>„Določi osebe ali kategorije oseb, pri katerih lahko upravni organ vloži prošnjo pod pogoji iz člena 6(3).“;</w:t>
      </w:r>
      <w:r>
        <w:rPr>
          <w:rFonts w:ascii="Times New Roman" w:hAnsi="Times New Roman"/>
          <w:sz w:val="24"/>
        </w:rPr>
        <w:br/>
        <w:t>2. za členom 6-2 se vstavi člen 6-3, ki se glasi:</w:t>
      </w:r>
    </w:p>
    <w:p w14:paraId="6D881305" w14:textId="6AB9D737"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„Člen 6-3. </w:t>
      </w:r>
      <w:r w:rsidR="00D51D99">
        <w:rPr>
          <w:rFonts w:ascii="Times New Roman" w:hAnsi="Times New Roman"/>
          <w:sz w:val="24"/>
        </w:rPr>
        <w:t>-</w:t>
      </w:r>
      <w:r>
        <w:rPr>
          <w:rFonts w:ascii="Times New Roman" w:hAnsi="Times New Roman"/>
          <w:sz w:val="24"/>
        </w:rPr>
        <w:t xml:space="preserve"> Če izvršljiva sodna odločba odredi kakršen koli ukrep za preprečitev dostopa do spletne javne komunikacijske storitve, katere vsebina spada med kazniva dejanja iz člena 6(I)(7), lahko upravni organ, če to zahteva katera koli zadevna oseba, zahteva od oseb iz člena 6(I)(1) ali (2) ali katere koli zadevne osebe ali kategorije oseb iz navedene sodne odločbe, za obdobje, ki ni daljše od preostalega trajanja ukrepov, odrejenih s to sodno odločbo, da preprečijo dostop do katere koli spletne javne komunikacijske storitve, za katero je predhodno ugotovila, da v celoti ali bistveno vsebuje vsebino spletnega mesta.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Pod enakimi pogoji in za enako časovno obdobje lahko upravni organ od katerega koli izvajalca storitve na podlagi razvrstitve ali sklicevanja z računalniškimi algoritmi na vsebino, ki jo predlagajo ali objavijo na spletu tretje osebe, zahteva, da prekine navajanje spletnih naslovov, ki javnosti omogočajo dostop do takšnih spletnih komunikacijskih storitev v prvem odstavku tega člena.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Upravni organ posodablja seznam spletnih komunikacijskih storitev iz istega prvega odstavka tega člena, ki so bile predmet zahteve po blokiranju dostopa v skladu z omenjenim prvim odstavkom, ter spletnih naslovov, ki omogočajo dostop do teh storitev, in ga da na voljo oglaševalcem, njihovim zastopnikom in službam </w:t>
      </w:r>
      <w:r>
        <w:rPr>
          <w:rFonts w:ascii="Times New Roman" w:hAnsi="Times New Roman"/>
          <w:sz w:val="24"/>
        </w:rPr>
        <w:lastRenderedPageBreak/>
        <w:t>iz člena 299(II)(2) Splošnega davčnega zakonika. Te storitve se dodajo na ta seznam za preostalo obdobje trajanja ukrepov, ki ga odredi sodni organ. V celotnem obdobju vpisa na ta seznam morajo oglaševalci, njihovi zastopniki in storitve iz člena 299(II)(2) Splošnega zakonika o davkih, ki vzdržujejo poslovne odnose, zlasti za oglaševanje, s spletnimi javnimi komunikacijskimi storitvami s tega seznama vsaj enkrat letno na svojem spletnem mestu objaviti obstoj teh razmerij in jih navesti v svojem letnem poročilu, če ga morajo sprejeti.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Če take storitve niso bile blokirane ali odložene v skladu s tem členom, lahko predsednik sodišča po hitrem vsebinskem postopku predpiše kakršen koli ukrep za prenehanje dostopa do vsebine teh storitev.“</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42</w:t>
      </w:r>
    </w:p>
    <w:p w14:paraId="67CC2320"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Poglavje II naslova I Zakona št. 2004-575 z dne 21. junija 2004 o zaupanju v digitalno gospodarstvo se spremeni:</w:t>
      </w:r>
      <w:r>
        <w:rPr>
          <w:rFonts w:ascii="Times New Roman" w:hAnsi="Times New Roman"/>
          <w:sz w:val="24"/>
        </w:rPr>
        <w:br/>
        <w:t>1. Člen 6(I)(7)(4) se spremeni na naslednji način:</w:t>
      </w:r>
      <w:r>
        <w:rPr>
          <w:rFonts w:ascii="Times New Roman" w:hAnsi="Times New Roman"/>
          <w:sz w:val="24"/>
        </w:rPr>
        <w:br/>
        <w:t>a) prvi stavek se dopolni z besedilom: „in javno objavijo sredstva, ki jih namenjajo boju proti nezakonitim dejavnostim iz tretjega odstavka te točke 7“;</w:t>
      </w:r>
      <w:r>
        <w:rPr>
          <w:rFonts w:ascii="Times New Roman" w:hAnsi="Times New Roman"/>
          <w:sz w:val="24"/>
        </w:rPr>
        <w:br/>
        <w:t>b) za istim prvim stavkom se vstavi naslednji stavek: „Te obveznosti zaradi boja proti razširjanju vsebine iz člena 6-4(I) ne veljajo za upravljavce iz istega odstavka.“;</w:t>
      </w:r>
      <w:r>
        <w:rPr>
          <w:rFonts w:ascii="Times New Roman" w:hAnsi="Times New Roman"/>
          <w:sz w:val="24"/>
        </w:rPr>
        <w:br/>
        <w:t>c) drugi stavek se spremeni, kot sledi:</w:t>
      </w:r>
    </w:p>
    <w:p w14:paraId="1D6C7618" w14:textId="706951A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1D99">
        <w:rPr>
          <w:rFonts w:ascii="Times New Roman" w:hAnsi="Times New Roman"/>
          <w:sz w:val="24"/>
        </w:rPr>
        <w:t>-</w:t>
      </w:r>
      <w:r>
        <w:rPr>
          <w:rFonts w:ascii="Times New Roman" w:hAnsi="Times New Roman"/>
          <w:sz w:val="24"/>
        </w:rPr>
        <w:t xml:space="preserve"> na začetku se beseda: „Oni“ nadomesti z besedilom: „Osebe iz 1 in 2 tega odstavka I“;</w:t>
      </w:r>
      <w:r>
        <w:rPr>
          <w:rFonts w:ascii="Times New Roman" w:hAnsi="Times New Roman"/>
          <w:sz w:val="24"/>
        </w:rPr>
        <w:br/>
      </w:r>
      <w:r w:rsidR="00D51D99">
        <w:rPr>
          <w:rFonts w:ascii="Times New Roman" w:hAnsi="Times New Roman"/>
          <w:sz w:val="24"/>
        </w:rPr>
        <w:t>-</w:t>
      </w:r>
      <w:r>
        <w:rPr>
          <w:rFonts w:ascii="Times New Roman" w:hAnsi="Times New Roman"/>
          <w:sz w:val="24"/>
        </w:rPr>
        <w:t xml:space="preserve"> besedilo: „po eni strani“ se izbriše;</w:t>
      </w:r>
      <w:r>
        <w:rPr>
          <w:rFonts w:ascii="Times New Roman" w:hAnsi="Times New Roman"/>
          <w:sz w:val="24"/>
        </w:rPr>
        <w:br/>
      </w:r>
      <w:r w:rsidR="00D51D99">
        <w:rPr>
          <w:rFonts w:ascii="Times New Roman" w:hAnsi="Times New Roman"/>
          <w:sz w:val="24"/>
        </w:rPr>
        <w:t>-</w:t>
      </w:r>
      <w:r>
        <w:rPr>
          <w:rFonts w:ascii="Times New Roman" w:hAnsi="Times New Roman"/>
          <w:sz w:val="24"/>
        </w:rPr>
        <w:t xml:space="preserve"> besedilo: „prejšnjega pododstavka“ se nadomesti z besedilom: „v tretjem pododstavku tega člena 7“;</w:t>
      </w:r>
      <w:r>
        <w:rPr>
          <w:rFonts w:ascii="Times New Roman" w:hAnsi="Times New Roman"/>
          <w:sz w:val="24"/>
        </w:rPr>
        <w:br/>
      </w:r>
      <w:r w:rsidR="00D51D99">
        <w:rPr>
          <w:rFonts w:ascii="Times New Roman" w:hAnsi="Times New Roman"/>
          <w:sz w:val="24"/>
        </w:rPr>
        <w:t>-</w:t>
      </w:r>
      <w:r>
        <w:rPr>
          <w:rFonts w:ascii="Times New Roman" w:hAnsi="Times New Roman"/>
          <w:sz w:val="24"/>
        </w:rPr>
        <w:t xml:space="preserve"> za besedo: „storitve“, se črta konec;</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Za členom 6-4 se vstavi člen 6-2, ki se glasi:</w:t>
      </w:r>
    </w:p>
    <w:p w14:paraId="120777EB" w14:textId="571B765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„Člen 6-4. </w:t>
      </w:r>
      <w:r w:rsidR="00D51D99">
        <w:rPr>
          <w:rFonts w:ascii="Times New Roman" w:hAnsi="Times New Roman"/>
          <w:sz w:val="24"/>
        </w:rPr>
        <w:t>-</w:t>
      </w:r>
      <w:r>
        <w:rPr>
          <w:rFonts w:ascii="Times New Roman" w:hAnsi="Times New Roman"/>
          <w:sz w:val="24"/>
        </w:rPr>
        <w:t xml:space="preserve"> I. - Upravljavci spletnih platform, opredeljenih v členu L111-7 Zakonika o varstvu potrošnikov, ki ponujajo spletno komunikacijsko storitev za storitev na podlagi klasifikacije, sklicevanja ali souporabe vsebin, ki so jih objavile tretje osebe in katerih dejavnost na francoskem ozemlju presega prag števila povezav, določenih z uredbo, ne glede na to, ali imajo sedež na francoskem ozemlju ali ne, prispevajo k boju proti javnemu razširjanju vsebin, ki so v nasprotju z določbami iz člena 6(I)(7) tega zakona ter v tretjem in četrtem pododstavku člena 33 Zakona z dne 29. julija 1881 o svobodi tiska. V zvezi s tem:</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1. uporabljajo sorazmerne človeške in tehnološke postopke ter sredstva, ki jim bodo omogočili: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a) da čim prej obvestijo sodne ali upravne organe o ukrepih, ki so jih sprejeli na podlagi sodnih odredb, ki so jih ti organi izdali v zvezi z vsebino iz prvega </w:t>
      </w:r>
      <w:r>
        <w:rPr>
          <w:rFonts w:ascii="Times New Roman" w:hAnsi="Times New Roman"/>
          <w:sz w:val="24"/>
        </w:rPr>
        <w:lastRenderedPageBreak/>
        <w:t>odstavka tega odstavka 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b) da takoj potrdijo varno sprejemanje zahtev sodnih ali upravnih organov za namen sporočanja podatkov, ki so jim na voljo, da se omogoči identifikacija uporabnikov, ki so naložili vsebino iz istega prvega odstavka, in da čim prej obvestijo te organe o nadaljnjem ukrepanju v zvezi s tovrstnimi zahtevami;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c) kadar so vključeni v shranjevanje vsebine, da začasno obdržijo vsebino, o kateri so bili obveščeni kot v nasprotju z določbami iz prvega pododstavka in ki so jo umaknili ali dali nedostopno, z namenom, da bodo na voljo pravnim organom za namene preiskovanja, identifikacije in pregona kaznivih dejanj; trajanje in pogoji za zadržanje te vsebine se določijo z uredbo državnega sveta, sprejeto na podlagi mnenja Nacionalne komisije za informacijsko tehnologijo in svoboščine;</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2. določijo enotno kontaktno točko, fizično osebo, odgovorno za komuniciranje z javnimi organi z namenom izvajanja tega člena, ki ji je zlasti mogoče v elektronski obliki poslati vse vloge Visokega sveta za avdiovizualne medije v skladu s členom 62 Zakona št. 86-1067 z dne 30. septembra 1986 o svobodi komuniciranja. Ta enotna kontaktna točka je odgovorna zlasti za sprejemanje prošenj, ki jih na upravljavca sodni organ naslovi v skladu s postopkom iz člena 6(II) tega zakona, da se zagotovi njihova takojšnja obravnava;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3. javnosti na lahko dostopen način dajo na voljo splošne pogoje uporabe storitve, ki jih ponujajo; vanje bodo vključene določbe, ki prepovedujejo spletno objavo nezakonitih vsebin iz prvega pododstavka tega odstavka 1; v njih jasno in natančno opišejo svoje ureditve moderiranja, katerih cilj je odkrivanje, kjer je to primerno, opredelitve in obdelave take vsebine, podrobno navedejo postopke in v ta namen uporabljena človeška ali avtomatizirana sredstva ter ukrepe, ki jih izvajajo, ki vplivajo na razpoložljivost, vidnost in dostopnost takih vsebin; v njih navedejo ukrepe, ki jih izvajajo v zvezi z uporabniki, ki so to vsebino dali na voljo na spletu, ter domača in pravna sredstva, ki so tem uporabnikom na voljo;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4. javnost obveščajo o uporabljenih sredstvih in ukrepih, sprejetih za boj proti razširjanju nezakonite vsebine iz prvega odstavka tega oddelka I med uporabniki na francoskem ozemlju, v skladu s postopki in v časovnih presledkih, ki jih določi Visoki svet za avdiovizualne medije, o informacijah in količinsko opredeljenih kazalnikih, ki jih je določil ta Svet in ki se nanašajo zlasti na obravnavo sodnih odredb ali zahtev za informacije s strani sodnih ali upravnih organov, o prejetih obvestilih in izboru notranjih pravnih sredstev, ter po potrebi o merilih za izbiro zaupanja vrednih tretjih oseb, katerih obvestila so obravnavana prednostno obravnavo, in pogoje sodelovanja s temi tretjimi osebami;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5. izvajajo lahko dostopen in za uporabo enostaven postopek, ki bo vsaki osebi omogočil, da v elektronski obliki in​z navedbo elementov iz člena 6(I)(5) prijavi vsako vsebino, za katero meni, da je v nasprotju z določbami, omenjenimi v prvem odstavku tega oddelka 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6. zagotovijo, da se obvestila, ki jih predložijo subjekti, ki jih priznavajo kot zaupanja vredne tretje osebe v zvezi z nezakonito vsebino iz prvega odstavka tega oddelka I, obravnavajo prednostno.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Status zaupanja vrednih tretjih oseb se v skladu z dogovori, ki jih določi Visoki svet za avdiovizualne medije pod preglednimi in nediskriminatornimi pogoji ter na njihovo zahtevo, dodeli subjektom, ki imajo posebno strokovno znanje in usposobljenost za odkrivanje, prepoznavanje in prijavljanje nezakonitih vsebin iz prvega pododstavka, ki predstavljajo skupne interese ter zagotavljajo skrbnost in objektivnost;</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7. uporabljajo sorazmerne človeške in tehnološke postopke in sredstva, ki jim </w:t>
      </w:r>
      <w:r>
        <w:rPr>
          <w:rFonts w:ascii="Times New Roman" w:hAnsi="Times New Roman"/>
          <w:sz w:val="24"/>
        </w:rPr>
        <w:lastRenderedPageBreak/>
        <w:t>omogočajo: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a) da takoj potrdijo prejem obvestil v zvezi z nezakonito vsebino iz prvega odstavka tega oddelka I, ob upoštevanju informacij, potrebnih za stik z avtorjem;</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b) da pravočasno zagotovijo ustrezno analizo tovrstnih obvestil;</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c) da obvestijo avtorja o izvedenem ukrepu ter o domačih in pravnih sredstvih, ki so na voljo, pod pogojem, da imajo potrebne informacije za stik z njimi;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d) če je sprejeta odločitev, da se zaradi neupoštevanja določb iz tega prvega odstavka vsebina odstrani ali se do nje ukine dostop, da obvestijo uporabnika na izvoru objave te vsebine, če ima na voljo potrebne informacije, da se jih kontaktira:</w:t>
      </w:r>
    </w:p>
    <w:p w14:paraId="43902745" w14:textId="7FEFE93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z navedbo razlogov za odločitev,</w:t>
      </w: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z navedbo, ali je bila ta odločitev sprejeta s pomočjo avtomatiziranega orodja,</w:t>
      </w: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z obvestilom o nacionalnih in pravnih sredstvih, ki so jim na voljo,</w:t>
      </w: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ter z obvestilom o civilnih in kazenskih sankcijah za objavo nezakonite vsebine.</w:t>
      </w:r>
    </w:p>
    <w:p w14:paraId="0C3F650D" w14:textId="27590E7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1D99" w:rsidRPr="00D51D99">
        <w:rPr>
          <w:rFonts w:ascii="Times New Roman" w:hAnsi="Times New Roman"/>
          <w:sz w:val="24"/>
        </w:rPr>
        <w:t>„</w:t>
      </w:r>
      <w:r>
        <w:rPr>
          <w:rFonts w:ascii="Times New Roman" w:hAnsi="Times New Roman"/>
          <w:sz w:val="24"/>
        </w:rPr>
        <w:t>Točka (d) se ne uporablja, kadar to zahteva javni organ zaradi javnega reda ali zaradi preprečevanja, odkrivanja, preiskovanja in pregona kaznivih dejanj;</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8. uporabljajo notranja sanacijska sredstva, ki omogočajo: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a) avtorju obvestila o nezakoniti vsebini iz prvega odstavka tega oddelka I, da izpodbija odločitev, ki jo je upravljavec sprejel v odgovor na to obvestilo;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b) uporabniku, ki je prvotno objavil vsebino, ki je predmet odločitve iz točke 7(d), da izpodbija odločitev;</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c) uporabniku, ki je bil predmet odločitve iz točke 9(a) ali (b), da izpodbija odločitev.</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Zagotavljajo, da so ti sistemi lahko dostopni in enostavni za uporabo ter da omogočajo ustrezno in hitro obravnavo pritožb, ki ne temelji zgolj na uporabi avtomatiziranih sredstev, uporabnika nemudoma obvestijo o sprejeti odločitvi in nemudoma prekličejo ukrepe, ki se nanašajo na zadevno vsebino ali na uporabnika in ki jih izvaja upravljavec, kadar iz pritožba izhaja ugotovitev, da izpodbijana odločba ni bila utemeljena;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9. pri odločanju o izvajanju tovrstnih postopkov v svojih pogojih uporabe jasno in natančno določijo postopke, ki vodijo do: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a) začasne ukinitve ali v najresnejših primerih odstranitve računa uporabnikov, ki so večkrat naložili vsebino v nasprotju z določbami iz prvega odstavka tega oddelka 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b) začasne prekinitve dostopa do mehanizma obveščanja uporabnikov, ki so večkrat predložili očitno neutemeljena obvestila v zvezi z vsebino iz istega prvega pododstavka.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Ko se ti postopki izvajajo, se izvede analiza za vsak primer posebej, katere cilj je objektivno opredeliti obstoj ravnanja iz točke 9(a) ali (b), in upošteva, zlasti:</w:t>
      </w:r>
    </w:p>
    <w:p w14:paraId="7714552C" w14:textId="75225E7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količino nezakonite vsebine iz prvega odstavka tega oddelka I ali število očitno neutemeljenih obvestil uporabnika v preteklem letu, tako v absolutnem smislu kot v sorazmerju s skupno količino vsebine ali številom obvestil, za katere je bil odgovoren;</w:t>
      </w:r>
      <w:r>
        <w:rPr>
          <w:rFonts w:ascii="Times New Roman" w:hAnsi="Times New Roman"/>
          <w:sz w:val="24"/>
        </w:rPr>
        <w:br/>
      </w:r>
      <w:r w:rsidR="00D51D99" w:rsidRPr="00D51D99">
        <w:rPr>
          <w:rFonts w:ascii="Times New Roman" w:hAnsi="Times New Roman"/>
          <w:sz w:val="24"/>
        </w:rPr>
        <w:t>„</w:t>
      </w:r>
      <w:r w:rsidR="00D51D99">
        <w:rPr>
          <w:rFonts w:ascii="Times New Roman" w:hAnsi="Times New Roman"/>
          <w:sz w:val="24"/>
        </w:rPr>
        <w:t>-</w:t>
      </w:r>
      <w:r>
        <w:rPr>
          <w:rFonts w:ascii="Times New Roman" w:hAnsi="Times New Roman"/>
          <w:sz w:val="24"/>
        </w:rPr>
        <w:t xml:space="preserve"> in resnost in posledice teh zlorab.</w:t>
      </w:r>
    </w:p>
    <w:p w14:paraId="621474B0" w14:textId="548CAD8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D51D99" w:rsidRPr="00D51D99">
        <w:rPr>
          <w:rFonts w:ascii="Times New Roman" w:hAnsi="Times New Roman"/>
          <w:sz w:val="24"/>
        </w:rPr>
        <w:t>„</w:t>
      </w:r>
      <w:r>
        <w:rPr>
          <w:rFonts w:ascii="Times New Roman" w:hAnsi="Times New Roman"/>
          <w:sz w:val="24"/>
        </w:rPr>
        <w:t>Kadar se ti postopki izvajajo, zagotavljajo, da so ukrepi iz točk 9(a) in (b) po svoji naravi sorazmerni z resnostjo zadevnega ravnanja in da so v primeru začasne prekinitve razglašeni za razumno obdobje. Uporabnik prejme opozorilo in informacije o razpoložljivih domačih pravnih in sodnih sredstvih.</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II. </w:t>
      </w:r>
      <w:r w:rsidR="00D51D99">
        <w:rPr>
          <w:rFonts w:ascii="Times New Roman" w:hAnsi="Times New Roman"/>
          <w:sz w:val="24"/>
        </w:rPr>
        <w:t>-</w:t>
      </w:r>
      <w:r>
        <w:rPr>
          <w:rFonts w:ascii="Times New Roman" w:hAnsi="Times New Roman"/>
          <w:sz w:val="24"/>
        </w:rPr>
        <w:t xml:space="preserve"> Upravljavci, navedeni v prvem odstavku tega oddelka I, z dejavnostmi na francoskem ozemlju, ki presegajo omejitev števila priključkov, določeno z odlokom, in so višji od tistih iz istega prvega odstavka: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1. vsako leto ocenijo sistemska tveganja, povezana z delovanjem in uporabo njihovih storitev, v zvezi z razširjanjem vsebine iz prvega odstavka in kršitvami temeljnih pravic, vključno s svobodo izražanja. Ta ocena upošteva značilnosti teh storitev, zlasti njihove učinke na virusno širjenje ali množično razširjanje zgoraj navedenih vsebin;</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2. izvajajo razumne, učinkovite in sorazmerne ukrepe, zlasti v zvezi z značilnostmi njihovih storitev ter obsegom in resnostjo tveganj, ugotovljenih na koncu ocene iz oddelka (II)(1), z namenom ublažitve tveganja za razširjanje tovrstnih vsebin, ki je lahko povezano zlasti s postopki ter človeškimi in tehnološkimi sredstvi, ki se uporabljajo za odkrivanje, prepoznavanje in obdelavo teh vsebin, pri čemer se preprečijo tveganja neupravičene ukinitve v skladu z veljavno zakonodajo in pogoji njihove uporabe;</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3. v skladu s postopki in intervali, ki jih je določil Visoki svet za avdiovizualne medije, javnosti poročajo o oceni teh sistemskih tveganj in izvedenih ukrepih za ublažitev tveganja.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III. Upravljavci iz prvega odstavka oddelka I Visokemu svetu za avdiovizualne medije poročajo o postopkih in sredstvih, uporabljenih za izvajanje tega člena, pod pogoji, določenimi v členu 62 zgoraj navedenega zakona št. 86-1067 z dne 30. septembra 1986.“</w:t>
      </w:r>
    </w:p>
    <w:p w14:paraId="45CD7FF2" w14:textId="27DAAA8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D51D99">
        <w:rPr>
          <w:rFonts w:ascii="Times New Roman" w:hAnsi="Times New Roman"/>
          <w:sz w:val="24"/>
        </w:rPr>
        <w:t xml:space="preserve">- </w:t>
      </w:r>
      <w:r>
        <w:rPr>
          <w:rFonts w:ascii="Times New Roman" w:hAnsi="Times New Roman"/>
          <w:sz w:val="24"/>
        </w:rPr>
        <w:t>Zakon št. 86-1067 z dne 30. septembra 1986 o svobodi komuniciranja se spremeni kot sledi:</w:t>
      </w:r>
      <w:r>
        <w:rPr>
          <w:rFonts w:ascii="Times New Roman" w:hAnsi="Times New Roman"/>
          <w:sz w:val="24"/>
        </w:rPr>
        <w:br/>
        <w:t>1. V tretjem pododstavku člena 19(I)(1) se besedilo: „in platforme za izmenjavo video posnetkov“ nadomesti z besedilom: „platforme za izmenjavo video posnetkov in upravljavce spletnih platform iz člena 62“;</w:t>
      </w:r>
      <w:r>
        <w:rPr>
          <w:rFonts w:ascii="Times New Roman" w:hAnsi="Times New Roman"/>
          <w:sz w:val="24"/>
        </w:rPr>
        <w:br/>
        <w:t>2. V prvem odstavku člena 42-7 se sklicevanje na: „in 48-3“ nadomesti z naslednjim: „48-3 in 62“;</w:t>
      </w:r>
      <w:r>
        <w:rPr>
          <w:rFonts w:ascii="Times New Roman" w:hAnsi="Times New Roman"/>
          <w:sz w:val="24"/>
        </w:rPr>
        <w:br/>
        <w:t>3. Naslov IV se dopolni s poglavjem III, ki se glasi:</w:t>
      </w:r>
    </w:p>
    <w:p w14:paraId="77B231FD" w14:textId="7092DEE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„POGLAVJE III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Določbe, ki se uporabljajo za spletne platforme za boj proti sovražnim vsebinam</w:t>
      </w:r>
    </w:p>
    <w:p w14:paraId="0A34B744" w14:textId="7B4F9DB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Člen 62. </w:t>
      </w:r>
      <w:r w:rsidR="00D51D99">
        <w:rPr>
          <w:rFonts w:ascii="Times New Roman" w:hAnsi="Times New Roman"/>
          <w:sz w:val="24"/>
        </w:rPr>
        <w:t xml:space="preserve">- </w:t>
      </w:r>
      <w:r>
        <w:rPr>
          <w:rFonts w:ascii="Times New Roman" w:hAnsi="Times New Roman"/>
          <w:sz w:val="24"/>
        </w:rPr>
        <w:t xml:space="preserve">I. </w:t>
      </w:r>
      <w:r w:rsidR="00D51D99">
        <w:rPr>
          <w:rFonts w:ascii="Times New Roman" w:hAnsi="Times New Roman"/>
          <w:sz w:val="24"/>
        </w:rPr>
        <w:t xml:space="preserve">- </w:t>
      </w:r>
      <w:r>
        <w:rPr>
          <w:rFonts w:ascii="Times New Roman" w:hAnsi="Times New Roman"/>
          <w:sz w:val="24"/>
        </w:rPr>
        <w:t xml:space="preserve">Visoki svet za avdiovizualne medije zagotavlja, da upravljavci spletnih platform iz prvega odstavka člena 6-4(I) Zakona št. 2004-575 z dne 21. junija 2004 o zaupanju v digitalno gospodarstvo ravnajo v skladu z določbami istega člena 6-4, pri čemer v zvezi z vsako od storitev, ki jih ponujajo, upoštevajo značilnosti storitve in ustreznost sredstev, ki jih uporablja upravljavec, zlasti glede obsega in resnosti tveganj razširjanja v okviru te storitve vsebin iz prvega odstavka istega člena 6-4(I) in glede tveganj neupravičene ukinitve v skladu z veljavno </w:t>
      </w:r>
      <w:r>
        <w:rPr>
          <w:rFonts w:ascii="Times New Roman" w:hAnsi="Times New Roman"/>
          <w:sz w:val="24"/>
        </w:rPr>
        <w:lastRenderedPageBreak/>
        <w:t>zakonodajo in pogoji njihove uporabe. Tem upravljavcem platform zagotovi smernice za izvajanje določil istega člena 6-4.</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Visoki svet za avdiovizualne medije od teh upravljavcev pod pogoji iz člena 19 tega zakona zbira podatke, potrebne za nadzor nad njihovimi obveznostmi. Upravljavci iz člena 6-4(II) Zakona št. 2004-575 z dne 21. junija 2004 zagotavljajo dostop do načel delovanja avtomatiziranih orodij, ki se uporabljajo za izpolnjevanje teh obveznosti, do parametrov, ki jih uporabljajo ta orodja, do metod in podatkov, uporabljenih za ocenjevanje in izboljševanje njihove učinkovitosti, ter do vseh drugih informacij ali podatkov, ki jim omogočajo oceno njihove učinkovitosti v skladu z določbami o varstvu osebnih podatkov. V skladu s temi določbami lahko svet pošlje sorazmerne zahteve za dostop prek namenskih programskih vmesnikov, in sicer do vseh podatkov, ki so pomembni za oceno njihove učinkovitosti. V skladu s temi določbami in za iste namene lahko izvaja sorazmerne metode za avtomatizirano zbiranje javno dostopnih podatkov za dostop do potrebnih podatkov, vključno s tistimi, kjer je za dostop do takih podatkov potrebna prijava v račun.</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Opredeljuje informacije in količinsko opredeljene kazalnike, ki jih morajo ti upravljavci objaviti v skladu s členom 6-4(I)(4), ter načine in intervale te objave.</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Vsako leto objavi pregled izvrševanja določb člena 6-4.</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II. Visoki svet za avdiovizualne medije spodbuja operaterje spletnih platform iz prvega odstavka člena 6–4(I) navedenega Zakona št. 2004-575 z dne 21. junija 2004, da izvajajo:</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1. orodja za sodelovanje in izmenjavo informacij med operaterji platform v odprti obliki, skladni z njegovimi priporočili, za boj proti kršitvam iz člena 6-4;</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2. sorazmerne tehnične naprave, ki do obdelave obvestila o vsebini iz člena 6-4 omogočajo omejevanje souporabe te vsebine in izpostavljenosti javnosti tej vsebini;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3. skupne tehnične standarde za interoperabilnost med spletnimi javnimi komunikacijskimi storitvami v skladu z najnovejšim tehničnim razvojem, ki so dokumentirani in stabilni, da se uporabnikom olajša prosta izbira med različnimi platformami.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III. Visoki svet za avdiovizualne medije lahko operaterja pozove, naj v opredeljenem roku zagotovi skladnost s členom 6-4 zgoraj navedenega Zakona št. 2004-575 z dne 21. junija 2004 in odgovori na zahteve po informacijah, ki so jim bile poslane v skladu z drugim odstavkom oddelka I tega člena.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Če upravljavec ne ravna v skladu s prejetim obvestilom, lahko Visoki svet za avdiovizualne medije pod pogoji, določenimi v členu 42-7 tega zakona, izda globo, katere znesek odraža resnost neizpolnjevanja obveznosti in po potrebi ponavljajočo se naravo, ki ne presega 20 milijonov EUR ali 6 % skupnega letnega prometa v predhodnem letu, karkoli od tega je višje. Če je bila za isto kršitev v drugi državi izrečena denarna kazen, izračunana na isti podlagi, se za določitev kazni, izrečene pod določili tega odstavka, upošteva znesek te kazni.</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Z odstopanjem od drugega odstavka tega oddelka III v primeru zavrnitve razkritja informacij, ki jih regulativni organ zahteva v skladu z drugim odstavkom oddelka I, ali v primeru sporočenih napačnih ali zavajajočih informacij znesek naložene kazni ne sme presegati 1 % skupnega letnega svetovnega prometa v predhodnem poslovnem letu.</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 xml:space="preserve">Visoki svet za avdiovizualne medije lahko obvestila in sankcije javno objavi. Po lastni presoji določi podrobnosti takšne objave, ki so sorazmerne z resnostjo kršitve. Prav tako lahko odredi vnos svoje odločbe v določene publikacije, časopise </w:t>
      </w:r>
      <w:r>
        <w:rPr>
          <w:rFonts w:ascii="Times New Roman" w:hAnsi="Times New Roman"/>
          <w:sz w:val="24"/>
        </w:rPr>
        <w:lastRenderedPageBreak/>
        <w:t>in medije na račun upravljavcev, za katere velja uradni opomin ali sankcija.</w:t>
      </w:r>
      <w:r>
        <w:rPr>
          <w:rFonts w:ascii="Times New Roman" w:hAnsi="Times New Roman"/>
          <w:sz w:val="24"/>
        </w:rPr>
        <w:br/>
      </w:r>
      <w:r w:rsidR="00D51D99" w:rsidRPr="00D51D99">
        <w:rPr>
          <w:rFonts w:ascii="Times New Roman" w:hAnsi="Times New Roman"/>
          <w:sz w:val="24"/>
        </w:rPr>
        <w:t>„</w:t>
      </w:r>
      <w:r>
        <w:rPr>
          <w:rFonts w:ascii="Times New Roman" w:hAnsi="Times New Roman"/>
          <w:sz w:val="24"/>
        </w:rPr>
        <w:t>Globe se izterjajo kot nedavčne in nelastniške terjatve, dolgovane državi.“;</w:t>
      </w:r>
    </w:p>
    <w:p w14:paraId="23676506" w14:textId="0CE2D1CC"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po besedi: „posledično“ se prvi pododstavek člena 108 konča z besedilom: „iz Zakona št. 2021-1109 z dne 24. avgusta 2021 o krepitvi spoštovanja načel Republike.“.</w:t>
      </w:r>
      <w:r>
        <w:rPr>
          <w:rFonts w:ascii="Times New Roman" w:hAnsi="Times New Roman"/>
          <w:sz w:val="24"/>
        </w:rPr>
        <w:br/>
        <w:t xml:space="preserve">III. </w:t>
      </w:r>
      <w:r w:rsidR="00D51D99">
        <w:rPr>
          <w:rFonts w:ascii="Times New Roman" w:hAnsi="Times New Roman"/>
          <w:sz w:val="24"/>
        </w:rPr>
        <w:t xml:space="preserve">- </w:t>
      </w:r>
      <w:r>
        <w:rPr>
          <w:rFonts w:ascii="Times New Roman" w:hAnsi="Times New Roman"/>
          <w:sz w:val="24"/>
        </w:rPr>
        <w:t>A.</w:t>
      </w:r>
      <w:r w:rsidR="00D51D99">
        <w:rPr>
          <w:rFonts w:ascii="Times New Roman" w:hAnsi="Times New Roman"/>
          <w:sz w:val="24"/>
        </w:rPr>
        <w:t xml:space="preserve"> -</w:t>
      </w:r>
      <w:r>
        <w:rPr>
          <w:rFonts w:ascii="Times New Roman" w:hAnsi="Times New Roman"/>
          <w:sz w:val="24"/>
        </w:rPr>
        <w:t xml:space="preserve"> Ta člen se uporablja do 31. decembra 2023.</w:t>
      </w:r>
      <w:r>
        <w:rPr>
          <w:rFonts w:ascii="Times New Roman" w:hAnsi="Times New Roman"/>
          <w:sz w:val="24"/>
        </w:rPr>
        <w:br/>
        <w:t xml:space="preserve">B. </w:t>
      </w:r>
      <w:r w:rsidR="00D51D99">
        <w:rPr>
          <w:rFonts w:ascii="Times New Roman" w:hAnsi="Times New Roman"/>
          <w:sz w:val="24"/>
        </w:rPr>
        <w:t xml:space="preserve">- </w:t>
      </w:r>
      <w:r>
        <w:rPr>
          <w:rFonts w:ascii="Times New Roman" w:hAnsi="Times New Roman"/>
          <w:sz w:val="24"/>
        </w:rPr>
        <w:t>Z odstopanjem od točke A tega oddelka III se ta člen od 7. junija 2022 ne uporablja za boj proti javnemu razširjanju terorističnih vsebin v smislu člena 7(2) Uredbe (EU) 2021/784 Evropskega parlamenta in Sveta z dne 29. aprila 2021 o obravnavanju razširjanja terorističnih spletnih vsebin.</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D51D99"/>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2005</Words>
  <Characters>16709</Characters>
  <Application>Microsoft Office Word</Application>
  <DocSecurity>0</DocSecurity>
  <Lines>341</Lines>
  <Paragraphs>164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2022-02-14T12:58:00Z</dcterms:created>
  <dcterms:modified xsi:type="dcterms:W3CDTF">2022-02-14T12:58:00Z</dcterms:modified>
</cp:coreProperties>
</file>