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9117" w14:textId="02DA8CCA" w:rsidR="004A3BA8" w:rsidRDefault="004A3BA8" w:rsidP="00450593">
      <w:pPr>
        <w:pStyle w:val="BodyText"/>
      </w:pPr>
      <w:r>
        <w:t xml:space="preserve">FORSLAG</w:t>
      </w:r>
    </w:p>
    <w:p w14:paraId="1557DC6E" w14:textId="77777777" w:rsidR="00450593" w:rsidRPr="00450593" w:rsidRDefault="00450593" w:rsidP="00450593">
      <w:pPr>
        <w:pStyle w:val="BodyTextIndent"/>
      </w:pPr>
    </w:p>
    <w:p w14:paraId="11F404A9" w14:textId="77777777" w:rsidR="004A3BA8" w:rsidRPr="005F75D2" w:rsidRDefault="004A3BA8" w:rsidP="005F75D2">
      <w:pPr>
        <w:pStyle w:val="BodyText"/>
        <w:pBdr>
          <w:top w:val="single" w:sz="6" w:space="1" w:color="auto"/>
        </w:pBdr>
        <w:ind w:right="-2411"/>
        <w:rPr>
          <w:sz w:val="4"/>
          <w:szCs w:val="4"/>
        </w:rPr>
      </w:pPr>
    </w:p>
    <w:p w14:paraId="5BC06867" w14:textId="304854B6" w:rsidR="004A3BA8" w:rsidRPr="00496B57" w:rsidRDefault="004A3BA8" w:rsidP="004A3BA8">
      <w:pPr>
        <w:pStyle w:val="Heading2"/>
        <w:spacing w:before="200"/>
      </w:pPr>
      <w:bookmarkStart w:id="0" w:name="Titel"/>
      <w:r>
        <w:t xml:space="preserve">Bekendtgørelse om ændring af bekendtgørelse (2018:1462) om producentansvar for emballering</w:t>
      </w:r>
      <w:bookmarkEnd w:id="0"/>
    </w:p>
    <w:p w14:paraId="7F721899" w14:textId="77777777" w:rsidR="004A3BA8" w:rsidRDefault="004A3BA8" w:rsidP="009C4782">
      <w:pPr>
        <w:pStyle w:val="BodyText"/>
      </w:pPr>
    </w:p>
    <w:p w14:paraId="7F293E91" w14:textId="766251DB" w:rsidR="004A3BA8" w:rsidRDefault="004A3BA8" w:rsidP="004A3BA8">
      <w:pPr>
        <w:pStyle w:val="BodyText"/>
      </w:pPr>
      <w:r>
        <w:t xml:space="preserve">Regeringen fastsætter</w:t>
      </w:r>
      <w:r w:rsidR="00C4578D">
        <w:rPr>
          <w:rStyle w:val="FootnoteReference"/>
        </w:rPr>
        <w:footnoteReference w:id="2"/>
      </w:r>
      <w:r>
        <w:t xml:space="preserve"> vedrørende bekendtgørelsen (2018:1462) om producentansvar for emballage</w:t>
      </w:r>
      <w:r>
        <w:t xml:space="preserve"> </w:t>
      </w:r>
    </w:p>
    <w:p w14:paraId="291A1A4D" w14:textId="50B881EE" w:rsidR="004A3BA8" w:rsidRDefault="004A3BA8" w:rsidP="004A3BA8">
      <w:pPr>
        <w:pStyle w:val="BodyTextIndent"/>
      </w:pPr>
      <w:r>
        <w:rPr>
          <w:i/>
        </w:rPr>
        <w:t xml:space="preserve">delvist</w:t>
      </w:r>
      <w:r>
        <w:t xml:space="preserve"> at §§ 37 og 39 skal have følgende ordlyd:</w:t>
      </w:r>
    </w:p>
    <w:p w14:paraId="572695F9" w14:textId="03A8BA23" w:rsidR="004A3BA8" w:rsidRDefault="004A3BA8" w:rsidP="004A3BA8">
      <w:pPr>
        <w:pStyle w:val="BodyTextIndent"/>
      </w:pPr>
      <w:r>
        <w:rPr>
          <w:i/>
        </w:rPr>
        <w:t xml:space="preserve">delvist</w:t>
      </w:r>
      <w:r>
        <w:t xml:space="preserve"> at der skal være tre nye stykker, §§ 38 a, 61 a og 79 a med følgende ordlyd.</w:t>
      </w:r>
    </w:p>
    <w:p w14:paraId="17FD716E" w14:textId="70F551B7" w:rsidR="004A3BA8" w:rsidRDefault="004A3BA8" w:rsidP="004A3BA8">
      <w:pPr>
        <w:pStyle w:val="BodyTextIndent"/>
      </w:pPr>
    </w:p>
    <w:p w14:paraId="049A45F4" w14:textId="1FA1ADAA" w:rsidR="004A3BA8" w:rsidRDefault="00BD5F16" w:rsidP="004A3BA8">
      <w:pPr>
        <w:pStyle w:val="BodyText"/>
      </w:pPr>
      <w:r>
        <w:rPr>
          <w:b/>
        </w:rPr>
        <w:drawing>
          <wp:anchor distT="0" distB="0" distL="114300" distR="114300" simplePos="0" relativeHeight="251658240" behindDoc="1" locked="0" layoutInCell="1" allowOverlap="1" wp14:anchorId="62030268" wp14:editId="78E777E3">
            <wp:simplePos x="0" y="0"/>
            <wp:positionH relativeFrom="page">
              <wp:posOffset>675640</wp:posOffset>
            </wp:positionH>
            <wp:positionV relativeFrom="paragraph">
              <wp:posOffset>0</wp:posOffset>
            </wp:positionV>
            <wp:extent cx="12065" cy="341630"/>
            <wp:effectExtent l="0" t="0" r="26035" b="1270"/>
            <wp:wrapNone/>
            <wp:docPr id="3" name="Bildobjekt 3" descr="ändrad text"/>
            <wp:cNvGraphicFramePr/>
            <a:graphic xmlns:a="http://schemas.openxmlformats.org/drawingml/2006/main">
              <a:graphicData uri="http://schemas.openxmlformats.org/drawingml/2006/picture">
                <pic:pic xmlns:pic="http://schemas.openxmlformats.org/drawingml/2006/picture">
                  <pic:nvPicPr>
                    <pic:cNvPr id="3" name="Bildobjekt 3" descr="ändrad text"/>
                    <pic:cNvPicPr/>
                  </pic:nvPicPr>
                  <pic:blipFill>
                    <a:blip r:embed="rId14"/>
                    <a:stretch>
                      <a:fillRect/>
                    </a:stretch>
                  </pic:blipFill>
                  <pic:spPr>
                    <a:xfrm>
                      <a:off x="0" y="0"/>
                      <a:ext cx="12065" cy="341630"/>
                    </a:xfrm>
                    <a:prstGeom prst="rect">
                      <a:avLst/>
                    </a:prstGeom>
                  </pic:spPr>
                </pic:pic>
              </a:graphicData>
            </a:graphic>
            <wp14:sizeRelV relativeFrom="margin">
              <wp14:pctHeight>0</wp14:pctHeight>
            </wp14:sizeRelV>
          </wp:anchor>
        </w:drawing>
      </w:r>
      <w:r>
        <w:rPr>
          <w:b/>
        </w:rPr>
        <w:t xml:space="preserve">§ 37</w:t>
      </w:r>
      <w:r w:rsidR="00C4578D" w:rsidRPr="00AD2006">
        <w:rPr>
          <w:rStyle w:val="FootnoteReference"/>
          <w:bCs/>
        </w:rPr>
        <w:footnoteReference w:id="3"/>
      </w:r>
      <w:r>
        <w:t xml:space="preserve"> En emballage må kun markedsføres af en producent, hvis emballagen</w:t>
      </w:r>
      <w:r>
        <w:t xml:space="preserve">  </w:t>
      </w:r>
    </w:p>
    <w:p w14:paraId="49DB092A" w14:textId="77777777" w:rsidR="004A3BA8" w:rsidRDefault="004A3BA8" w:rsidP="004A3BA8">
      <w:pPr>
        <w:pStyle w:val="BodyTextIndent"/>
      </w:pPr>
      <w:r>
        <w:t xml:space="preserve">1. har en volumen og vægt, der er begrænset til det minimum, der er nødvendigt for at opretholde et godt sikkerheds- og hygiejneniveau</w:t>
      </w:r>
      <w:r>
        <w:t xml:space="preserve"> </w:t>
      </w:r>
    </w:p>
    <w:p w14:paraId="322AB25E" w14:textId="77777777" w:rsidR="004A3BA8" w:rsidRDefault="004A3BA8" w:rsidP="004A3BA8">
      <w:pPr>
        <w:pStyle w:val="BodyTextIndent"/>
      </w:pPr>
      <w:r>
        <w:t xml:space="preserve">2. kan genbruges eller genanvendes, og</w:t>
      </w:r>
      <w:r>
        <w:t xml:space="preserve"> </w:t>
      </w:r>
    </w:p>
    <w:p w14:paraId="1CC93864" w14:textId="7951EAEB" w:rsidR="004A3BA8" w:rsidRDefault="00775C79" w:rsidP="004A3BA8">
      <w:pPr>
        <w:pStyle w:val="BodyTextIndent"/>
      </w:pPr>
      <w:r>
        <w:drawing>
          <wp:anchor distT="0" distB="0" distL="114300" distR="114300" simplePos="0" relativeHeight="251658245" behindDoc="1" locked="0" layoutInCell="1" allowOverlap="1" wp14:anchorId="2B1EAB77" wp14:editId="1098F2A9">
            <wp:simplePos x="0" y="0"/>
            <wp:positionH relativeFrom="page">
              <wp:posOffset>675640</wp:posOffset>
            </wp:positionH>
            <wp:positionV relativeFrom="paragraph">
              <wp:posOffset>0</wp:posOffset>
            </wp:positionV>
            <wp:extent cx="12065" cy="519430"/>
            <wp:effectExtent l="0" t="0" r="26035" b="0"/>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4"/>
                    <a:stretch>
                      <a:fillRect/>
                    </a:stretch>
                  </pic:blipFill>
                  <pic:spPr>
                    <a:xfrm>
                      <a:off x="0" y="0"/>
                      <a:ext cx="12065" cy="519430"/>
                    </a:xfrm>
                    <a:prstGeom prst="rect">
                      <a:avLst/>
                    </a:prstGeom>
                  </pic:spPr>
                </pic:pic>
              </a:graphicData>
            </a:graphic>
            <wp14:sizeRelV relativeFrom="margin">
              <wp14:pctHeight>0</wp14:pctHeight>
            </wp14:sizeRelV>
          </wp:anchor>
        </w:drawing>
      </w:r>
      <w:r>
        <w:t xml:space="preserve">3. produceres for at minimere emissionerne af skadelige stoffer, og miljøpåvirkningen generelt er begrænset, når emballageaffaldet forarbejdes, eller restprodukter fra behandlingen af emballageaffald bortskaffes.</w:t>
      </w:r>
    </w:p>
    <w:p w14:paraId="0E4CC1A2" w14:textId="77777777" w:rsidR="004A3BA8" w:rsidRDefault="004A3BA8" w:rsidP="004A3BA8">
      <w:pPr>
        <w:pStyle w:val="BodyTextIndent"/>
      </w:pPr>
    </w:p>
    <w:p w14:paraId="74FB299C" w14:textId="5F5EAA22" w:rsidR="004A3BA8" w:rsidRDefault="00BD5F16" w:rsidP="004A3BA8">
      <w:pPr>
        <w:pStyle w:val="BodyText"/>
      </w:pPr>
      <w:r>
        <w:rPr>
          <w:b/>
        </w:rPr>
        <w:drawing>
          <wp:anchor distT="0" distB="0" distL="114300" distR="114300" simplePos="0" relativeHeight="251658241" behindDoc="1" locked="0" layoutInCell="1" allowOverlap="1" wp14:anchorId="7D68A5FB" wp14:editId="19FACF5C">
            <wp:simplePos x="0" y="0"/>
            <wp:positionH relativeFrom="page">
              <wp:posOffset>675640</wp:posOffset>
            </wp:positionH>
            <wp:positionV relativeFrom="paragraph">
              <wp:posOffset>0</wp:posOffset>
            </wp:positionV>
            <wp:extent cx="12065" cy="2592070"/>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4"/>
                    <a:stretch>
                      <a:fillRect/>
                    </a:stretch>
                  </pic:blipFill>
                  <pic:spPr>
                    <a:xfrm>
                      <a:off x="0" y="0"/>
                      <a:ext cx="12065" cy="2592070"/>
                    </a:xfrm>
                    <a:prstGeom prst="rect">
                      <a:avLst/>
                    </a:prstGeom>
                  </pic:spPr>
                </pic:pic>
              </a:graphicData>
            </a:graphic>
            <wp14:sizeRelV relativeFrom="margin">
              <wp14:pctHeight>0</wp14:pctHeight>
            </wp14:sizeRelV>
          </wp:anchor>
        </w:drawing>
      </w:r>
      <w:r>
        <w:rPr>
          <w:b/>
        </w:rPr>
        <w:t xml:space="preserve">§ 38 a</w:t>
      </w:r>
      <w:r>
        <w:t xml:space="preserve"> En emballage anses for at være genanvendelig i henhold til § 37, stk. 2, hvis</w:t>
      </w:r>
      <w:r>
        <w:t xml:space="preserve">  </w:t>
      </w:r>
    </w:p>
    <w:p w14:paraId="3A06AE53" w14:textId="56AE1F6C" w:rsidR="004A3BA8" w:rsidRDefault="004A3BA8" w:rsidP="004A3BA8">
      <w:pPr>
        <w:pStyle w:val="BodyTextIndent"/>
      </w:pPr>
      <w:r>
        <w:t xml:space="preserve">1) mindst 75 vægtprocent af det materiale, der anvendes i emballagen, kan genanvendes til salgbare materialer eller produkter, der kan sælges, eller</w:t>
      </w:r>
    </w:p>
    <w:p w14:paraId="020CFA8C" w14:textId="391BED2F" w:rsidR="004A3BA8" w:rsidRDefault="004A3BA8" w:rsidP="004A3BA8">
      <w:pPr>
        <w:pStyle w:val="BodyTextIndent"/>
      </w:pPr>
      <w:r>
        <w:t xml:space="preserve">2. emballagen kan genbruges i henhold til kravene i § 39 og emballagen</w:t>
      </w:r>
      <w:r>
        <w:t xml:space="preserve">  </w:t>
      </w:r>
    </w:p>
    <w:p w14:paraId="2C81D9B4" w14:textId="70F85B5B" w:rsidR="004A3BA8" w:rsidRDefault="004A3BA8" w:rsidP="004A3BA8">
      <w:pPr>
        <w:pStyle w:val="BodyTextIndent"/>
      </w:pPr>
      <w:r>
        <w:t xml:space="preserve">a) er nødvendig for at forlænge fødevarers holdbarhed i et omfang, der ikke er ubetydeligt,</w:t>
      </w:r>
      <w:r>
        <w:t xml:space="preserve">  </w:t>
      </w:r>
    </w:p>
    <w:p w14:paraId="1583CE14" w14:textId="02D5AC32" w:rsidR="004A3BA8" w:rsidRDefault="004A3BA8" w:rsidP="004A3BA8">
      <w:pPr>
        <w:pStyle w:val="BodyTextIndent"/>
      </w:pPr>
      <w:r>
        <w:t xml:space="preserve">b) er nødvendig for at opfylde kravene i en anden lov,</w:t>
      </w:r>
      <w:r>
        <w:t xml:space="preserve">  </w:t>
      </w:r>
    </w:p>
    <w:p w14:paraId="2A266F56" w14:textId="77777777" w:rsidR="004A3BA8" w:rsidRDefault="004A3BA8" w:rsidP="004A3BA8">
      <w:pPr>
        <w:pStyle w:val="BodyTextIndent"/>
      </w:pPr>
      <w:r>
        <w:t xml:space="preserve">c) mere end 50 vægtprocent er fremstillet af genanvendt plast, der er af så lav kvalitet, at emballagen ikke kan genanvendes, eller</w:t>
      </w:r>
      <w:r>
        <w:t xml:space="preserve"> </w:t>
      </w:r>
    </w:p>
    <w:p w14:paraId="09F77C96" w14:textId="77777777" w:rsidR="004A3BA8" w:rsidRDefault="004A3BA8" w:rsidP="004A3BA8">
      <w:pPr>
        <w:pStyle w:val="BodyTextIndent"/>
      </w:pPr>
      <w:r>
        <w:t xml:space="preserve">d) er en træbeholder.</w:t>
      </w:r>
      <w:r>
        <w:t xml:space="preserve"> </w:t>
      </w:r>
    </w:p>
    <w:p w14:paraId="2B098D40" w14:textId="5A3BB0A3" w:rsidR="004A3BA8" w:rsidRDefault="004A3BA8" w:rsidP="004A3BA8">
      <w:pPr>
        <w:pStyle w:val="BodyTextIndent"/>
      </w:pPr>
      <w:r>
        <w:t xml:space="preserve">Ved vurderingen af, om en emballage er nødvendig i henhold til stk. 2, litra a) eller b), tages der hensyn til mulighederne for at erstatte emballagen med en emballage, der er fremstillet af et materiale, der kan genanvendes.</w:t>
      </w:r>
      <w:r>
        <w:t xml:space="preserve"> </w:t>
      </w:r>
      <w:r>
        <w:t xml:space="preserve">Der skal også tages hensyn til virkningerne af en sådan materialeændring på menneskers sundhed og miljøet.</w:t>
      </w:r>
    </w:p>
    <w:p w14:paraId="7DA6DB66" w14:textId="053BE539" w:rsidR="004A3BA8" w:rsidRDefault="004A3BA8" w:rsidP="004A3BA8">
      <w:pPr>
        <w:pStyle w:val="BodyTextIndent"/>
      </w:pPr>
    </w:p>
    <w:p w14:paraId="387AB169" w14:textId="69A7F7CA" w:rsidR="004A3BA8" w:rsidRDefault="00BD5F16" w:rsidP="004A3BA8">
      <w:pPr>
        <w:pStyle w:val="BodyText"/>
      </w:pPr>
      <w:r>
        <w:rPr>
          <w:b/>
        </w:rPr>
        <w:drawing>
          <wp:anchor distT="0" distB="0" distL="114300" distR="114300" simplePos="0" relativeHeight="251658242" behindDoc="1" locked="0" layoutInCell="1" allowOverlap="1" wp14:anchorId="19BF73B8" wp14:editId="62F1749D">
            <wp:simplePos x="0" y="0"/>
            <wp:positionH relativeFrom="page">
              <wp:posOffset>675640</wp:posOffset>
            </wp:positionH>
            <wp:positionV relativeFrom="paragraph">
              <wp:posOffset>0</wp:posOffset>
            </wp:positionV>
            <wp:extent cx="12065" cy="349886"/>
            <wp:effectExtent l="0" t="0" r="26035" b="0"/>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4"/>
                    <a:stretch>
                      <a:fillRect/>
                    </a:stretch>
                  </pic:blipFill>
                  <pic:spPr>
                    <a:xfrm>
                      <a:off x="0" y="0"/>
                      <a:ext cx="12065" cy="349886"/>
                    </a:xfrm>
                    <a:prstGeom prst="rect">
                      <a:avLst/>
                    </a:prstGeom>
                  </pic:spPr>
                </pic:pic>
              </a:graphicData>
            </a:graphic>
            <wp14:sizeRelV relativeFrom="margin">
              <wp14:pctHeight>0</wp14:pctHeight>
            </wp14:sizeRelV>
          </wp:anchor>
        </w:drawing>
      </w:r>
      <w:r>
        <w:rPr>
          <w:b/>
        </w:rPr>
        <w:t xml:space="preserve">§ 39</w:t>
      </w:r>
      <w:r w:rsidR="00C4578D" w:rsidRPr="00AD2006">
        <w:rPr>
          <w:rStyle w:val="FootnoteReference"/>
          <w:bCs/>
        </w:rPr>
        <w:footnoteReference w:id="4"/>
      </w:r>
      <w:r>
        <w:t xml:space="preserve"> En emballage som omhandlet i § 38 a, stk. 2, anses for at kunne genanvendes ved</w:t>
      </w:r>
      <w:r>
        <w:t xml:space="preserve"> </w:t>
      </w:r>
    </w:p>
    <w:p w14:paraId="2E9AD062" w14:textId="7BFCB0C7" w:rsidR="004A3BA8" w:rsidRDefault="004A3BA8" w:rsidP="004A3BA8">
      <w:pPr>
        <w:pStyle w:val="BodyTextIndent"/>
      </w:pPr>
      <w:r>
        <w:t xml:space="preserve">1) genvinding af materialer, hvis emballagen er fremstillet på en sådan måde, at det er muligt at anvende en vis vægtprocent af emballagematerialet til fremstilling af produkter, der kan afsættes</w:t>
      </w:r>
      <w:r>
        <w:t xml:space="preserve"> </w:t>
      </w:r>
    </w:p>
    <w:p w14:paraId="1D4FB8B3" w14:textId="2816C857" w:rsidR="004A3BA8" w:rsidRDefault="004A3BA8" w:rsidP="004A3BA8">
      <w:pPr>
        <w:pStyle w:val="BodyTextIndent"/>
      </w:pPr>
      <w:r>
        <w:t xml:space="preserve">2. energiudvinding, hvis emballageaffaldet har en minimumsvarmeværdi, der giver optimal energiudvinding, eller</w:t>
      </w:r>
      <w:r>
        <w:t xml:space="preserve"> </w:t>
      </w:r>
    </w:p>
    <w:p w14:paraId="5ADEC108" w14:textId="75A85FD2" w:rsidR="004A3BA8" w:rsidRDefault="004A3BA8" w:rsidP="004A3BA8">
      <w:pPr>
        <w:pStyle w:val="BodyTextIndent"/>
      </w:pPr>
      <w:r>
        <w:t xml:space="preserve">3) kompostering, hvis emballageaffaldet er bionedbrydeligt i en sådan grad, at det ikke forhindrer særskilt indsamling eller forhindrer den komposteringsproces eller komposteringsaktivitet, som affaldet er udsat for, og er af en sådan art, at det kan udsættes for fysisk, kemisk, termisk eller biologisk nedbrydning på en sådan måde, at størstedelen af den færdige kompost i sidste ende opdeles i kuldioxid, biomasse og vand.</w:t>
      </w:r>
    </w:p>
    <w:p w14:paraId="2EA02B05" w14:textId="60A16F41" w:rsidR="004A3BA8" w:rsidRDefault="00B27E27" w:rsidP="00B7501B">
      <w:pPr>
        <w:pStyle w:val="BodyTextIndent"/>
      </w:pPr>
      <w:r>
        <w:rPr>
          <w:b/>
        </w:rPr>
        <w:drawing>
          <wp:anchor distT="0" distB="0" distL="114300" distR="114300" simplePos="0" relativeHeight="251658243" behindDoc="1" locked="0" layoutInCell="1" allowOverlap="1" wp14:anchorId="7FF388CB" wp14:editId="57B3ACA4">
            <wp:simplePos x="0" y="0"/>
            <wp:positionH relativeFrom="page">
              <wp:posOffset>675640</wp:posOffset>
            </wp:positionH>
            <wp:positionV relativeFrom="paragraph">
              <wp:posOffset>194310</wp:posOffset>
            </wp:positionV>
            <wp:extent cx="12065" cy="2705051"/>
            <wp:effectExtent l="0" t="0" r="26035" b="635"/>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4"/>
                    <a:stretch>
                      <a:fillRect/>
                    </a:stretch>
                  </pic:blipFill>
                  <pic:spPr>
                    <a:xfrm>
                      <a:off x="0" y="0"/>
                      <a:ext cx="12065" cy="2705051"/>
                    </a:xfrm>
                    <a:prstGeom prst="rect">
                      <a:avLst/>
                    </a:prstGeom>
                  </pic:spPr>
                </pic:pic>
              </a:graphicData>
            </a:graphic>
            <wp14:sizeRelV relativeFrom="margin">
              <wp14:pctHeight>0</wp14:pctHeight>
            </wp14:sizeRelV>
          </wp:anchor>
        </w:drawing>
      </w:r>
    </w:p>
    <w:p w14:paraId="0F86E6D3" w14:textId="609AE4DA" w:rsidR="004A3BA8" w:rsidRDefault="004A3BA8" w:rsidP="004A3BA8">
      <w:pPr>
        <w:pStyle w:val="BodyText"/>
      </w:pPr>
      <w:r>
        <w:rPr>
          <w:b/>
        </w:rPr>
        <w:t xml:space="preserve">§ 61 a</w:t>
      </w:r>
      <w:r>
        <w:t xml:space="preserve"> Et indsamlingssystem kan kun forpligtes til at håndtere en emballage, når den er blevet til affald, for en producent, der skal opfylde kravet i § 42, hvis</w:t>
      </w:r>
    </w:p>
    <w:p w14:paraId="74B9397F" w14:textId="1B0B4FBF" w:rsidR="004A3BA8" w:rsidRDefault="004A3BA8" w:rsidP="004A3BA8">
      <w:pPr>
        <w:pStyle w:val="BodyTextIndent"/>
      </w:pPr>
      <w:r>
        <w:t xml:space="preserve">1. indsamlingssystemet har tekniske forudsætninger og tilstrækkelig kapacitet til at kunne genvinde mindst 75 vægtprocent af det materiale, der anvendes i emballagen til salgbare materialer eller salgbare produkter,</w:t>
      </w:r>
      <w:r>
        <w:t xml:space="preserve">  </w:t>
      </w:r>
    </w:p>
    <w:p w14:paraId="2241866C" w14:textId="1BFF2350" w:rsidR="004A3BA8" w:rsidRDefault="004A3BA8" w:rsidP="004A3BA8">
      <w:pPr>
        <w:pStyle w:val="BodyTextIndent"/>
      </w:pPr>
      <w:r>
        <w:t xml:space="preserve">2) indsamlingssystemet sikrer, at en anden enhed med tekniske forudsætninger og tilstrækkelig kapacitet forpligter sig til at genvinde mindst 75 vægtprocent af det materiale, der anvendes i emballagen til salgbare materialer eller produkter, der kan sælges</w:t>
      </w:r>
      <w:r>
        <w:t xml:space="preserve">  </w:t>
      </w:r>
    </w:p>
    <w:p w14:paraId="02AE5874" w14:textId="336CF2B9" w:rsidR="004A3BA8" w:rsidRDefault="004A3BA8" w:rsidP="004A3BA8">
      <w:pPr>
        <w:pStyle w:val="BodyTextIndent"/>
      </w:pPr>
      <w:r>
        <w:t xml:space="preserve">3) emballagen er en emballage som omhandlet i § 38 a, stk. 2, og indsamlingssystemet eller en anden enhed genanvender pakken i overensstemmelse med kravene i § 39, eller</w:t>
      </w:r>
      <w:r>
        <w:t xml:space="preserve">  </w:t>
      </w:r>
    </w:p>
    <w:p w14:paraId="5A9E296C" w14:textId="3704B722" w:rsidR="004A3BA8" w:rsidRDefault="004A3BA8" w:rsidP="004A3BA8">
      <w:pPr>
        <w:pStyle w:val="BodyTextIndent"/>
      </w:pPr>
      <w:r>
        <w:t xml:space="preserve">4. Emballagen er underlagt regler udstedt i medfør af § 79 a, og indsamlingssystemet eller en anden enhed genbruger emballagen i overensstemmelse med kravene i § 39.</w:t>
      </w:r>
    </w:p>
    <w:p w14:paraId="00A807C7" w14:textId="77777777" w:rsidR="004A3BA8" w:rsidRDefault="004A3BA8" w:rsidP="00B7501B">
      <w:pPr>
        <w:pStyle w:val="BodyTextIndent"/>
      </w:pPr>
    </w:p>
    <w:p w14:paraId="7B037174" w14:textId="48C66959" w:rsidR="004A3BA8" w:rsidRDefault="00BD5F16" w:rsidP="00AD2006">
      <w:pPr>
        <w:pStyle w:val="BodyText"/>
      </w:pPr>
      <w:r>
        <w:rPr>
          <w:b/>
        </w:rPr>
        <w:drawing>
          <wp:anchor distT="0" distB="0" distL="114300" distR="114300" simplePos="0" relativeHeight="251658244" behindDoc="1" locked="0" layoutInCell="1" allowOverlap="1" wp14:anchorId="67A817FA" wp14:editId="52E3C68D">
            <wp:simplePos x="0" y="0"/>
            <wp:positionH relativeFrom="page">
              <wp:posOffset>675640</wp:posOffset>
            </wp:positionH>
            <wp:positionV relativeFrom="paragraph">
              <wp:posOffset>0</wp:posOffset>
            </wp:positionV>
            <wp:extent cx="12065" cy="525145"/>
            <wp:effectExtent l="0" t="0" r="26035" b="8255"/>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4"/>
                    <a:stretch>
                      <a:fillRect/>
                    </a:stretch>
                  </pic:blipFill>
                  <pic:spPr>
                    <a:xfrm>
                      <a:off x="0" y="0"/>
                      <a:ext cx="12065" cy="525145"/>
                    </a:xfrm>
                    <a:prstGeom prst="rect">
                      <a:avLst/>
                    </a:prstGeom>
                  </pic:spPr>
                </pic:pic>
              </a:graphicData>
            </a:graphic>
            <wp14:sizeRelV relativeFrom="margin">
              <wp14:pctHeight>0</wp14:pctHeight>
            </wp14:sizeRelV>
          </wp:anchor>
        </w:drawing>
      </w:r>
      <w:r>
        <w:rPr>
          <w:b/>
        </w:rPr>
        <w:t xml:space="preserve">§ 79 a</w:t>
      </w:r>
      <w:r>
        <w:t xml:space="preserve"> Den svenske miljøstyrelse kan udstede bekendtgørelser om, at en emballage, der ikke opfylder kravene i § 38 a, anses for at være genanvendelig, hvis der er særlige grunde til at anvende emballagen.</w:t>
      </w:r>
      <w:r>
        <w:t xml:space="preserve">                       </w:t>
      </w:r>
    </w:p>
    <w:p w14:paraId="43F85EE1" w14:textId="77777777" w:rsidR="004A3BA8" w:rsidRPr="009F0C87" w:rsidRDefault="004A3BA8" w:rsidP="008938FE">
      <w:pPr>
        <w:pStyle w:val="Slutstreck"/>
        <w:spacing w:line="232" w:lineRule="exact"/>
      </w:pPr>
      <w:r>
        <w:t xml:space="preserve">                      </w:t>
      </w:r>
    </w:p>
    <w:p w14:paraId="6E56F2FA" w14:textId="7BF4003F" w:rsidR="004A3BA8" w:rsidRDefault="004A3BA8" w:rsidP="004A3BA8">
      <w:pPr>
        <w:pStyle w:val="BodyTextIndent"/>
      </w:pPr>
      <w:r>
        <w:t xml:space="preserve">Denne bekendtgørelse træder i kraft den 1. januar 2022 for så vidt angår § 79 a og ellers den 1. januar 2025.</w:t>
      </w:r>
    </w:p>
    <w:sectPr w:rsidR="004A3BA8"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9968" w14:textId="77777777" w:rsidR="009C5815" w:rsidRDefault="009C5815" w:rsidP="00680442">
      <w:r>
        <w:separator/>
      </w:r>
    </w:p>
  </w:endnote>
  <w:endnote w:type="continuationSeparator" w:id="0">
    <w:p w14:paraId="43A21EAA" w14:textId="77777777" w:rsidR="009C5815" w:rsidRDefault="009C5815" w:rsidP="00680442">
      <w:r>
        <w:continuationSeparator/>
      </w:r>
    </w:p>
  </w:endnote>
  <w:endnote w:type="continuationNotice" w:id="1">
    <w:p w14:paraId="536464AD" w14:textId="77777777" w:rsidR="009C5815" w:rsidRDefault="009C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DC2D" w14:textId="77777777" w:rsidR="009C5815" w:rsidRDefault="009C5815" w:rsidP="00CE05BB">
    <w:pPr>
      <w:pStyle w:val="Footer"/>
    </w:pPr>
    <w:r>
      <mc:AlternateContent>
        <mc:Choice Requires="wps">
          <w:drawing>
            <wp:anchor distT="0" distB="0" distL="114300" distR="114300" simplePos="0" relativeHeight="251657216" behindDoc="0" locked="0" layoutInCell="1" allowOverlap="1" wp14:anchorId="799C8231" wp14:editId="043B90E2">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7C41E" w14:textId="77777777" w:rsidR="009C5815" w:rsidRDefault="009C5815" w:rsidP="004043E4">
                          <w:pPr>
                            <w:pStyle w:val="BodyText"/>
                            <w:jc w:val="right"/>
                          </w:pPr>
                          <w:r>
                            <w:fldChar w:fldCharType="begin"/>
                          </w:r>
                          <w:r>
                            <w:instrText>PAGE   \* MERGEFORMAT</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C8231" id="_x0000_t202" coordsize="21600,21600" o:spt="202" path="m,l,21600r21600,l21600,xe">
              <v:stroke joinstyle="miter"/>
              <v:path gradientshapeok="t" o:connecttype="rect"/>
            </v:shapetype>
            <v:shape id="Textruta 2" o:spid="_x0000_s1027"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23F7C41E" w14:textId="77777777" w:rsidR="009C5815" w:rsidRDefault="009C5815" w:rsidP="004043E4">
                    <w:pPr>
                      <w:pStyle w:val="Brdtext"/>
                      <w:jc w:val="right"/>
                    </w:pPr>
                    <w:r>
                      <w:fldChar w:fldCharType="begin"/>
                    </w:r>
                    <w:r>
                      <w:instrText>PAGE   \* MERGEFORMAT</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3F" w14:textId="77777777" w:rsidR="009C5815" w:rsidRDefault="009C5815" w:rsidP="00CE05BB">
    <w:pPr>
      <w:pStyle w:val="Footer"/>
    </w:pPr>
    <w:r>
      <mc:AlternateContent>
        <mc:Choice Requires="wps">
          <w:drawing>
            <wp:anchor distT="0" distB="0" distL="114300" distR="114300" simplePos="0" relativeHeight="251656192" behindDoc="0" locked="0" layoutInCell="1" allowOverlap="1" wp14:anchorId="7C31E3F9" wp14:editId="2103B84D">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81A61" w14:textId="77777777" w:rsidR="009C5815" w:rsidRDefault="009C5815" w:rsidP="005B2C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E3F9" id="_x0000_t202" coordsize="21600,21600" o:spt="202" path="m,l,21600r21600,l21600,xe">
              <v:stroke joinstyle="miter"/>
              <v:path gradientshapeok="t" o:connecttype="rect"/>
            </v:shapetype>
            <v:shape id="Textruta 1" o:spid="_x0000_s1028"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65B81A61" w14:textId="77777777" w:rsidR="009C5815" w:rsidRDefault="009C5815" w:rsidP="005B2C6E">
                    <w:pPr>
                      <w:pStyle w:val="Brd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F22CA" w14:textId="77777777" w:rsidR="009C5815" w:rsidRDefault="009C5815" w:rsidP="00680442"/>
  </w:footnote>
  <w:footnote w:type="continuationSeparator" w:id="0">
    <w:p w14:paraId="77A02ADF" w14:textId="77777777" w:rsidR="009C5815" w:rsidRPr="00C26807" w:rsidRDefault="009C5815" w:rsidP="00C26807">
      <w:pPr>
        <w:pStyle w:val="Footer"/>
      </w:pPr>
    </w:p>
  </w:footnote>
  <w:footnote w:type="continuationNotice" w:id="1">
    <w:p w14:paraId="5CB45579" w14:textId="77777777" w:rsidR="009C5815" w:rsidRDefault="009C5815"/>
  </w:footnote>
  <w:footnote w:id="2">
    <w:p w14:paraId="34EB3B77" w14:textId="10A7E375" w:rsidR="009C5815" w:rsidRDefault="009C5815">
      <w:pPr>
        <w:pStyle w:val="FootnoteText"/>
      </w:pPr>
      <w:r>
        <w:rPr>
          <w:rStyle w:val="FootnoteReference"/>
        </w:rPr>
        <w:footnoteRef/>
      </w:r>
      <w:r>
        <w:t xml:space="preserve"> C.f.</w:t>
      </w:r>
      <w:r>
        <w:t xml:space="preserve"> </w:t>
      </w:r>
      <w:r>
        <w:t xml:space="preserve">Europa-Parlamentets og Rådets direktiv (EU) 2019/904 af 5. juni 2019 om begrænsning af visse plastprodukters indvirkning på miljøet med den oprindelige ordlyd Europa-Parlamentets og Rådets direktiv (EU) 2008/98 af 19. november 2008 om affald og om ophævelse af visse direktiver i overensstemmelse med Europa-Parlamentets og Rådets direktiv (EU) 2018/851 og Europa-Parlamentets og Rådets direktiv 94/62/EU af 20. december 1994 om emballage og emballageaffald i overensstemmelse med Europa-Parlamentets og Rådets direktiv (EU) 2018/852.</w:t>
      </w:r>
      <w:r>
        <w:t xml:space="preserve"> </w:t>
      </w:r>
      <w:r>
        <w:t xml:space="preserve">Jf. desuden Europa-Parlamentets og Rådets direktiv (EU) nr. 2015/1535 af 9. september 2015 om en informationsprocedure med hensyn til tekniske forskrifter samt forskrifter for informationssamfundets tjenester.</w:t>
      </w:r>
    </w:p>
  </w:footnote>
  <w:footnote w:id="3">
    <w:p w14:paraId="2F1364C4" w14:textId="19BE0613" w:rsidR="009C5815" w:rsidRDefault="009C5815">
      <w:pPr>
        <w:pStyle w:val="FootnoteText"/>
      </w:pPr>
      <w:r>
        <w:rPr>
          <w:rStyle w:val="FootnoteReference"/>
        </w:rPr>
        <w:footnoteRef/>
      </w:r>
      <w:r>
        <w:t xml:space="preserve"> Seneste ordlyd 2020:615.</w:t>
      </w:r>
    </w:p>
  </w:footnote>
  <w:footnote w:id="4">
    <w:p w14:paraId="73263F69" w14:textId="77777777" w:rsidR="009C5815" w:rsidRDefault="009C5815" w:rsidP="00C4578D">
      <w:pPr>
        <w:pStyle w:val="FootnoteText"/>
      </w:pPr>
      <w:r>
        <w:rPr>
          <w:rStyle w:val="FootnoteReference"/>
        </w:rPr>
        <w:footnoteRef/>
      </w:r>
      <w:r>
        <w:t xml:space="preserve"> Seneste ordlyd 2020:615.</w:t>
      </w:r>
    </w:p>
    <w:p w14:paraId="7C9AAFCF" w14:textId="1D5B9EC0" w:rsidR="009C5815" w:rsidRDefault="009C58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6BD0" w14:textId="77777777" w:rsidR="009C5815" w:rsidRDefault="00A41932">
    <w:pPr>
      <w:pStyle w:val="Header"/>
    </w:pPr>
    <w:r>
      <w:pict w14:anchorId="38AC2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TESTDOKUMENT, IKKE ET GYLDIGT DOKU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30A" w14:textId="77777777" w:rsidR="009C5815" w:rsidRDefault="009C5815" w:rsidP="00F77ABC">
    <w:pPr>
      <w:pStyle w:val="Header"/>
      <w:jc w:val="right"/>
    </w:pPr>
    <w:r>
      <mc:AlternateContent>
        <mc:Choice Requires="wps">
          <w:drawing>
            <wp:anchor distT="0" distB="0" distL="114300" distR="114300" simplePos="0" relativeHeight="251658240" behindDoc="0" locked="0" layoutInCell="1" allowOverlap="1" wp14:anchorId="3E6FE86B" wp14:editId="663425D6">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22ABB" w14:textId="77777777" w:rsidR="009C5815" w:rsidRPr="001974BD" w:rsidRDefault="009C5815" w:rsidP="00B90519">
                          <w:pPr>
                            <w:rPr>
                              <w:b/>
                              <w:sz w:val="22"/>
                              <w:szCs w:val="22"/>
                            </w:rPr>
                          </w:pPr>
                          <w:r>
                            <w:rPr>
                              <w:b/>
                              <w:sz w:val="22"/>
                            </w:rPr>
                            <w:t xml:space="preserve">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FE86B" id="_x0000_t202" coordsize="21600,21600" o:spt="202" path="m,l,21600r21600,l21600,xe">
              <v:stroke joinstyle="miter"/>
              <v:path gradientshapeok="t" o:connecttype="rect"/>
            </v:shapetype>
            <v:shape id="Textruta 5" o:spid="_x0000_s1026"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26C22ABB" w14:textId="77777777" w:rsidR="009C5815" w:rsidRPr="001974BD" w:rsidRDefault="009C5815" w:rsidP="00B90519">
                    <w:pPr>
                      <w:rPr>
                        <w:b/>
                        <w:sz w:val="22"/>
                        <w:szCs w:val="22"/>
                      </w:rPr>
                    </w:pPr>
                    <w:r>
                      <w:rPr>
                        <w:b/>
                        <w:sz w:val="22"/>
                      </w:rPr>
                      <w:t xml:space="preserve">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ttachedTemplate r:id="rId1"/>
  <w:defaultTabStop w:val="1304"/>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A8"/>
    <w:rsid w:val="00014844"/>
    <w:rsid w:val="00027BEC"/>
    <w:rsid w:val="000309B4"/>
    <w:rsid w:val="00050C9E"/>
    <w:rsid w:val="00054B0D"/>
    <w:rsid w:val="00062643"/>
    <w:rsid w:val="00065778"/>
    <w:rsid w:val="000776E6"/>
    <w:rsid w:val="00087E73"/>
    <w:rsid w:val="00091696"/>
    <w:rsid w:val="0009400A"/>
    <w:rsid w:val="000963A0"/>
    <w:rsid w:val="000A1BCC"/>
    <w:rsid w:val="000A437D"/>
    <w:rsid w:val="000A6C2B"/>
    <w:rsid w:val="000B072E"/>
    <w:rsid w:val="000B36C7"/>
    <w:rsid w:val="000B7FEB"/>
    <w:rsid w:val="000D56FC"/>
    <w:rsid w:val="000D5E85"/>
    <w:rsid w:val="000F16E5"/>
    <w:rsid w:val="00100E2C"/>
    <w:rsid w:val="00132BD5"/>
    <w:rsid w:val="00135F8C"/>
    <w:rsid w:val="001409E8"/>
    <w:rsid w:val="00162B76"/>
    <w:rsid w:val="00165B5E"/>
    <w:rsid w:val="00175988"/>
    <w:rsid w:val="00181BC1"/>
    <w:rsid w:val="001974BD"/>
    <w:rsid w:val="001B3CEB"/>
    <w:rsid w:val="001B4DB6"/>
    <w:rsid w:val="001C7E6D"/>
    <w:rsid w:val="001F4FE9"/>
    <w:rsid w:val="00201C96"/>
    <w:rsid w:val="00224C44"/>
    <w:rsid w:val="00232439"/>
    <w:rsid w:val="0023447C"/>
    <w:rsid w:val="00256E21"/>
    <w:rsid w:val="002576A9"/>
    <w:rsid w:val="00264A3C"/>
    <w:rsid w:val="00267351"/>
    <w:rsid w:val="002767C4"/>
    <w:rsid w:val="0029295C"/>
    <w:rsid w:val="002949DD"/>
    <w:rsid w:val="002A76C1"/>
    <w:rsid w:val="002B3871"/>
    <w:rsid w:val="002B452D"/>
    <w:rsid w:val="002D247A"/>
    <w:rsid w:val="002D3D78"/>
    <w:rsid w:val="002F68D4"/>
    <w:rsid w:val="00301819"/>
    <w:rsid w:val="00323010"/>
    <w:rsid w:val="0032527C"/>
    <w:rsid w:val="00332533"/>
    <w:rsid w:val="00343A99"/>
    <w:rsid w:val="00344B4A"/>
    <w:rsid w:val="00350B0F"/>
    <w:rsid w:val="0035181A"/>
    <w:rsid w:val="00353EE4"/>
    <w:rsid w:val="003642F1"/>
    <w:rsid w:val="003661D1"/>
    <w:rsid w:val="00367C3F"/>
    <w:rsid w:val="0037085F"/>
    <w:rsid w:val="0039337B"/>
    <w:rsid w:val="003A6AD5"/>
    <w:rsid w:val="003B4745"/>
    <w:rsid w:val="004043E4"/>
    <w:rsid w:val="00406562"/>
    <w:rsid w:val="0044098C"/>
    <w:rsid w:val="00440A07"/>
    <w:rsid w:val="00450593"/>
    <w:rsid w:val="00460C4D"/>
    <w:rsid w:val="00461C46"/>
    <w:rsid w:val="00461D7A"/>
    <w:rsid w:val="00465E8F"/>
    <w:rsid w:val="00467E22"/>
    <w:rsid w:val="00467F48"/>
    <w:rsid w:val="00475117"/>
    <w:rsid w:val="00475F84"/>
    <w:rsid w:val="00487A84"/>
    <w:rsid w:val="00496903"/>
    <w:rsid w:val="00496B57"/>
    <w:rsid w:val="004A3BA8"/>
    <w:rsid w:val="004A3C1C"/>
    <w:rsid w:val="004A728C"/>
    <w:rsid w:val="004B6A07"/>
    <w:rsid w:val="004B7FD3"/>
    <w:rsid w:val="004E0106"/>
    <w:rsid w:val="004E1ACE"/>
    <w:rsid w:val="004F0BBC"/>
    <w:rsid w:val="00506527"/>
    <w:rsid w:val="005373FC"/>
    <w:rsid w:val="0055154B"/>
    <w:rsid w:val="00562B95"/>
    <w:rsid w:val="00564C23"/>
    <w:rsid w:val="00580393"/>
    <w:rsid w:val="00585B17"/>
    <w:rsid w:val="00595325"/>
    <w:rsid w:val="005B0E8A"/>
    <w:rsid w:val="005B2C6E"/>
    <w:rsid w:val="005B7784"/>
    <w:rsid w:val="005C210E"/>
    <w:rsid w:val="005C6B0C"/>
    <w:rsid w:val="005E1EF1"/>
    <w:rsid w:val="005E410F"/>
    <w:rsid w:val="005E781A"/>
    <w:rsid w:val="005F5448"/>
    <w:rsid w:val="005F75D2"/>
    <w:rsid w:val="005F7A7D"/>
    <w:rsid w:val="0060139D"/>
    <w:rsid w:val="006017CA"/>
    <w:rsid w:val="00611677"/>
    <w:rsid w:val="006178BF"/>
    <w:rsid w:val="006408C8"/>
    <w:rsid w:val="0064475F"/>
    <w:rsid w:val="006563C6"/>
    <w:rsid w:val="00674A58"/>
    <w:rsid w:val="00680442"/>
    <w:rsid w:val="0068520B"/>
    <w:rsid w:val="006856DB"/>
    <w:rsid w:val="00685BA1"/>
    <w:rsid w:val="006945F8"/>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409F6"/>
    <w:rsid w:val="00753F80"/>
    <w:rsid w:val="007708C2"/>
    <w:rsid w:val="00775C79"/>
    <w:rsid w:val="00775E94"/>
    <w:rsid w:val="007A10EE"/>
    <w:rsid w:val="007A5642"/>
    <w:rsid w:val="007A61CF"/>
    <w:rsid w:val="007B264F"/>
    <w:rsid w:val="007B32A1"/>
    <w:rsid w:val="007B5968"/>
    <w:rsid w:val="007C0C0F"/>
    <w:rsid w:val="007E6B31"/>
    <w:rsid w:val="00825F12"/>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01A1E"/>
    <w:rsid w:val="00917859"/>
    <w:rsid w:val="009201AC"/>
    <w:rsid w:val="009331C6"/>
    <w:rsid w:val="00933D9C"/>
    <w:rsid w:val="00984BC8"/>
    <w:rsid w:val="0098565F"/>
    <w:rsid w:val="0099266E"/>
    <w:rsid w:val="00993A25"/>
    <w:rsid w:val="009A51AC"/>
    <w:rsid w:val="009B27EF"/>
    <w:rsid w:val="009B701B"/>
    <w:rsid w:val="009C4782"/>
    <w:rsid w:val="009C5815"/>
    <w:rsid w:val="009C5A21"/>
    <w:rsid w:val="009D6C25"/>
    <w:rsid w:val="009D7413"/>
    <w:rsid w:val="009E0463"/>
    <w:rsid w:val="009F4194"/>
    <w:rsid w:val="009F4B8F"/>
    <w:rsid w:val="009F60E3"/>
    <w:rsid w:val="009F63BA"/>
    <w:rsid w:val="00A11BA4"/>
    <w:rsid w:val="00A33D04"/>
    <w:rsid w:val="00A41932"/>
    <w:rsid w:val="00A478BB"/>
    <w:rsid w:val="00A53593"/>
    <w:rsid w:val="00A619D9"/>
    <w:rsid w:val="00A71376"/>
    <w:rsid w:val="00A90842"/>
    <w:rsid w:val="00A94B58"/>
    <w:rsid w:val="00AA35F7"/>
    <w:rsid w:val="00AA4011"/>
    <w:rsid w:val="00AB4C41"/>
    <w:rsid w:val="00AC04AB"/>
    <w:rsid w:val="00AC565C"/>
    <w:rsid w:val="00AD2006"/>
    <w:rsid w:val="00AE1FEB"/>
    <w:rsid w:val="00AF246E"/>
    <w:rsid w:val="00AF2AD7"/>
    <w:rsid w:val="00B045CC"/>
    <w:rsid w:val="00B07F32"/>
    <w:rsid w:val="00B13367"/>
    <w:rsid w:val="00B13451"/>
    <w:rsid w:val="00B27E27"/>
    <w:rsid w:val="00B316D7"/>
    <w:rsid w:val="00B32899"/>
    <w:rsid w:val="00B32DD6"/>
    <w:rsid w:val="00B346FF"/>
    <w:rsid w:val="00B412A6"/>
    <w:rsid w:val="00B54292"/>
    <w:rsid w:val="00B65511"/>
    <w:rsid w:val="00B7501B"/>
    <w:rsid w:val="00B90519"/>
    <w:rsid w:val="00B92773"/>
    <w:rsid w:val="00B92D7E"/>
    <w:rsid w:val="00BA20B8"/>
    <w:rsid w:val="00BA2679"/>
    <w:rsid w:val="00BC1B38"/>
    <w:rsid w:val="00BC3E60"/>
    <w:rsid w:val="00BC4608"/>
    <w:rsid w:val="00BC6DC4"/>
    <w:rsid w:val="00BD5F16"/>
    <w:rsid w:val="00BE1774"/>
    <w:rsid w:val="00BF022A"/>
    <w:rsid w:val="00C221CE"/>
    <w:rsid w:val="00C25750"/>
    <w:rsid w:val="00C25CB0"/>
    <w:rsid w:val="00C26807"/>
    <w:rsid w:val="00C371B6"/>
    <w:rsid w:val="00C4578D"/>
    <w:rsid w:val="00C47474"/>
    <w:rsid w:val="00C47E3E"/>
    <w:rsid w:val="00C64668"/>
    <w:rsid w:val="00C728AE"/>
    <w:rsid w:val="00C73C3C"/>
    <w:rsid w:val="00C747CC"/>
    <w:rsid w:val="00CB0127"/>
    <w:rsid w:val="00CB0950"/>
    <w:rsid w:val="00CE05BB"/>
    <w:rsid w:val="00CE5EC6"/>
    <w:rsid w:val="00CF03E7"/>
    <w:rsid w:val="00CF5001"/>
    <w:rsid w:val="00CF79ED"/>
    <w:rsid w:val="00D001EA"/>
    <w:rsid w:val="00D26E43"/>
    <w:rsid w:val="00D34DA7"/>
    <w:rsid w:val="00D42A87"/>
    <w:rsid w:val="00D441D7"/>
    <w:rsid w:val="00D44AC9"/>
    <w:rsid w:val="00D45C8D"/>
    <w:rsid w:val="00D50A6F"/>
    <w:rsid w:val="00D526A3"/>
    <w:rsid w:val="00D62D51"/>
    <w:rsid w:val="00D65A6A"/>
    <w:rsid w:val="00D70F12"/>
    <w:rsid w:val="00D71BB8"/>
    <w:rsid w:val="00D72FA5"/>
    <w:rsid w:val="00D74117"/>
    <w:rsid w:val="00D833BC"/>
    <w:rsid w:val="00D909FB"/>
    <w:rsid w:val="00DB779F"/>
    <w:rsid w:val="00DD0175"/>
    <w:rsid w:val="00DD64FA"/>
    <w:rsid w:val="00DE5B23"/>
    <w:rsid w:val="00DF648E"/>
    <w:rsid w:val="00DF68E0"/>
    <w:rsid w:val="00E1310A"/>
    <w:rsid w:val="00E21E6F"/>
    <w:rsid w:val="00E37BB1"/>
    <w:rsid w:val="00E47807"/>
    <w:rsid w:val="00E52CB7"/>
    <w:rsid w:val="00E80832"/>
    <w:rsid w:val="00E967A2"/>
    <w:rsid w:val="00EA0AB8"/>
    <w:rsid w:val="00EA1496"/>
    <w:rsid w:val="00EA2593"/>
    <w:rsid w:val="00EA2933"/>
    <w:rsid w:val="00EA76D7"/>
    <w:rsid w:val="00EB2AEC"/>
    <w:rsid w:val="00EB47C6"/>
    <w:rsid w:val="00ED763F"/>
    <w:rsid w:val="00EE4722"/>
    <w:rsid w:val="00EE6222"/>
    <w:rsid w:val="00EE6509"/>
    <w:rsid w:val="00EF57BC"/>
    <w:rsid w:val="00EF6220"/>
    <w:rsid w:val="00F1229F"/>
    <w:rsid w:val="00F24B78"/>
    <w:rsid w:val="00F277AA"/>
    <w:rsid w:val="00F70F1F"/>
    <w:rsid w:val="00F77ABC"/>
    <w:rsid w:val="00F80766"/>
    <w:rsid w:val="00F8416E"/>
    <w:rsid w:val="00F924A7"/>
    <w:rsid w:val="00F94D97"/>
    <w:rsid w:val="00FA1C3B"/>
    <w:rsid w:val="00FB1396"/>
    <w:rsid w:val="00FB2CB0"/>
    <w:rsid w:val="00FD162D"/>
    <w:rsid w:val="00FD3A99"/>
    <w:rsid w:val="00FD47EE"/>
    <w:rsid w:val="00FD5F95"/>
    <w:rsid w:val="00FD67E3"/>
    <w:rsid w:val="00FD759F"/>
    <w:rsid w:val="00FE3076"/>
    <w:rsid w:val="00FE6AE2"/>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B81F04"/>
  <w15:docId w15:val="{75DB5DD4-82E8-420E-9794-DD0427D7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4A3BA8"/>
    <w:rPr>
      <w:color w:val="2B579A"/>
      <w:shd w:val="clear" w:color="auto" w:fill="E1DFDD"/>
    </w:rPr>
  </w:style>
  <w:style w:type="character" w:styleId="Mention">
    <w:name w:val="Mention"/>
    <w:basedOn w:val="DefaultParagraphFont"/>
    <w:uiPriority w:val="99"/>
    <w:semiHidden/>
    <w:rsid w:val="004A3BA8"/>
    <w:rPr>
      <w:color w:val="2B579A"/>
      <w:shd w:val="clear" w:color="auto" w:fill="E1DFDD"/>
    </w:rPr>
  </w:style>
  <w:style w:type="character" w:styleId="UnresolvedMention">
    <w:name w:val="Unresolved Mention"/>
    <w:basedOn w:val="DefaultParagraphFont"/>
    <w:uiPriority w:val="99"/>
    <w:semiHidden/>
    <w:rsid w:val="004A3BA8"/>
    <w:rPr>
      <w:color w:val="605E5C"/>
      <w:shd w:val="clear" w:color="auto" w:fill="E1DFDD"/>
    </w:rPr>
  </w:style>
  <w:style w:type="character" w:styleId="SmartHyperlink">
    <w:name w:val="Smart Hyperlink"/>
    <w:basedOn w:val="DefaultParagraphFont"/>
    <w:uiPriority w:val="99"/>
    <w:semiHidden/>
    <w:rsid w:val="004A3BA8"/>
    <w:rPr>
      <w:u w:val="dotted"/>
    </w:rPr>
  </w:style>
  <w:style w:type="character" w:styleId="SmartLink">
    <w:name w:val="Smart Link"/>
    <w:basedOn w:val="DefaultParagraphFont"/>
    <w:uiPriority w:val="99"/>
    <w:semiHidden/>
    <w:rsid w:val="004A3BA8"/>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ml version="1.0" encoding="iso-8859-1"?>-->
<DocumentInfo xmlns="http://lp/documentinfo/RK">
  <BaseInfo>
    <RkTemplate>30</RkTemplate>
    <DocType>SFS</DocType>
    <DocTypeShowName>SFS</DocTypeShowName>
    <Status/>
    <Sender>
      <SenderName>Anna Cedrum</SenderName>
      <SenderTitle>Departementssekreterare</SenderTitle>
      <SenderMail>Anna.Cedrum@regeringskansliet.se</SenderMail>
      <SenderPhone>08-405 12 09
072-228 11 41</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2021-05-26</HeaderDate>
    <Office/>
    <Dnr>M2021/</Dnr>
    <ParagrafNr/>
    <DocumentTitle/>
    <VisitingAddress/>
    <Extra1>extrainfo för denna mallm</Extra1>
    <Extra2>mer extrainfo</Extra2>
    <Extra3/>
    <Number/>
    <Recipient/>
    <SenderText/>
    <DocNumber/>
    <Doclanguage>1053</Doclanguage>
    <Appendix/>
    <LogotypeName/>
  </BaseInfo>
</DocumentInfo>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6a372189-8514-43a9-a668-4622024340fc">TSDR5AECP2XP-1839530900-53379</_dlc_DocId>
    <_dlc_DocIdUrl xmlns="6a372189-8514-43a9-a668-4622024340fc">
      <Url>https://dhs.sp.regeringskansliet.se/yta/m-r/_layouts/15/DocIdRedir.aspx?ID=TSDR5AECP2XP-1839530900-53379</Url>
      <Description>TSDR5AECP2XP-1839530900-53379</Description>
    </_dlc_DocIdUrl>
    <RKOrdnaClass xmlns="d4acd662-17ce-4a3b-8e84-c7c9f280a23c" xsi:nil="true"/>
    <RKOrdnaCheckInComment xmlns="d4acd662-17ce-4a3b-8e84-c7c9f280a23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5" ma:contentTypeDescription="Skapa ett nytt dokument." ma:contentTypeScope="" ma:versionID="44e31441bcfe5a11cd9a2cef03372725">
  <xsd:schema xmlns:xsd="http://www.w3.org/2001/XMLSchema" xmlns:xs="http://www.w3.org/2001/XMLSchema" xmlns:p="http://schemas.microsoft.com/office/2006/metadata/properties" xmlns:ns2="4e9c2f0c-7bf8-49af-8356-cbf363fc78a7" xmlns:ns3="cc625d36-bb37-4650-91b9-0c96159295ba" xmlns:ns4="18f3d968-6251-40b0-9f11-012b293496c2" xmlns:ns5="d4acd662-17ce-4a3b-8e84-c7c9f280a23c" xmlns:ns7="6a372189-8514-43a9-a668-4622024340fc" targetNamespace="http://schemas.microsoft.com/office/2006/metadata/properties" ma:root="true" ma:fieldsID="9755c46bd8cbbb861736efa1e3307b2e" ns2:_="" ns3:_="" ns4:_="" ns5:_="" ns7:_="">
    <xsd:import namespace="4e9c2f0c-7bf8-49af-8356-cbf363fc78a7"/>
    <xsd:import namespace="cc625d36-bb37-4650-91b9-0c96159295ba"/>
    <xsd:import namespace="18f3d968-6251-40b0-9f11-012b293496c2"/>
    <xsd:import namespace="d4acd662-17ce-4a3b-8e84-c7c9f280a23c"/>
    <xsd:import namespace="6a372189-8514-43a9-a668-4622024340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RKOrdnaCheckInComment" minOccurs="0"/>
                <xsd:element ref="ns5:RKOrdnaClas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3b9322c-24b1-4a7f-a49c-b9c86c8c013d}" ma:internalName="TaxCatchAll"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heckInComment" ma:index="17" nillable="true" ma:displayName="Incheckningskommentar" ma:hidden="true" ma:internalName="RKOrdnaCheckInComment">
      <xsd:simpleType>
        <xsd:restriction base="dms:Text"/>
      </xsd:simpleType>
    </xsd:element>
    <xsd:element name="RKOrdnaClass" ma:index="18" nillable="true" ma:displayName="Klass" ma:hidden="true" ma:internalName="RKOrdnaCla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2.xml><?xml version="1.0" encoding="utf-8"?>
<ds:datastoreItem xmlns:ds="http://schemas.openxmlformats.org/officeDocument/2006/customXml" ds:itemID="{FC974E1A-44C7-486B-9F64-ACC8D6E00367}">
  <ds:schemaRefs>
    <ds:schemaRef ds:uri="http://lp/documentinfo/RK"/>
  </ds:schemaRefs>
</ds:datastoreItem>
</file>

<file path=customXml/itemProps3.xml><?xml version="1.0" encoding="utf-8"?>
<ds:datastoreItem xmlns:ds="http://schemas.openxmlformats.org/officeDocument/2006/customXml" ds:itemID="{C0208AD9-7621-44EF-92B6-94058BEE090D}">
  <ds:schemaRefs>
    <ds:schemaRef ds:uri="Microsoft.SharePoint.Taxonomy.ContentTypeSync"/>
  </ds:schemaRefs>
</ds:datastoreItem>
</file>

<file path=customXml/itemProps4.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5.xml><?xml version="1.0" encoding="utf-8"?>
<ds:datastoreItem xmlns:ds="http://schemas.openxmlformats.org/officeDocument/2006/customXml" ds:itemID="{F950BDEA-6BD5-4D01-B686-2AF69049C9B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372189-8514-43a9-a668-4622024340fc"/>
    <ds:schemaRef ds:uri="d4acd662-17ce-4a3b-8e84-c7c9f280a23c"/>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B70728E-F6DE-48BC-B86C-366F6015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d4acd662-17ce-4a3b-8e84-c7c9f280a23c"/>
    <ds:schemaRef ds:uri="6a372189-8514-43a9-a668-462202434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6D950E-A258-4665-AC74-02E666C239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SFS.dotx</Template>
  <TotalTime>2</TotalTime>
  <Pages>2</Pages>
  <Words>594</Words>
  <Characters>3391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Förordning om ändring i förordningen (2018:1462) om producentansvar för förpackningar</vt:lpstr>
    </vt:vector>
  </TitlesOfParts>
  <Company>Regeringskansliet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(2018:1462) om producentansvar för förpackningar</dc:title>
  <dc:creator>Anna Cedrum</dc:creator>
  <cp:lastModifiedBy>Dimitris Dimitriadis</cp:lastModifiedBy>
  <cp:revision>4</cp:revision>
  <cp:lastPrinted>2016-10-14T09:17:00Z</cp:lastPrinted>
  <dcterms:created xsi:type="dcterms:W3CDTF">2021-06-28T14:30:00Z</dcterms:created>
  <dcterms:modified xsi:type="dcterms:W3CDTF">2021-07-02T08:01:00Z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759eb7dc-ebe2-4bb0-86b9-c90f737cef64</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TaxKeyword">
    <vt:lpwstr/>
  </property>
  <property fmtid="{D5CDD505-2E9C-101B-9397-08002B2CF9AE}" pid="9" name="Organisation">
    <vt:lpwstr/>
  </property>
  <property fmtid="{D5CDD505-2E9C-101B-9397-08002B2CF9AE}" pid="10" name="ActivityCategory">
    <vt:lpwstr/>
  </property>
  <property fmtid="{D5CDD505-2E9C-101B-9397-08002B2CF9AE}" pid="11" name="TaxKeywordTaxHTField">
    <vt:lpwstr/>
  </property>
  <property fmtid="{D5CDD505-2E9C-101B-9397-08002B2CF9AE}" pid="12" name="c9cd366cc722410295b9eacffbd73909">
    <vt:lpwstr/>
  </property>
  <property fmtid="{D5CDD505-2E9C-101B-9397-08002B2CF9AE}" pid="13" name="RKAktivitetskategori">
    <vt:lpwstr/>
  </property>
</Properties>
</file>