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D9117" w14:textId="02DA8CCA" w:rsidR="004A3BA8" w:rsidRDefault="004A3BA8" w:rsidP="00450593">
      <w:pPr>
        <w:pStyle w:val="BodyText"/>
      </w:pPr>
      <w:r>
        <w:t xml:space="preserve">PROJET</w:t>
      </w:r>
    </w:p>
    <w:p w14:paraId="1557DC6E" w14:textId="77777777" w:rsidR="00450593" w:rsidRPr="00450593" w:rsidRDefault="00450593" w:rsidP="00450593">
      <w:pPr>
        <w:pStyle w:val="BodyTextIndent"/>
      </w:pPr>
    </w:p>
    <w:p w14:paraId="11F404A9" w14:textId="77777777" w:rsidR="004A3BA8" w:rsidRPr="005F75D2" w:rsidRDefault="004A3BA8" w:rsidP="005F75D2">
      <w:pPr>
        <w:pStyle w:val="BodyText"/>
        <w:pBdr>
          <w:top w:val="single" w:sz="6" w:space="1" w:color="auto"/>
        </w:pBdr>
        <w:ind w:right="-2411"/>
        <w:rPr>
          <w:sz w:val="4"/>
          <w:szCs w:val="4"/>
        </w:rPr>
      </w:pPr>
    </w:p>
    <w:p w14:paraId="5BC06867" w14:textId="304854B6" w:rsidR="004A3BA8" w:rsidRPr="00496B57" w:rsidRDefault="004A3BA8" w:rsidP="004A3BA8">
      <w:pPr>
        <w:pStyle w:val="Heading2"/>
        <w:spacing w:before="200"/>
      </w:pPr>
      <w:bookmarkStart w:id="0" w:name="Titel"/>
      <w:r>
        <w:t xml:space="preserve">Ordonnance modifiant l'Ordonnance (2018:1462) sur la responsabilité du producteur en matière d'emballage</w:t>
      </w:r>
      <w:bookmarkEnd w:id="0"/>
    </w:p>
    <w:p w14:paraId="7F721899" w14:textId="77777777" w:rsidR="004A3BA8" w:rsidRDefault="004A3BA8" w:rsidP="009C4782">
      <w:pPr>
        <w:pStyle w:val="BodyText"/>
      </w:pPr>
    </w:p>
    <w:p w14:paraId="7F293E91" w14:textId="766251DB" w:rsidR="004A3BA8" w:rsidRDefault="004A3BA8" w:rsidP="004A3BA8">
      <w:pPr>
        <w:pStyle w:val="BodyText"/>
      </w:pPr>
      <w:r>
        <w:t xml:space="preserve">Le gouvernement établit</w:t>
      </w:r>
      <w:r w:rsidR="00C4578D">
        <w:rPr>
          <w:rStyle w:val="FootnoteReference"/>
        </w:rPr>
        <w:footnoteReference w:id="2"/>
      </w:r>
      <w:r>
        <w:t xml:space="preserve"> en ce qui concerne l’ordonnance (2018:1462) sur la responsabilité du producteur en matière d’emballage</w:t>
      </w:r>
      <w:r>
        <w:t xml:space="preserve"> </w:t>
      </w:r>
    </w:p>
    <w:p w14:paraId="291A1A4D" w14:textId="50B881EE" w:rsidR="004A3BA8" w:rsidRDefault="004A3BA8" w:rsidP="004A3BA8">
      <w:pPr>
        <w:pStyle w:val="BodyTextIndent"/>
      </w:pPr>
      <w:r>
        <w:rPr>
          <w:i/>
        </w:rPr>
        <w:t xml:space="preserve">partiellement</w:t>
      </w:r>
      <w:r>
        <w:t xml:space="preserve"> que les articles 37 et 39 doivent comporter la formulation suivante,</w:t>
      </w:r>
    </w:p>
    <w:p w14:paraId="572695F9" w14:textId="03A8BA23" w:rsidR="004A3BA8" w:rsidRDefault="004A3BA8" w:rsidP="004A3BA8">
      <w:pPr>
        <w:pStyle w:val="BodyTextIndent"/>
      </w:pPr>
      <w:r>
        <w:rPr>
          <w:i/>
        </w:rPr>
        <w:t xml:space="preserve">partiellement</w:t>
      </w:r>
      <w:r>
        <w:t xml:space="preserve"> qu’il doit y avoir trois nouveaux paragraphes aux articles 38 a, 61 a et 79 a, avec la formulation suivante.</w:t>
      </w:r>
    </w:p>
    <w:p w14:paraId="17FD716E" w14:textId="70F551B7" w:rsidR="004A3BA8" w:rsidRDefault="004A3BA8" w:rsidP="004A3BA8">
      <w:pPr>
        <w:pStyle w:val="BodyTextIndent"/>
      </w:pPr>
    </w:p>
    <w:p w14:paraId="049A45F4" w14:textId="1FA1ADAA" w:rsidR="004A3BA8" w:rsidRDefault="00BD5F16" w:rsidP="004A3BA8">
      <w:pPr>
        <w:pStyle w:val="BodyText"/>
      </w:pPr>
      <w:r>
        <w:rPr>
          <w:b/>
        </w:rPr>
        <w:drawing>
          <wp:anchor distT="0" distB="0" distL="114300" distR="114300" simplePos="0" relativeHeight="251658240" behindDoc="1" locked="0" layoutInCell="1" allowOverlap="1" wp14:anchorId="62030268" wp14:editId="78E777E3">
            <wp:simplePos x="0" y="0"/>
            <wp:positionH relativeFrom="page">
              <wp:posOffset>675640</wp:posOffset>
            </wp:positionH>
            <wp:positionV relativeFrom="paragraph">
              <wp:posOffset>0</wp:posOffset>
            </wp:positionV>
            <wp:extent cx="12065" cy="341630"/>
            <wp:effectExtent l="0" t="0" r="26035" b="1270"/>
            <wp:wrapNone/>
            <wp:docPr id="3" name="Bildobjekt 3" descr="ändrad text"/>
            <wp:cNvGraphicFramePr/>
            <a:graphic xmlns:a="http://schemas.openxmlformats.org/drawingml/2006/main">
              <a:graphicData uri="http://schemas.openxmlformats.org/drawingml/2006/picture">
                <pic:pic xmlns:pic="http://schemas.openxmlformats.org/drawingml/2006/picture">
                  <pic:nvPicPr>
                    <pic:cNvPr id="3" name="Bildobjekt 3" descr="ändrad text"/>
                    <pic:cNvPicPr/>
                  </pic:nvPicPr>
                  <pic:blipFill>
                    <a:blip r:embed="rId14"/>
                    <a:stretch>
                      <a:fillRect/>
                    </a:stretch>
                  </pic:blipFill>
                  <pic:spPr>
                    <a:xfrm>
                      <a:off x="0" y="0"/>
                      <a:ext cx="12065" cy="341630"/>
                    </a:xfrm>
                    <a:prstGeom prst="rect">
                      <a:avLst/>
                    </a:prstGeom>
                  </pic:spPr>
                </pic:pic>
              </a:graphicData>
            </a:graphic>
            <wp14:sizeRelV relativeFrom="margin">
              <wp14:pctHeight>0</wp14:pctHeight>
            </wp14:sizeRelV>
          </wp:anchor>
        </w:drawing>
      </w:r>
      <w:r>
        <w:rPr>
          <w:b/>
        </w:rPr>
        <w:t xml:space="preserve">Article 37</w:t>
      </w:r>
      <w:r w:rsidR="00C4578D" w:rsidRPr="00AD2006">
        <w:rPr>
          <w:rStyle w:val="FootnoteReference"/>
          <w:bCs/>
        </w:rPr>
        <w:footnoteReference w:id="3"/>
      </w:r>
      <w:r>
        <w:t xml:space="preserve"> Un emballage ne peut être mis sur le marché suédois par un producteur que si l’emballage</w:t>
      </w:r>
      <w:r>
        <w:t xml:space="preserve">  </w:t>
      </w:r>
    </w:p>
    <w:p w14:paraId="49DB092A" w14:textId="77777777" w:rsidR="004A3BA8" w:rsidRDefault="004A3BA8" w:rsidP="004A3BA8">
      <w:pPr>
        <w:pStyle w:val="BodyTextIndent"/>
      </w:pPr>
      <w:r>
        <w:t xml:space="preserve">1. a un volume et un poids limités au minimum requis pour maintenir un bon niveau de sécurité et d’hygiène,</w:t>
      </w:r>
      <w:r>
        <w:t xml:space="preserve"> </w:t>
      </w:r>
    </w:p>
    <w:p w14:paraId="322AB25E" w14:textId="77777777" w:rsidR="004A3BA8" w:rsidRDefault="004A3BA8" w:rsidP="004A3BA8">
      <w:pPr>
        <w:pStyle w:val="BodyTextIndent"/>
      </w:pPr>
      <w:r>
        <w:t xml:space="preserve">2. peut être réutilisé ou recyclé, et</w:t>
      </w:r>
      <w:r>
        <w:t xml:space="preserve"> </w:t>
      </w:r>
    </w:p>
    <w:p w14:paraId="1CC93864" w14:textId="7951EAEB" w:rsidR="004A3BA8" w:rsidRDefault="00775C79" w:rsidP="004A3BA8">
      <w:pPr>
        <w:pStyle w:val="BodyTextIndent"/>
      </w:pPr>
      <w:r>
        <w:drawing>
          <wp:anchor distT="0" distB="0" distL="114300" distR="114300" simplePos="0" relativeHeight="251658245" behindDoc="1" locked="0" layoutInCell="1" allowOverlap="1" wp14:anchorId="2B1EAB77" wp14:editId="1098F2A9">
            <wp:simplePos x="0" y="0"/>
            <wp:positionH relativeFrom="page">
              <wp:posOffset>675640</wp:posOffset>
            </wp:positionH>
            <wp:positionV relativeFrom="paragraph">
              <wp:posOffset>0</wp:posOffset>
            </wp:positionV>
            <wp:extent cx="12065" cy="519430"/>
            <wp:effectExtent l="0" t="0" r="26035" b="0"/>
            <wp:wrapNone/>
            <wp:docPr id="9" name="Bildobjekt 9" descr="ändrad text"/>
            <wp:cNvGraphicFramePr/>
            <a:graphic xmlns:a="http://schemas.openxmlformats.org/drawingml/2006/main">
              <a:graphicData uri="http://schemas.openxmlformats.org/drawingml/2006/picture">
                <pic:pic xmlns:pic="http://schemas.openxmlformats.org/drawingml/2006/picture">
                  <pic:nvPicPr>
                    <pic:cNvPr id="9" name="Bildobjekt 9" descr="ändrad text"/>
                    <pic:cNvPicPr/>
                  </pic:nvPicPr>
                  <pic:blipFill>
                    <a:blip r:embed="rId14"/>
                    <a:stretch>
                      <a:fillRect/>
                    </a:stretch>
                  </pic:blipFill>
                  <pic:spPr>
                    <a:xfrm>
                      <a:off x="0" y="0"/>
                      <a:ext cx="12065" cy="519430"/>
                    </a:xfrm>
                    <a:prstGeom prst="rect">
                      <a:avLst/>
                    </a:prstGeom>
                  </pic:spPr>
                </pic:pic>
              </a:graphicData>
            </a:graphic>
            <wp14:sizeRelV relativeFrom="margin">
              <wp14:pctHeight>0</wp14:pctHeight>
            </wp14:sizeRelV>
          </wp:anchor>
        </w:drawing>
      </w:r>
      <w:r>
        <w:t xml:space="preserve">3. est produit afin de réduire au minimum les émissions de substances nocives et que l'impact sur l'environnement en général est limité lorsque les déchets d'emballages sont traités ou que les résidus provenant de la transformation des déchets d'emballages sont éliminés.</w:t>
      </w:r>
    </w:p>
    <w:p w14:paraId="0E4CC1A2" w14:textId="77777777" w:rsidR="004A3BA8" w:rsidRDefault="004A3BA8" w:rsidP="004A3BA8">
      <w:pPr>
        <w:pStyle w:val="BodyTextIndent"/>
      </w:pPr>
    </w:p>
    <w:p w14:paraId="74FB299C" w14:textId="5F5EAA22" w:rsidR="004A3BA8" w:rsidRDefault="00BD5F16" w:rsidP="004A3BA8">
      <w:pPr>
        <w:pStyle w:val="BodyText"/>
      </w:pPr>
      <w:r>
        <w:rPr>
          <w:b/>
        </w:rPr>
        <w:drawing>
          <wp:anchor distT="0" distB="0" distL="114300" distR="114300" simplePos="0" relativeHeight="251658241" behindDoc="1" locked="0" layoutInCell="1" allowOverlap="1" wp14:anchorId="7D68A5FB" wp14:editId="19FACF5C">
            <wp:simplePos x="0" y="0"/>
            <wp:positionH relativeFrom="page">
              <wp:posOffset>675640</wp:posOffset>
            </wp:positionH>
            <wp:positionV relativeFrom="paragraph">
              <wp:posOffset>0</wp:posOffset>
            </wp:positionV>
            <wp:extent cx="12065" cy="2592070"/>
            <wp:effectExtent l="0" t="0" r="26035" b="0"/>
            <wp:wrapNone/>
            <wp:docPr id="4" name="Bildobjekt 4" descr="ändrad text"/>
            <wp:cNvGraphicFramePr/>
            <a:graphic xmlns:a="http://schemas.openxmlformats.org/drawingml/2006/main">
              <a:graphicData uri="http://schemas.openxmlformats.org/drawingml/2006/picture">
                <pic:pic xmlns:pic="http://schemas.openxmlformats.org/drawingml/2006/picture">
                  <pic:nvPicPr>
                    <pic:cNvPr id="4" name="Bildobjekt 4" descr="ändrad text"/>
                    <pic:cNvPicPr/>
                  </pic:nvPicPr>
                  <pic:blipFill>
                    <a:blip r:embed="rId14"/>
                    <a:stretch>
                      <a:fillRect/>
                    </a:stretch>
                  </pic:blipFill>
                  <pic:spPr>
                    <a:xfrm>
                      <a:off x="0" y="0"/>
                      <a:ext cx="12065" cy="2592070"/>
                    </a:xfrm>
                    <a:prstGeom prst="rect">
                      <a:avLst/>
                    </a:prstGeom>
                  </pic:spPr>
                </pic:pic>
              </a:graphicData>
            </a:graphic>
            <wp14:sizeRelV relativeFrom="margin">
              <wp14:pctHeight>0</wp14:pctHeight>
            </wp14:sizeRelV>
          </wp:anchor>
        </w:drawing>
      </w:r>
      <w:r>
        <w:rPr>
          <w:b/>
        </w:rPr>
        <w:t xml:space="preserve">Article 38 a</w:t>
      </w:r>
      <w:r>
        <w:t xml:space="preserve"> Un emballage est réputé être recyclable conformément au paragraphe 2 de l'article 37 si</w:t>
      </w:r>
      <w:r>
        <w:t xml:space="preserve">  </w:t>
      </w:r>
    </w:p>
    <w:p w14:paraId="3A06AE53" w14:textId="56AE1F6C" w:rsidR="004A3BA8" w:rsidRDefault="004A3BA8" w:rsidP="004A3BA8">
      <w:pPr>
        <w:pStyle w:val="BodyTextIndent"/>
      </w:pPr>
      <w:r>
        <w:t xml:space="preserve">1. au moins 75 % en poids de la matière utilisée dans l’emballage peut être recyclée en matières ou en produits vendables, ou</w:t>
      </w:r>
    </w:p>
    <w:p w14:paraId="020CFA8C" w14:textId="391BED2F" w:rsidR="004A3BA8" w:rsidRDefault="004A3BA8" w:rsidP="004A3BA8">
      <w:pPr>
        <w:pStyle w:val="BodyTextIndent"/>
      </w:pPr>
      <w:r>
        <w:t xml:space="preserve">2. l'emballage peut être recyclé conformément aux prescriptions de l'article 39 et si l'emballage</w:t>
      </w:r>
      <w:r>
        <w:t xml:space="preserve">  </w:t>
      </w:r>
    </w:p>
    <w:p w14:paraId="2C81D9B4" w14:textId="70F85B5B" w:rsidR="004A3BA8" w:rsidRDefault="004A3BA8" w:rsidP="004A3BA8">
      <w:pPr>
        <w:pStyle w:val="BodyTextIndent"/>
      </w:pPr>
      <w:r>
        <w:t xml:space="preserve">a) est nécessaire pour prolonger la durée de conservation des aliments dans une mesure qui n’est pas négligeable,</w:t>
      </w:r>
      <w:r>
        <w:t xml:space="preserve">  </w:t>
      </w:r>
    </w:p>
    <w:p w14:paraId="1583CE14" w14:textId="02D5AC32" w:rsidR="004A3BA8" w:rsidRDefault="004A3BA8" w:rsidP="004A3BA8">
      <w:pPr>
        <w:pStyle w:val="BodyTextIndent"/>
      </w:pPr>
      <w:r>
        <w:t xml:space="preserve">b) est nécessaire pour satisfaire aux exigences d’un autre statut,</w:t>
      </w:r>
      <w:r>
        <w:t xml:space="preserve">  </w:t>
      </w:r>
    </w:p>
    <w:p w14:paraId="2A266F56" w14:textId="77777777" w:rsidR="004A3BA8" w:rsidRDefault="004A3BA8" w:rsidP="004A3BA8">
      <w:pPr>
        <w:pStyle w:val="BodyTextIndent"/>
      </w:pPr>
      <w:r>
        <w:t xml:space="preserve">c) est composé à plus de 50 % en poids de plastique recyclé dont la qualité est si faible que l'emballage ne peut être recyclé, ou</w:t>
      </w:r>
      <w:r>
        <w:t xml:space="preserve"> </w:t>
      </w:r>
    </w:p>
    <w:p w14:paraId="09F77C96" w14:textId="77777777" w:rsidR="004A3BA8" w:rsidRDefault="004A3BA8" w:rsidP="004A3BA8">
      <w:pPr>
        <w:pStyle w:val="BodyTextIndent"/>
      </w:pPr>
      <w:r>
        <w:t xml:space="preserve">d) est un conteneur en bois.</w:t>
      </w:r>
      <w:r>
        <w:t xml:space="preserve"> </w:t>
      </w:r>
    </w:p>
    <w:p w14:paraId="2B098D40" w14:textId="5A3BB0A3" w:rsidR="004A3BA8" w:rsidRDefault="004A3BA8" w:rsidP="004A3BA8">
      <w:pPr>
        <w:pStyle w:val="BodyTextIndent"/>
      </w:pPr>
      <w:r>
        <w:t xml:space="preserve">Lors de l'évaluation de la nécessité d'un colis conformément au premier paragraphe 2 a ou b, les possibilités qui existent de remplacer l'emballage par un emballage fabriqué à partir d'un matériau recyclable sont prises en considération.</w:t>
      </w:r>
      <w:r>
        <w:t xml:space="preserve"> </w:t>
      </w:r>
      <w:r>
        <w:t xml:space="preserve">Il convient également de prendre en considération les effets d'un tel changement de matériau sur la santé humaine et l'environnement.</w:t>
      </w:r>
    </w:p>
    <w:p w14:paraId="7DA6DB66" w14:textId="053BE539" w:rsidR="004A3BA8" w:rsidRDefault="004A3BA8" w:rsidP="004A3BA8">
      <w:pPr>
        <w:pStyle w:val="BodyTextIndent"/>
      </w:pPr>
    </w:p>
    <w:p w14:paraId="387AB169" w14:textId="69A7F7CA" w:rsidR="004A3BA8" w:rsidRDefault="00BD5F16" w:rsidP="004A3BA8">
      <w:pPr>
        <w:pStyle w:val="BodyText"/>
      </w:pPr>
      <w:r>
        <w:rPr>
          <w:b/>
        </w:rPr>
        <w:drawing>
          <wp:anchor distT="0" distB="0" distL="114300" distR="114300" simplePos="0" relativeHeight="251658242" behindDoc="1" locked="0" layoutInCell="1" allowOverlap="1" wp14:anchorId="19BF73B8" wp14:editId="62F1749D">
            <wp:simplePos x="0" y="0"/>
            <wp:positionH relativeFrom="page">
              <wp:posOffset>675640</wp:posOffset>
            </wp:positionH>
            <wp:positionV relativeFrom="paragraph">
              <wp:posOffset>0</wp:posOffset>
            </wp:positionV>
            <wp:extent cx="12065" cy="349886"/>
            <wp:effectExtent l="0" t="0" r="26035" b="0"/>
            <wp:wrapNone/>
            <wp:docPr id="6" name="Bildobjekt 6" descr="ändrad text"/>
            <wp:cNvGraphicFramePr/>
            <a:graphic xmlns:a="http://schemas.openxmlformats.org/drawingml/2006/main">
              <a:graphicData uri="http://schemas.openxmlformats.org/drawingml/2006/picture">
                <pic:pic xmlns:pic="http://schemas.openxmlformats.org/drawingml/2006/picture">
                  <pic:nvPicPr>
                    <pic:cNvPr id="6" name="Bildobjekt 6" descr="ändrad text"/>
                    <pic:cNvPicPr/>
                  </pic:nvPicPr>
                  <pic:blipFill>
                    <a:blip r:embed="rId14"/>
                    <a:stretch>
                      <a:fillRect/>
                    </a:stretch>
                  </pic:blipFill>
                  <pic:spPr>
                    <a:xfrm>
                      <a:off x="0" y="0"/>
                      <a:ext cx="12065" cy="349886"/>
                    </a:xfrm>
                    <a:prstGeom prst="rect">
                      <a:avLst/>
                    </a:prstGeom>
                  </pic:spPr>
                </pic:pic>
              </a:graphicData>
            </a:graphic>
            <wp14:sizeRelV relativeFrom="margin">
              <wp14:pctHeight>0</wp14:pctHeight>
            </wp14:sizeRelV>
          </wp:anchor>
        </w:drawing>
      </w:r>
      <w:r>
        <w:rPr>
          <w:b/>
        </w:rPr>
        <w:t xml:space="preserve">Article 39</w:t>
      </w:r>
      <w:r w:rsidR="00C4578D" w:rsidRPr="00AD2006">
        <w:rPr>
          <w:rStyle w:val="FootnoteReference"/>
          <w:bCs/>
        </w:rPr>
        <w:footnoteReference w:id="4"/>
      </w:r>
      <w:r>
        <w:t xml:space="preserve"> Un emballage visé à l'article 38 a 2 est considéré comme recyclable par :</w:t>
      </w:r>
      <w:r>
        <w:t xml:space="preserve"> </w:t>
      </w:r>
    </w:p>
    <w:p w14:paraId="2E9AD062" w14:textId="7BFCB0C7" w:rsidR="004A3BA8" w:rsidRDefault="004A3BA8" w:rsidP="004A3BA8">
      <w:pPr>
        <w:pStyle w:val="BodyTextIndent"/>
      </w:pPr>
      <w:r>
        <w:t xml:space="preserve">1) recyclage des matériaux, si l’emballage est produit de telle manière qu’il est possible d’utiliser un certain pourcentage en poids du matériau d’emballage pour la fabrication de produits commercialisables,</w:t>
      </w:r>
      <w:r>
        <w:t xml:space="preserve"> </w:t>
      </w:r>
    </w:p>
    <w:p w14:paraId="1D4FB8B3" w14:textId="2816C857" w:rsidR="004A3BA8" w:rsidRDefault="004A3BA8" w:rsidP="004A3BA8">
      <w:pPr>
        <w:pStyle w:val="BodyTextIndent"/>
      </w:pPr>
      <w:r>
        <w:t xml:space="preserve">2. extraction de l’énergie, si les déchets d’emballage ont une valeur thermique minimale pour assurer une extraction optimale de l’énergie, ou</w:t>
      </w:r>
      <w:r>
        <w:t xml:space="preserve"> </w:t>
      </w:r>
    </w:p>
    <w:p w14:paraId="5ADEC108" w14:textId="75A85FD2" w:rsidR="004A3BA8" w:rsidRDefault="004A3BA8" w:rsidP="004A3BA8">
      <w:pPr>
        <w:pStyle w:val="BodyTextIndent"/>
      </w:pPr>
      <w:r>
        <w:t xml:space="preserve">3) compostage, si les déchets d’emballages sont biodégradables au point qu’ils n’empêchent pas la collecte séparée ou l’activité de compostage ou de compostage à laquelle ils sont soumis et qu’ils sont de nature à être soumis à une dégradation physique, chimique, thermique ou biologique de telle sorte que la majeure partie du compost fini se décompose en dioxyde de carbone, en biomasse et en eau.</w:t>
      </w:r>
    </w:p>
    <w:p w14:paraId="2EA02B05" w14:textId="60A16F41" w:rsidR="004A3BA8" w:rsidRDefault="00B27E27" w:rsidP="00B7501B">
      <w:pPr>
        <w:pStyle w:val="BodyTextIndent"/>
      </w:pPr>
      <w:r>
        <w:rPr>
          <w:b/>
        </w:rPr>
        <w:drawing>
          <wp:anchor distT="0" distB="0" distL="114300" distR="114300" simplePos="0" relativeHeight="251658243" behindDoc="1" locked="0" layoutInCell="1" allowOverlap="1" wp14:anchorId="7FF388CB" wp14:editId="57B3ACA4">
            <wp:simplePos x="0" y="0"/>
            <wp:positionH relativeFrom="page">
              <wp:posOffset>675640</wp:posOffset>
            </wp:positionH>
            <wp:positionV relativeFrom="paragraph">
              <wp:posOffset>194310</wp:posOffset>
            </wp:positionV>
            <wp:extent cx="12065" cy="2705051"/>
            <wp:effectExtent l="0" t="0" r="26035" b="635"/>
            <wp:wrapNone/>
            <wp:docPr id="7" name="Bildobjekt 7" descr="ändrad text"/>
            <wp:cNvGraphicFramePr/>
            <a:graphic xmlns:a="http://schemas.openxmlformats.org/drawingml/2006/main">
              <a:graphicData uri="http://schemas.openxmlformats.org/drawingml/2006/picture">
                <pic:pic xmlns:pic="http://schemas.openxmlformats.org/drawingml/2006/picture">
                  <pic:nvPicPr>
                    <pic:cNvPr id="7" name="Bildobjekt 7" descr="ändrad text"/>
                    <pic:cNvPicPr/>
                  </pic:nvPicPr>
                  <pic:blipFill>
                    <a:blip r:embed="rId14"/>
                    <a:stretch>
                      <a:fillRect/>
                    </a:stretch>
                  </pic:blipFill>
                  <pic:spPr>
                    <a:xfrm>
                      <a:off x="0" y="0"/>
                      <a:ext cx="12065" cy="2705051"/>
                    </a:xfrm>
                    <a:prstGeom prst="rect">
                      <a:avLst/>
                    </a:prstGeom>
                  </pic:spPr>
                </pic:pic>
              </a:graphicData>
            </a:graphic>
            <wp14:sizeRelV relativeFrom="margin">
              <wp14:pctHeight>0</wp14:pctHeight>
            </wp14:sizeRelV>
          </wp:anchor>
        </w:drawing>
      </w:r>
    </w:p>
    <w:p w14:paraId="0F86E6D3" w14:textId="609AE4DA" w:rsidR="004A3BA8" w:rsidRDefault="004A3BA8" w:rsidP="004A3BA8">
      <w:pPr>
        <w:pStyle w:val="BodyText"/>
      </w:pPr>
      <w:r>
        <w:rPr>
          <w:b/>
        </w:rPr>
        <w:t xml:space="preserve">Article 61 a</w:t>
      </w:r>
      <w:r>
        <w:t xml:space="preserve"> Un système de collecte peut s’engager à gérer un emballage une fois qu’il est devenu un déchet pour un producteur qui doit satisfaire à l’exigence de l’article 42, seulement si</w:t>
      </w:r>
    </w:p>
    <w:p w14:paraId="74B9397F" w14:textId="1B0B4FBF" w:rsidR="004A3BA8" w:rsidRDefault="004A3BA8" w:rsidP="004A3BA8">
      <w:pPr>
        <w:pStyle w:val="BodyTextIndent"/>
      </w:pPr>
      <w:r>
        <w:t xml:space="preserve">1. le système de collecte dispose de conditions techniques et d’une capacité suffisante pour pouvoir récupérer au moins 75 % en poids de la matière utilisée dans l’emballage pour les matières ou les produits vendables;</w:t>
      </w:r>
      <w:r>
        <w:t xml:space="preserve">  </w:t>
      </w:r>
    </w:p>
    <w:p w14:paraId="2241866C" w14:textId="1BFF2350" w:rsidR="004A3BA8" w:rsidRDefault="004A3BA8" w:rsidP="004A3BA8">
      <w:pPr>
        <w:pStyle w:val="BodyTextIndent"/>
      </w:pPr>
      <w:r>
        <w:t xml:space="preserve">2. le système de collecte garantit qu'une autre entité disposant de conditions techniques préalables et d'une capacité suffisante s'engage à récupérer au moins 75 % en poids du matériau utilisé dans l'emballage pour vendre des matières ou des produits vendables;</w:t>
      </w:r>
      <w:r>
        <w:t xml:space="preserve">  </w:t>
      </w:r>
    </w:p>
    <w:p w14:paraId="02AE5874" w14:textId="336CF2B9" w:rsidR="004A3BA8" w:rsidRDefault="004A3BA8" w:rsidP="004A3BA8">
      <w:pPr>
        <w:pStyle w:val="BodyTextIndent"/>
      </w:pPr>
      <w:r>
        <w:t xml:space="preserve">3. l'emballage est un colis visé au paragraphe 2 de l'article 38 a et le système de collecte ou une autre entité recycle le colis conformément aux prescriptions de l’article 39; ou</w:t>
      </w:r>
      <w:r>
        <w:t xml:space="preserve">  </w:t>
      </w:r>
    </w:p>
    <w:p w14:paraId="5A9E296C" w14:textId="3704B722" w:rsidR="004A3BA8" w:rsidRDefault="004A3BA8" w:rsidP="004A3BA8">
      <w:pPr>
        <w:pStyle w:val="BodyTextIndent"/>
      </w:pPr>
      <w:r>
        <w:t xml:space="preserve">4. l'emballage est soumis aux règlements délivrés en vertu de l'article 79 a et le système de collecte ou une autre entité recycle l'emballage conformément aux prescriptions énoncées à l'article 39.</w:t>
      </w:r>
    </w:p>
    <w:p w14:paraId="00A807C7" w14:textId="77777777" w:rsidR="004A3BA8" w:rsidRDefault="004A3BA8" w:rsidP="00B7501B">
      <w:pPr>
        <w:pStyle w:val="BodyTextIndent"/>
      </w:pPr>
    </w:p>
    <w:p w14:paraId="7B037174" w14:textId="48C66959" w:rsidR="004A3BA8" w:rsidRDefault="00BD5F16" w:rsidP="00AD2006">
      <w:pPr>
        <w:pStyle w:val="BodyText"/>
      </w:pPr>
      <w:r>
        <w:rPr>
          <w:b/>
        </w:rPr>
        <w:drawing>
          <wp:anchor distT="0" distB="0" distL="114300" distR="114300" simplePos="0" relativeHeight="251658244" behindDoc="1" locked="0" layoutInCell="1" allowOverlap="1" wp14:anchorId="67A817FA" wp14:editId="52E3C68D">
            <wp:simplePos x="0" y="0"/>
            <wp:positionH relativeFrom="page">
              <wp:posOffset>675640</wp:posOffset>
            </wp:positionH>
            <wp:positionV relativeFrom="paragraph">
              <wp:posOffset>0</wp:posOffset>
            </wp:positionV>
            <wp:extent cx="12065" cy="525145"/>
            <wp:effectExtent l="0" t="0" r="26035" b="8255"/>
            <wp:wrapNone/>
            <wp:docPr id="8" name="Bildobjekt 8" descr="ändrad text"/>
            <wp:cNvGraphicFramePr/>
            <a:graphic xmlns:a="http://schemas.openxmlformats.org/drawingml/2006/main">
              <a:graphicData uri="http://schemas.openxmlformats.org/drawingml/2006/picture">
                <pic:pic xmlns:pic="http://schemas.openxmlformats.org/drawingml/2006/picture">
                  <pic:nvPicPr>
                    <pic:cNvPr id="8" name="Bildobjekt 8" descr="ändrad text"/>
                    <pic:cNvPicPr/>
                  </pic:nvPicPr>
                  <pic:blipFill>
                    <a:blip r:embed="rId14"/>
                    <a:stretch>
                      <a:fillRect/>
                    </a:stretch>
                  </pic:blipFill>
                  <pic:spPr>
                    <a:xfrm>
                      <a:off x="0" y="0"/>
                      <a:ext cx="12065" cy="525145"/>
                    </a:xfrm>
                    <a:prstGeom prst="rect">
                      <a:avLst/>
                    </a:prstGeom>
                  </pic:spPr>
                </pic:pic>
              </a:graphicData>
            </a:graphic>
            <wp14:sizeRelV relativeFrom="margin">
              <wp14:pctHeight>0</wp14:pctHeight>
            </wp14:sizeRelV>
          </wp:anchor>
        </w:drawing>
      </w:r>
      <w:r>
        <w:rPr>
          <w:b/>
        </w:rPr>
        <w:t xml:space="preserve">Article 79 a</w:t>
      </w:r>
      <w:r>
        <w:t xml:space="preserve"> L'Agence suédoise de Protection de l'Environnement peut édicter un règlement précisant qu'un emballage qui ne satisfait pas aux exigences de l'article 38 a est réputé être recyclable s'il existe des raisons particulières d'utiliser cet emballage.</w:t>
      </w:r>
      <w:r>
        <w:t xml:space="preserve">                       </w:t>
      </w:r>
    </w:p>
    <w:p w14:paraId="43F85EE1" w14:textId="77777777" w:rsidR="004A3BA8" w:rsidRPr="009F0C87" w:rsidRDefault="004A3BA8" w:rsidP="008938FE">
      <w:pPr>
        <w:pStyle w:val="Slutstreck"/>
        <w:spacing w:line="232" w:lineRule="exact"/>
      </w:pPr>
      <w:r>
        <w:t xml:space="preserve">                      </w:t>
      </w:r>
    </w:p>
    <w:p w14:paraId="6E56F2FA" w14:textId="7BF4003F" w:rsidR="004A3BA8" w:rsidRDefault="004A3BA8" w:rsidP="004A3BA8">
      <w:pPr>
        <w:pStyle w:val="BodyTextIndent"/>
      </w:pPr>
      <w:r>
        <w:t xml:space="preserve">La présente Ordonnance entre en vigueur le 1er janvier 2022 à l’égard de l’article 79 a et, sinon, le 1er janvier 2025.</w:t>
      </w:r>
    </w:p>
    <w:sectPr w:rsidR="004A3BA8" w:rsidSect="00B045CC">
      <w:headerReference w:type="even" r:id="rId15"/>
      <w:headerReference w:type="default" r:id="rId16"/>
      <w:footerReference w:type="default" r:id="rId17"/>
      <w:footerReference w:type="first" r:id="rId18"/>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9968" w14:textId="77777777" w:rsidR="009C5815" w:rsidRDefault="009C5815" w:rsidP="00680442">
      <w:r>
        <w:separator/>
      </w:r>
    </w:p>
  </w:endnote>
  <w:endnote w:type="continuationSeparator" w:id="0">
    <w:p w14:paraId="43A21EAA" w14:textId="77777777" w:rsidR="009C5815" w:rsidRDefault="009C5815" w:rsidP="00680442">
      <w:r>
        <w:continuationSeparator/>
      </w:r>
    </w:p>
  </w:endnote>
  <w:endnote w:type="continuationNotice" w:id="1">
    <w:p w14:paraId="536464AD" w14:textId="77777777" w:rsidR="009C5815" w:rsidRDefault="009C5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DC2D" w14:textId="77777777" w:rsidR="009C5815" w:rsidRDefault="009C5815" w:rsidP="00CE05BB">
    <w:pPr>
      <w:pStyle w:val="Footer"/>
    </w:pPr>
    <w:r>
      <mc:AlternateContent>
        <mc:Choice Requires="wps">
          <w:drawing>
            <wp:anchor distT="0" distB="0" distL="114300" distR="114300" simplePos="0" relativeHeight="251657216" behindDoc="0" locked="0" layoutInCell="1" allowOverlap="1" wp14:anchorId="799C8231" wp14:editId="043B90E2">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7C41E" w14:textId="77777777" w:rsidR="009C5815" w:rsidRDefault="009C5815" w:rsidP="004043E4">
                          <w:pPr>
                            <w:pStyle w:val="BodyText"/>
                            <w:jc w:val="right"/>
                          </w:pPr>
                          <w:r>
                            <w:fldChar w:fldCharType="begin"/>
                          </w:r>
                          <w:r>
                            <w:instrText>PAGE   \* MERGEFORMAT</w:instrText>
                          </w:r>
                          <w:r>
                            <w:fldChar w:fldCharType="separate"/>
                          </w:r>
                          <w: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C8231" id="_x0000_t202" coordsize="21600,21600" o:spt="202" path="m,l,21600r21600,l21600,xe">
              <v:stroke joinstyle="miter"/>
              <v:path gradientshapeok="t" o:connecttype="rect"/>
            </v:shapetype>
            <v:shape id="Textruta 2" o:spid="_x0000_s1027" type="#_x0000_t202" style="position:absolute;margin-left:426.1pt;margin-top:-59.8pt;width: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" fillcolor="white [3201]" stroked="f" strokeweight=".5pt">
              <v:textbox>
                <w:txbxContent>
                  <w:p w14:paraId="23F7C41E" w14:textId="77777777" w:rsidR="009C5815" w:rsidRDefault="009C5815" w:rsidP="004043E4">
                    <w:pPr>
                      <w:pStyle w:val="Brdtext"/>
                      <w:jc w:val="right"/>
                    </w:pPr>
                    <w:r>
                      <w:fldChar w:fldCharType="begin"/>
                    </w:r>
                    <w:r>
                      <w:instrText>PAGE   \* MERGEFORMAT</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6B3F" w14:textId="77777777" w:rsidR="009C5815" w:rsidRDefault="009C5815" w:rsidP="00CE05BB">
    <w:pPr>
      <w:pStyle w:val="Footer"/>
    </w:pPr>
    <w:r>
      <mc:AlternateContent>
        <mc:Choice Requires="wps">
          <w:drawing>
            <wp:anchor distT="0" distB="0" distL="114300" distR="114300" simplePos="0" relativeHeight="251656192" behindDoc="0" locked="0" layoutInCell="1" allowOverlap="1" wp14:anchorId="7C31E3F9" wp14:editId="2103B84D">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81A61" w14:textId="77777777" w:rsidR="009C5815" w:rsidRDefault="009C5815" w:rsidP="005B2C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1E3F9" id="_x0000_t202" coordsize="21600,21600" o:spt="202" path="m,l,21600r21600,l21600,xe">
              <v:stroke joinstyle="miter"/>
              <v:path gradientshapeok="t" o:connecttype="rect"/>
            </v:shapetype>
            <v:shape id="Textruta 1" o:spid="_x0000_s1028" type="#_x0000_t202" style="position:absolute;margin-left:426.15pt;margin-top:-59.9pt;width:51.1pt;height:2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" fillcolor="white [3201]" stroked="f" strokeweight=".5pt">
              <v:textbox>
                <w:txbxContent>
                  <w:p w14:paraId="65B81A61" w14:textId="77777777" w:rsidR="009C5815" w:rsidRDefault="009C5815" w:rsidP="005B2C6E">
                    <w:pPr>
                      <w:pStyle w:val="Brd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F22CA" w14:textId="77777777" w:rsidR="009C5815" w:rsidRDefault="009C5815" w:rsidP="00680442"/>
  </w:footnote>
  <w:footnote w:type="continuationSeparator" w:id="0">
    <w:p w14:paraId="77A02ADF" w14:textId="77777777" w:rsidR="009C5815" w:rsidRPr="00C26807" w:rsidRDefault="009C5815" w:rsidP="00C26807">
      <w:pPr>
        <w:pStyle w:val="Footer"/>
      </w:pPr>
    </w:p>
  </w:footnote>
  <w:footnote w:type="continuationNotice" w:id="1">
    <w:p w14:paraId="5CB45579" w14:textId="77777777" w:rsidR="009C5815" w:rsidRDefault="009C5815"/>
  </w:footnote>
  <w:footnote w:id="2">
    <w:p w14:paraId="34EB3B77" w14:textId="10A7E375" w:rsidR="009C5815" w:rsidRDefault="009C5815">
      <w:pPr>
        <w:pStyle w:val="FootnoteText"/>
      </w:pPr>
      <w:r>
        <w:rPr>
          <w:rStyle w:val="FootnoteReference"/>
        </w:rPr>
        <w:footnoteRef/>
      </w:r>
      <w:r>
        <w:t xml:space="preserve"> C.f.</w:t>
      </w:r>
      <w:r>
        <w:t xml:space="preserve"> </w:t>
      </w:r>
      <w:r>
        <w:t xml:space="preserve">Directive (UE) 2019/904 du Parlement européen et du Conseil du 5 juin 2019 relative à la réduction de l’impact de certains produits plastiques sur l’environnement, dans la formulation originale de la Directive (UE) 2008/98 du Parlement européen et du Conseil du 19 novembre 2008 relative aux déchets et abrogeant certaines Directives, dans la formulation conforme à la Directive (UE) 2018/851 du Parlement européen et du Conseil et à la Directive 94/62/UE du Parlement européen et du Conseil du 20 décembre 1994 relative aux emballages et aux déchets d’emballages, dans la formulation conforme à la Directive (UE) 2018/852 du Parlement européen.</w:t>
      </w:r>
      <w:r>
        <w:t xml:space="preserve"> </w:t>
      </w:r>
      <w:r>
        <w:t xml:space="preserve">Voir également la Directive (UE) 2015/1535 du Parlement européen et du Conseil du 9 septembre 2015 prévoyant une procédure d'information dans le domaine des dispositions réglementaires techniques et des règles relatives aux services de la Société de l'information (codification).</w:t>
      </w:r>
    </w:p>
  </w:footnote>
  <w:footnote w:id="3">
    <w:p w14:paraId="2F1364C4" w14:textId="19BE0613" w:rsidR="009C5815" w:rsidRDefault="009C5815">
      <w:pPr>
        <w:pStyle w:val="FootnoteText"/>
      </w:pPr>
      <w:r>
        <w:rPr>
          <w:rStyle w:val="FootnoteReference"/>
        </w:rPr>
        <w:footnoteRef/>
      </w:r>
      <w:r>
        <w:t xml:space="preserve"> Formulation la plus récente 2020:615.</w:t>
      </w:r>
    </w:p>
  </w:footnote>
  <w:footnote w:id="4">
    <w:p w14:paraId="73263F69" w14:textId="77777777" w:rsidR="009C5815" w:rsidRDefault="009C5815" w:rsidP="00C4578D">
      <w:pPr>
        <w:pStyle w:val="FootnoteText"/>
      </w:pPr>
      <w:r>
        <w:rPr>
          <w:rStyle w:val="FootnoteReference"/>
        </w:rPr>
        <w:footnoteRef/>
      </w:r>
      <w:r>
        <w:t xml:space="preserve"> Formulation la plus récente 2020:615.</w:t>
      </w:r>
    </w:p>
    <w:p w14:paraId="7C9AAFCF" w14:textId="1D5B9EC0" w:rsidR="009C5815" w:rsidRDefault="009C58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6BD0" w14:textId="77777777" w:rsidR="009C5815" w:rsidRDefault="00A41932">
    <w:pPr>
      <w:pStyle w:val="Header"/>
    </w:pPr>
    <w:r>
      <w:pict w14:anchorId="38AC2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2050" type="#_x0000_t136" style="position:absolute;margin-left:0;margin-top:0;width:677.5pt;height:40.5pt;rotation:315;z-index:-251657216;mso-position-horizontal:center;mso-position-horizontal-relative:margin;mso-position-vertical:center;mso-position-vertical-relative:margin" o:allowincell="f" fillcolor="#c0504d [3205]" stroked="f">
          <v:fill opacity=".5"/>
          <v:textpath style="font-family:&quot;Times New Roman&quot;" string="DOCUMENT TEST, DOCUMENT NON VALID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330A" w14:textId="77777777" w:rsidR="009C5815" w:rsidRDefault="009C5815" w:rsidP="00F77ABC">
    <w:pPr>
      <w:pStyle w:val="Header"/>
      <w:jc w:val="right"/>
    </w:pPr>
    <w:r>
      <mc:AlternateContent>
        <mc:Choice Requires="wps">
          <w:drawing>
            <wp:anchor distT="0" distB="0" distL="114300" distR="114300" simplePos="0" relativeHeight="251658240" behindDoc="0" locked="0" layoutInCell="1" allowOverlap="1" wp14:anchorId="3E6FE86B" wp14:editId="663425D6">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22ABB" w14:textId="77777777" w:rsidR="009C5815" w:rsidRPr="001974BD" w:rsidRDefault="009C5815" w:rsidP="00B90519">
                          <w:pPr>
                            <w:rPr>
                              <w:b/>
                              <w:sz w:val="22"/>
                              <w:szCs w:val="22"/>
                            </w:rPr>
                          </w:pPr>
                          <w:r>
                            <w:rPr>
                              <w:b/>
                              <w:sz w:val="22"/>
                            </w:rPr>
                            <w:t xml:space="preserve">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FE86B" id="_x0000_t202" coordsize="21600,21600" o:spt="202" path="m,l,21600r21600,l21600,xe">
              <v:stroke joinstyle="miter"/>
              <v:path gradientshapeok="t" o:connecttype="rect"/>
            </v:shapetype>
            <v:shape id="Textruta 5" o:spid="_x0000_s1026" type="#_x0000_t202" style="position:absolute;left:0;text-align:left;margin-left:378.05pt;margin-top:30pt;width:98.4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CUiwIAAIoFAAAOAAAAZHJzL2Uyb0RvYy54bWysVEtvGyEQvlfqf0Dcm7Vd20m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" fillcolor="white [3201]" stroked="f" strokeweight=".5pt">
              <v:textbox>
                <w:txbxContent>
                  <w:p w14:paraId="26C22ABB" w14:textId="77777777" w:rsidR="009C5815" w:rsidRPr="001974BD" w:rsidRDefault="009C5815" w:rsidP="00B90519">
                    <w:pPr>
                      <w:rPr>
                        <w:b/>
                        <w:sz w:val="22"/>
                        <w:szCs w:val="22"/>
                      </w:rPr>
                    </w:pPr>
                    <w:r>
                      <w:rPr>
                        <w:b/>
                        <w:sz w:val="22"/>
                      </w:rPr>
                      <w:t xml:space="preserve">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ttachedTemplate r:id="rId1"/>
  <w:defaultTabStop w:val="1304"/>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A8"/>
    <w:rsid w:val="00014844"/>
    <w:rsid w:val="00027BEC"/>
    <w:rsid w:val="000309B4"/>
    <w:rsid w:val="00050C9E"/>
    <w:rsid w:val="00054B0D"/>
    <w:rsid w:val="00062643"/>
    <w:rsid w:val="00065778"/>
    <w:rsid w:val="000776E6"/>
    <w:rsid w:val="00087E73"/>
    <w:rsid w:val="00091696"/>
    <w:rsid w:val="0009400A"/>
    <w:rsid w:val="000963A0"/>
    <w:rsid w:val="000A1BCC"/>
    <w:rsid w:val="000A437D"/>
    <w:rsid w:val="000A6C2B"/>
    <w:rsid w:val="000B072E"/>
    <w:rsid w:val="000B36C7"/>
    <w:rsid w:val="000B7FEB"/>
    <w:rsid w:val="000D56FC"/>
    <w:rsid w:val="000D5E85"/>
    <w:rsid w:val="000F16E5"/>
    <w:rsid w:val="00100E2C"/>
    <w:rsid w:val="00132BD5"/>
    <w:rsid w:val="00135F8C"/>
    <w:rsid w:val="001409E8"/>
    <w:rsid w:val="00162B76"/>
    <w:rsid w:val="00165B5E"/>
    <w:rsid w:val="00175988"/>
    <w:rsid w:val="00181BC1"/>
    <w:rsid w:val="001974BD"/>
    <w:rsid w:val="001B3CEB"/>
    <w:rsid w:val="001B4DB6"/>
    <w:rsid w:val="001C7E6D"/>
    <w:rsid w:val="001F4FE9"/>
    <w:rsid w:val="00201C96"/>
    <w:rsid w:val="00224C44"/>
    <w:rsid w:val="00232439"/>
    <w:rsid w:val="0023447C"/>
    <w:rsid w:val="00256E21"/>
    <w:rsid w:val="002576A9"/>
    <w:rsid w:val="00264A3C"/>
    <w:rsid w:val="00267351"/>
    <w:rsid w:val="002767C4"/>
    <w:rsid w:val="0029295C"/>
    <w:rsid w:val="002949DD"/>
    <w:rsid w:val="002A76C1"/>
    <w:rsid w:val="002B3871"/>
    <w:rsid w:val="002B452D"/>
    <w:rsid w:val="002D247A"/>
    <w:rsid w:val="002D3D78"/>
    <w:rsid w:val="002F68D4"/>
    <w:rsid w:val="00301819"/>
    <w:rsid w:val="00323010"/>
    <w:rsid w:val="0032527C"/>
    <w:rsid w:val="00332533"/>
    <w:rsid w:val="00343A99"/>
    <w:rsid w:val="00344B4A"/>
    <w:rsid w:val="00350B0F"/>
    <w:rsid w:val="0035181A"/>
    <w:rsid w:val="00353EE4"/>
    <w:rsid w:val="003642F1"/>
    <w:rsid w:val="003661D1"/>
    <w:rsid w:val="00367C3F"/>
    <w:rsid w:val="0037085F"/>
    <w:rsid w:val="0039337B"/>
    <w:rsid w:val="003A6AD5"/>
    <w:rsid w:val="003B4745"/>
    <w:rsid w:val="004043E4"/>
    <w:rsid w:val="00406562"/>
    <w:rsid w:val="0044098C"/>
    <w:rsid w:val="00440A07"/>
    <w:rsid w:val="00450593"/>
    <w:rsid w:val="00460C4D"/>
    <w:rsid w:val="00461C46"/>
    <w:rsid w:val="00461D7A"/>
    <w:rsid w:val="00465E8F"/>
    <w:rsid w:val="00467E22"/>
    <w:rsid w:val="00467F48"/>
    <w:rsid w:val="00475117"/>
    <w:rsid w:val="00475F84"/>
    <w:rsid w:val="00487A84"/>
    <w:rsid w:val="00496903"/>
    <w:rsid w:val="00496B57"/>
    <w:rsid w:val="004A3BA8"/>
    <w:rsid w:val="004A3C1C"/>
    <w:rsid w:val="004A728C"/>
    <w:rsid w:val="004B6A07"/>
    <w:rsid w:val="004B7FD3"/>
    <w:rsid w:val="004E0106"/>
    <w:rsid w:val="004E1ACE"/>
    <w:rsid w:val="004F0BBC"/>
    <w:rsid w:val="00506527"/>
    <w:rsid w:val="005373FC"/>
    <w:rsid w:val="0055154B"/>
    <w:rsid w:val="00562B95"/>
    <w:rsid w:val="00564C23"/>
    <w:rsid w:val="00580393"/>
    <w:rsid w:val="00585B17"/>
    <w:rsid w:val="00595325"/>
    <w:rsid w:val="005B0E8A"/>
    <w:rsid w:val="005B2C6E"/>
    <w:rsid w:val="005B7784"/>
    <w:rsid w:val="005C210E"/>
    <w:rsid w:val="005C6B0C"/>
    <w:rsid w:val="005E1EF1"/>
    <w:rsid w:val="005E410F"/>
    <w:rsid w:val="005E781A"/>
    <w:rsid w:val="005F5448"/>
    <w:rsid w:val="005F75D2"/>
    <w:rsid w:val="005F7A7D"/>
    <w:rsid w:val="0060139D"/>
    <w:rsid w:val="006017CA"/>
    <w:rsid w:val="00611677"/>
    <w:rsid w:val="006178BF"/>
    <w:rsid w:val="006408C8"/>
    <w:rsid w:val="0064475F"/>
    <w:rsid w:val="006563C6"/>
    <w:rsid w:val="00674A58"/>
    <w:rsid w:val="00680442"/>
    <w:rsid w:val="0068520B"/>
    <w:rsid w:val="006856DB"/>
    <w:rsid w:val="00685BA1"/>
    <w:rsid w:val="006945F8"/>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409F6"/>
    <w:rsid w:val="00753F80"/>
    <w:rsid w:val="007708C2"/>
    <w:rsid w:val="00775C79"/>
    <w:rsid w:val="00775E94"/>
    <w:rsid w:val="007A10EE"/>
    <w:rsid w:val="007A5642"/>
    <w:rsid w:val="007A61CF"/>
    <w:rsid w:val="007B264F"/>
    <w:rsid w:val="007B32A1"/>
    <w:rsid w:val="007B5968"/>
    <w:rsid w:val="007C0C0F"/>
    <w:rsid w:val="007E6B31"/>
    <w:rsid w:val="00825F12"/>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01A1E"/>
    <w:rsid w:val="00917859"/>
    <w:rsid w:val="009201AC"/>
    <w:rsid w:val="009331C6"/>
    <w:rsid w:val="00933D9C"/>
    <w:rsid w:val="00984BC8"/>
    <w:rsid w:val="0098565F"/>
    <w:rsid w:val="0099266E"/>
    <w:rsid w:val="00993A25"/>
    <w:rsid w:val="009A51AC"/>
    <w:rsid w:val="009B27EF"/>
    <w:rsid w:val="009B701B"/>
    <w:rsid w:val="009C4782"/>
    <w:rsid w:val="009C5815"/>
    <w:rsid w:val="009C5A21"/>
    <w:rsid w:val="009D6C25"/>
    <w:rsid w:val="009D7413"/>
    <w:rsid w:val="009E0463"/>
    <w:rsid w:val="009F4194"/>
    <w:rsid w:val="009F4B8F"/>
    <w:rsid w:val="009F60E3"/>
    <w:rsid w:val="009F63BA"/>
    <w:rsid w:val="00A11BA4"/>
    <w:rsid w:val="00A33D04"/>
    <w:rsid w:val="00A41932"/>
    <w:rsid w:val="00A478BB"/>
    <w:rsid w:val="00A53593"/>
    <w:rsid w:val="00A619D9"/>
    <w:rsid w:val="00A71376"/>
    <w:rsid w:val="00A90842"/>
    <w:rsid w:val="00A94B58"/>
    <w:rsid w:val="00AA35F7"/>
    <w:rsid w:val="00AA4011"/>
    <w:rsid w:val="00AB4C41"/>
    <w:rsid w:val="00AC04AB"/>
    <w:rsid w:val="00AC565C"/>
    <w:rsid w:val="00AD2006"/>
    <w:rsid w:val="00AE1FEB"/>
    <w:rsid w:val="00AF246E"/>
    <w:rsid w:val="00AF2AD7"/>
    <w:rsid w:val="00B045CC"/>
    <w:rsid w:val="00B07F32"/>
    <w:rsid w:val="00B13367"/>
    <w:rsid w:val="00B13451"/>
    <w:rsid w:val="00B27E27"/>
    <w:rsid w:val="00B316D7"/>
    <w:rsid w:val="00B32899"/>
    <w:rsid w:val="00B32DD6"/>
    <w:rsid w:val="00B346FF"/>
    <w:rsid w:val="00B412A6"/>
    <w:rsid w:val="00B54292"/>
    <w:rsid w:val="00B65511"/>
    <w:rsid w:val="00B7501B"/>
    <w:rsid w:val="00B90519"/>
    <w:rsid w:val="00B92773"/>
    <w:rsid w:val="00B92D7E"/>
    <w:rsid w:val="00BA20B8"/>
    <w:rsid w:val="00BA2679"/>
    <w:rsid w:val="00BC1B38"/>
    <w:rsid w:val="00BC3E60"/>
    <w:rsid w:val="00BC4608"/>
    <w:rsid w:val="00BC6DC4"/>
    <w:rsid w:val="00BD5F16"/>
    <w:rsid w:val="00BE1774"/>
    <w:rsid w:val="00BF022A"/>
    <w:rsid w:val="00C221CE"/>
    <w:rsid w:val="00C25750"/>
    <w:rsid w:val="00C25CB0"/>
    <w:rsid w:val="00C26807"/>
    <w:rsid w:val="00C371B6"/>
    <w:rsid w:val="00C4578D"/>
    <w:rsid w:val="00C47474"/>
    <w:rsid w:val="00C47E3E"/>
    <w:rsid w:val="00C64668"/>
    <w:rsid w:val="00C728AE"/>
    <w:rsid w:val="00C73C3C"/>
    <w:rsid w:val="00C747CC"/>
    <w:rsid w:val="00CB0127"/>
    <w:rsid w:val="00CB0950"/>
    <w:rsid w:val="00CE05BB"/>
    <w:rsid w:val="00CE5EC6"/>
    <w:rsid w:val="00CF03E7"/>
    <w:rsid w:val="00CF5001"/>
    <w:rsid w:val="00CF79ED"/>
    <w:rsid w:val="00D001EA"/>
    <w:rsid w:val="00D26E43"/>
    <w:rsid w:val="00D34DA7"/>
    <w:rsid w:val="00D42A87"/>
    <w:rsid w:val="00D441D7"/>
    <w:rsid w:val="00D44AC9"/>
    <w:rsid w:val="00D45C8D"/>
    <w:rsid w:val="00D50A6F"/>
    <w:rsid w:val="00D526A3"/>
    <w:rsid w:val="00D62D51"/>
    <w:rsid w:val="00D65A6A"/>
    <w:rsid w:val="00D70F12"/>
    <w:rsid w:val="00D71BB8"/>
    <w:rsid w:val="00D72FA5"/>
    <w:rsid w:val="00D74117"/>
    <w:rsid w:val="00D833BC"/>
    <w:rsid w:val="00D909FB"/>
    <w:rsid w:val="00DB779F"/>
    <w:rsid w:val="00DD0175"/>
    <w:rsid w:val="00DD64FA"/>
    <w:rsid w:val="00DE5B23"/>
    <w:rsid w:val="00DF648E"/>
    <w:rsid w:val="00DF68E0"/>
    <w:rsid w:val="00E1310A"/>
    <w:rsid w:val="00E21E6F"/>
    <w:rsid w:val="00E37BB1"/>
    <w:rsid w:val="00E47807"/>
    <w:rsid w:val="00E52CB7"/>
    <w:rsid w:val="00E80832"/>
    <w:rsid w:val="00E967A2"/>
    <w:rsid w:val="00EA0AB8"/>
    <w:rsid w:val="00EA1496"/>
    <w:rsid w:val="00EA2593"/>
    <w:rsid w:val="00EA2933"/>
    <w:rsid w:val="00EA76D7"/>
    <w:rsid w:val="00EB2AEC"/>
    <w:rsid w:val="00EB47C6"/>
    <w:rsid w:val="00ED763F"/>
    <w:rsid w:val="00EE4722"/>
    <w:rsid w:val="00EE6222"/>
    <w:rsid w:val="00EE6509"/>
    <w:rsid w:val="00EF57BC"/>
    <w:rsid w:val="00EF6220"/>
    <w:rsid w:val="00F1229F"/>
    <w:rsid w:val="00F24B78"/>
    <w:rsid w:val="00F277AA"/>
    <w:rsid w:val="00F70F1F"/>
    <w:rsid w:val="00F77ABC"/>
    <w:rsid w:val="00F80766"/>
    <w:rsid w:val="00F8416E"/>
    <w:rsid w:val="00F924A7"/>
    <w:rsid w:val="00F94D97"/>
    <w:rsid w:val="00FA1C3B"/>
    <w:rsid w:val="00FB1396"/>
    <w:rsid w:val="00FB2CB0"/>
    <w:rsid w:val="00FD162D"/>
    <w:rsid w:val="00FD3A99"/>
    <w:rsid w:val="00FD47EE"/>
    <w:rsid w:val="00FD5F95"/>
    <w:rsid w:val="00FD67E3"/>
    <w:rsid w:val="00FD759F"/>
    <w:rsid w:val="00FE3076"/>
    <w:rsid w:val="00FE6AE2"/>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B81F04"/>
  <w15:docId w15:val="{75DB5DD4-82E8-420E-9794-DD0427D7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character" w:styleId="Hashtag">
    <w:name w:val="Hashtag"/>
    <w:basedOn w:val="DefaultParagraphFont"/>
    <w:uiPriority w:val="99"/>
    <w:semiHidden/>
    <w:rsid w:val="004A3BA8"/>
    <w:rPr>
      <w:color w:val="2B579A"/>
      <w:shd w:val="clear" w:color="auto" w:fill="E1DFDD"/>
    </w:rPr>
  </w:style>
  <w:style w:type="character" w:styleId="Mention">
    <w:name w:val="Mention"/>
    <w:basedOn w:val="DefaultParagraphFont"/>
    <w:uiPriority w:val="99"/>
    <w:semiHidden/>
    <w:rsid w:val="004A3BA8"/>
    <w:rPr>
      <w:color w:val="2B579A"/>
      <w:shd w:val="clear" w:color="auto" w:fill="E1DFDD"/>
    </w:rPr>
  </w:style>
  <w:style w:type="character" w:styleId="UnresolvedMention">
    <w:name w:val="Unresolved Mention"/>
    <w:basedOn w:val="DefaultParagraphFont"/>
    <w:uiPriority w:val="99"/>
    <w:semiHidden/>
    <w:rsid w:val="004A3BA8"/>
    <w:rPr>
      <w:color w:val="605E5C"/>
      <w:shd w:val="clear" w:color="auto" w:fill="E1DFDD"/>
    </w:rPr>
  </w:style>
  <w:style w:type="character" w:styleId="SmartHyperlink">
    <w:name w:val="Smart Hyperlink"/>
    <w:basedOn w:val="DefaultParagraphFont"/>
    <w:uiPriority w:val="99"/>
    <w:semiHidden/>
    <w:rsid w:val="004A3BA8"/>
    <w:rPr>
      <w:u w:val="dotted"/>
    </w:rPr>
  </w:style>
  <w:style w:type="character" w:styleId="SmartLink">
    <w:name w:val="Smart Link"/>
    <w:basedOn w:val="DefaultParagraphFont"/>
    <w:uiPriority w:val="99"/>
    <w:semiHidden/>
    <w:rsid w:val="004A3BA8"/>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SFS.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ml version="1.0" encoding="iso-8859-1"?>-->
<DocumentInfo xmlns="http://lp/documentinfo/RK">
  <BaseInfo>
    <RkTemplate>30</RkTemplate>
    <DocType>SFS</DocType>
    <DocTypeShowName>SFS</DocTypeShowName>
    <Status/>
    <Sender>
      <SenderName>Anna Cedrum</SenderName>
      <SenderTitle>Departementssekreterare</SenderTitle>
      <SenderMail>Anna.Cedrum@regeringskansliet.se</SenderMail>
      <SenderPhone>08-405 12 09
072-228 11 41</SenderPhone>
    </Sender>
    <TopId>1</TopId>
    <TopSender/>
    <OrganisationInfo>
      <Organisatoriskenhet1>Miljödepartementet</Organisatoriskenhet1>
      <Organisatoriskenhet2>Rättssekretariatet</Organisatoriskenhet2>
      <Organisatoriskenhet3>Naturskydd och prövningssystem</Organisatoriskenhet3>
      <Organisatoriskenhet1Id>168</Organisatoriskenhet1Id>
      <Organisatoriskenhet2Id>392</Organisatoriskenhet2Id>
      <Organisatoriskenhet3Id>187</Organisatoriskenhet3Id>
    </OrganisationInfo>
    <HeaderDate>2021-05-26</HeaderDate>
    <Office/>
    <Dnr>M2021/</Dnr>
    <ParagrafNr/>
    <DocumentTitle/>
    <VisitingAddress/>
    <Extra1>extrainfo för denna mallm</Extra1>
    <Extra2>mer extrainfo</Extra2>
    <Extra3/>
    <Number/>
    <Recipient/>
    <SenderText/>
    <DocNumber/>
    <Doclanguage>1053</Doclanguage>
    <Appendix/>
    <LogotypeName/>
  </BaseInfo>
</DocumentInfo>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6a372189-8514-43a9-a668-4622024340fc">TSDR5AECP2XP-1839530900-53379</_dlc_DocId>
    <_dlc_DocIdUrl xmlns="6a372189-8514-43a9-a668-4622024340fc">
      <Url>https://dhs.sp.regeringskansliet.se/yta/m-r/_layouts/15/DocIdRedir.aspx?ID=TSDR5AECP2XP-1839530900-53379</Url>
      <Description>TSDR5AECP2XP-1839530900-53379</Description>
    </_dlc_DocIdUrl>
    <RKOrdnaClass xmlns="d4acd662-17ce-4a3b-8e84-c7c9f280a23c" xsi:nil="true"/>
    <RKOrdnaCheckInComment xmlns="d4acd662-17ce-4a3b-8e84-c7c9f280a23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12F6D2F06A29442AED9FE49C1798D57" ma:contentTypeVersion="25" ma:contentTypeDescription="Skapa ett nytt dokument." ma:contentTypeScope="" ma:versionID="44e31441bcfe5a11cd9a2cef03372725">
  <xsd:schema xmlns:xsd="http://www.w3.org/2001/XMLSchema" xmlns:xs="http://www.w3.org/2001/XMLSchema" xmlns:p="http://schemas.microsoft.com/office/2006/metadata/properties" xmlns:ns2="4e9c2f0c-7bf8-49af-8356-cbf363fc78a7" xmlns:ns3="cc625d36-bb37-4650-91b9-0c96159295ba" xmlns:ns4="18f3d968-6251-40b0-9f11-012b293496c2" xmlns:ns5="d4acd662-17ce-4a3b-8e84-c7c9f280a23c" xmlns:ns7="6a372189-8514-43a9-a668-4622024340fc" targetNamespace="http://schemas.microsoft.com/office/2006/metadata/properties" ma:root="true" ma:fieldsID="9755c46bd8cbbb861736efa1e3307b2e" ns2:_="" ns3:_="" ns4:_="" ns5:_="" ns7:_="">
    <xsd:import namespace="4e9c2f0c-7bf8-49af-8356-cbf363fc78a7"/>
    <xsd:import namespace="cc625d36-bb37-4650-91b9-0c96159295ba"/>
    <xsd:import namespace="18f3d968-6251-40b0-9f11-012b293496c2"/>
    <xsd:import namespace="d4acd662-17ce-4a3b-8e84-c7c9f280a23c"/>
    <xsd:import namespace="6a372189-8514-43a9-a668-4622024340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RKOrdnaCheckInComment" minOccurs="0"/>
                <xsd:element ref="ns5:RKOrdnaClas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83b9322c-24b1-4a7f-a49c-b9c86c8c013d}" ma:internalName="TaxCatchAllLabel" ma:readOnly="true" ma:showField="CatchAllDataLabel"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3b9322c-24b1-4a7f-a49c-b9c86c8c013d}" ma:internalName="TaxCatchAll" ma:showField="CatchAllData"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cd662-17ce-4a3b-8e84-c7c9f280a23c" elementFormDefault="qualified">
    <xsd:import namespace="http://schemas.microsoft.com/office/2006/documentManagement/types"/>
    <xsd:import namespace="http://schemas.microsoft.com/office/infopath/2007/PartnerControls"/>
    <xsd:element name="RKOrdnaCheckInComment" ma:index="17" nillable="true" ma:displayName="Incheckningskommentar" ma:hidden="true" ma:internalName="RKOrdnaCheckInComment">
      <xsd:simpleType>
        <xsd:restriction base="dms:Text"/>
      </xsd:simpleType>
    </xsd:element>
    <xsd:element name="RKOrdnaClass" ma:index="18" nillable="true" ma:displayName="Klass" ma:hidden="true" ma:internalName="RKOrdnaCla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72189-8514-43a9-a668-4622024340fc" elementFormDefault="qualified">
    <xsd:import namespace="http://schemas.microsoft.com/office/2006/documentManagement/types"/>
    <xsd:import namespace="http://schemas.microsoft.com/office/infopath/2007/PartnerControls"/>
    <xsd:element name="_dlc_DocId" ma:index="20" nillable="true" ma:displayName="Dokument-ID-värde" ma:description="Värdet för dokument-ID som tilldelats till det här objektet." ma:internalName="_dlc_DocId" ma:readOnly="true">
      <xsd:simpleType>
        <xsd:restriction base="dms:Text"/>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9"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2.xml><?xml version="1.0" encoding="utf-8"?>
<ds:datastoreItem xmlns:ds="http://schemas.openxmlformats.org/officeDocument/2006/customXml" ds:itemID="{FC974E1A-44C7-486B-9F64-ACC8D6E00367}">
  <ds:schemaRefs>
    <ds:schemaRef ds:uri="http://lp/documentinfo/RK"/>
  </ds:schemaRefs>
</ds:datastoreItem>
</file>

<file path=customXml/itemProps3.xml><?xml version="1.0" encoding="utf-8"?>
<ds:datastoreItem xmlns:ds="http://schemas.openxmlformats.org/officeDocument/2006/customXml" ds:itemID="{C0208AD9-7621-44EF-92B6-94058BEE090D}">
  <ds:schemaRefs>
    <ds:schemaRef ds:uri="Microsoft.SharePoint.Taxonomy.ContentTypeSync"/>
  </ds:schemaRefs>
</ds:datastoreItem>
</file>

<file path=customXml/itemProps4.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5.xml><?xml version="1.0" encoding="utf-8"?>
<ds:datastoreItem xmlns:ds="http://schemas.openxmlformats.org/officeDocument/2006/customXml" ds:itemID="{F950BDEA-6BD5-4D01-B686-2AF69049C9B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372189-8514-43a9-a668-4622024340fc"/>
    <ds:schemaRef ds:uri="d4acd662-17ce-4a3b-8e84-c7c9f280a23c"/>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B70728E-F6DE-48BC-B86C-366F6015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d4acd662-17ce-4a3b-8e84-c7c9f280a23c"/>
    <ds:schemaRef ds:uri="6a372189-8514-43a9-a668-462202434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6D950E-A258-4665-AC74-02E666C239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SFS.dotx</Template>
  <TotalTime>2</TotalTime>
  <Pages>2</Pages>
  <Words>594</Words>
  <Characters>3391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Förordning om ändring i förordningen (2018:1462) om producentansvar för förpackningar</vt:lpstr>
    </vt:vector>
  </TitlesOfParts>
  <Company>Regeringskansliet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Förordning om ändring i förordningen (2018:1462) om producentansvar för förpackningar</dc:title>
  <dc:creator>Anna Cedrum</dc:creator>
  <cp:lastModifiedBy>Dimitris Dimitriadis</cp:lastModifiedBy>
  <cp:revision>4</cp:revision>
  <cp:lastPrinted>2016-10-14T09:17:00Z</cp:lastPrinted>
  <dcterms:created xsi:type="dcterms:W3CDTF">2021-06-28T14:30:00Z</dcterms:created>
  <dcterms:modified xsi:type="dcterms:W3CDTF">2021-07-02T08:01:00Z</dcterms:modified>
  <cp:category/>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759eb7dc-ebe2-4bb0-86b9-c90f737cef64</vt:lpwstr>
  </property>
  <property fmtid="{D5CDD505-2E9C-101B-9397-08002B2CF9AE}" pid="3" name="ContentTypeId">
    <vt:lpwstr>0x010100BBA312BF02777149882D207184EC35C000F12F6D2F06A29442AED9FE49C1798D57</vt:lpwstr>
  </property>
  <property fmtid="{D5CDD505-2E9C-101B-9397-08002B2CF9AE}" pid="4" name="Departementsenhet">
    <vt:lpwstr/>
  </property>
  <property fmtid="{D5CDD505-2E9C-101B-9397-08002B2CF9AE}" pid="5" name="Aktivitetskategori">
    <vt:lpwstr/>
  </property>
  <property fmtid="{D5CDD505-2E9C-101B-9397-08002B2CF9AE}" pid="6" name="Ribbon">
    <vt:lpwstr>SFS</vt:lpwstr>
  </property>
  <property fmtid="{D5CDD505-2E9C-101B-9397-08002B2CF9AE}" pid="7" name="ShowStyleSet">
    <vt:lpwstr>SFS2</vt:lpwstr>
  </property>
  <property fmtid="{D5CDD505-2E9C-101B-9397-08002B2CF9AE}" pid="8" name="TaxKeyword">
    <vt:lpwstr/>
  </property>
  <property fmtid="{D5CDD505-2E9C-101B-9397-08002B2CF9AE}" pid="9" name="Organisation">
    <vt:lpwstr/>
  </property>
  <property fmtid="{D5CDD505-2E9C-101B-9397-08002B2CF9AE}" pid="10" name="ActivityCategory">
    <vt:lpwstr/>
  </property>
  <property fmtid="{D5CDD505-2E9C-101B-9397-08002B2CF9AE}" pid="11" name="TaxKeywordTaxHTField">
    <vt:lpwstr/>
  </property>
  <property fmtid="{D5CDD505-2E9C-101B-9397-08002B2CF9AE}" pid="12" name="c9cd366cc722410295b9eacffbd73909">
    <vt:lpwstr/>
  </property>
  <property fmtid="{D5CDD505-2E9C-101B-9397-08002B2CF9AE}" pid="13" name="RKAktivitetskategori">
    <vt:lpwstr/>
  </property>
</Properties>
</file>