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C2F" w:rsidRPr="00071C2F" w:rsidRDefault="00071C2F" w:rsidP="00071C2F">
      <w:pPr>
        <w:jc w:val="both"/>
        <w:rPr>
          <w:b/>
        </w:rPr>
      </w:pPr>
      <w:r>
        <w:rPr>
          <w:b/>
        </w:rPr>
        <w:t xml:space="preserve">Zákon 11/2021 ze dne 9. července o opatřeních k předcházení daňovým podvodům a boji proti nim, kterým se provádí směrnice Rady (EU) 2016/1164 ze dne 12. července 2016, kterou se stanoví pravidla proti praktikám vyhýbání se daňovým povinnostem, které mají přímý dopad na fungování vnitřního trhu, mění různá daňová pravidla a upravují hazardní hry (Úřední státní věstník [BOE] ze dne 10. července)</w:t>
      </w:r>
    </w:p>
    <w:p w:rsidR="00071C2F" w:rsidRPr="00071C2F" w:rsidRDefault="00071C2F" w:rsidP="00071C2F">
      <w:pPr>
        <w:rPr>
          <w:i/>
        </w:rPr>
      </w:pPr>
      <w:r>
        <w:rPr>
          <w:i/>
        </w:rPr>
        <w:t xml:space="preserve">(Odkaz na zveřejnění zákona: </w:t>
      </w:r>
      <w:hyperlink r:id="rId7" w:history="1">
        <w:r>
          <w:rPr>
            <w:i/>
            <w:color w:val="0563C1" w:themeColor="hyperlink"/>
            <w:u w:val="single"/>
          </w:rPr>
          <w:t xml:space="preserve">https://www.boe.es/eli/es/l/2021/07/09/11/dof/spa/pdf</w:t>
        </w:r>
      </w:hyperlink>
      <w:r>
        <w:rPr>
          <w:i/>
        </w:rPr>
        <w:t xml:space="preserve">)</w:t>
      </w:r>
      <w:r>
        <w:rPr>
          <w:i/>
        </w:rPr>
        <w:tab/>
      </w:r>
    </w:p>
    <w:p w:rsidR="00B146D5" w:rsidRDefault="00B146D5"/>
    <w:p w:rsidR="00071C2F" w:rsidRDefault="00071C2F" w:rsidP="00071C2F">
      <w:pPr>
        <w:jc w:val="center"/>
      </w:pPr>
      <w:r>
        <w:t xml:space="preserve">FELIPE VI</w:t>
      </w:r>
    </w:p>
    <w:p w:rsidR="00071C2F" w:rsidRDefault="00071C2F" w:rsidP="00071C2F">
      <w:pPr>
        <w:jc w:val="center"/>
      </w:pPr>
      <w:r>
        <w:t xml:space="preserve">ŠPANĚLSKÝ KRÁL</w:t>
      </w:r>
    </w:p>
    <w:p w:rsidR="00071C2F" w:rsidRDefault="00071C2F" w:rsidP="00071C2F">
      <w:r>
        <w:t xml:space="preserve">Všem, kteří vidí a chápou přítomnost.</w:t>
      </w:r>
    </w:p>
    <w:p w:rsidR="00071C2F" w:rsidRDefault="00071C2F" w:rsidP="00071C2F">
      <w:r>
        <w:t xml:space="preserve">Vezměte na vědomí:</w:t>
      </w:r>
      <w:r>
        <w:t xml:space="preserve"> </w:t>
      </w:r>
      <w:r>
        <w:t xml:space="preserve">Že Cortes Generales schválili a já přijímám následující zákon:</w:t>
      </w:r>
      <w:r>
        <w:br/>
      </w:r>
    </w:p>
    <w:p w:rsidR="00B146D5" w:rsidRPr="00DF0852" w:rsidRDefault="00B146D5" w:rsidP="00071C2F">
      <w:pPr>
        <w:jc w:val="center"/>
        <w:rPr>
          <w:b/>
        </w:rPr>
      </w:pPr>
      <w:r>
        <w:rPr>
          <w:b/>
        </w:rPr>
        <w:t xml:space="preserve">Preambule</w:t>
      </w:r>
    </w:p>
    <w:p w:rsidR="00B146D5" w:rsidRPr="00DF0852" w:rsidRDefault="00B146D5" w:rsidP="00B146D5">
      <w:pPr>
        <w:jc w:val="center"/>
        <w:rPr>
          <w:b/>
        </w:rPr>
      </w:pPr>
      <w:r>
        <w:rPr>
          <w:b/>
        </w:rPr>
        <w:t xml:space="preserve">I</w:t>
      </w:r>
    </w:p>
    <w:p w:rsidR="00B146D5" w:rsidRDefault="00B146D5" w:rsidP="00B146D5">
      <w:r>
        <w:t xml:space="preserve">Tento zákon obsahuje změny různých předpisů, zejména v daňových záležitostech, s dvojím účelem.</w:t>
      </w:r>
      <w:r>
        <w:t xml:space="preserve"> </w:t>
      </w:r>
      <w:r>
        <w:t xml:space="preserve">Na jedné straně za účelem provedení unijního práva do vnitrostátního práva v oblasti praktik vyhýbání se daňovým povinnostem.</w:t>
      </w:r>
      <w:r>
        <w:t xml:space="preserve"> </w:t>
      </w:r>
      <w:r>
        <w:t xml:space="preserve">Na druhé straně zavést změny v nařízení zaměřeném na stanovení parametrů daňové spravedlnosti a usnadnění opatření zaměřených na předcházení podvodům a boj proti nim posílením daňové kontroly.</w:t>
      </w:r>
    </w:p>
    <w:p w:rsidR="00B146D5" w:rsidRDefault="00B146D5" w:rsidP="00B146D5">
      <w:r>
        <w:t xml:space="preserve">(…)</w:t>
      </w:r>
    </w:p>
    <w:p w:rsidR="00B146D5" w:rsidRPr="00DF0852" w:rsidRDefault="00B146D5" w:rsidP="00B146D5">
      <w:pPr>
        <w:jc w:val="center"/>
        <w:rPr>
          <w:b/>
        </w:rPr>
      </w:pPr>
      <w:r>
        <w:rPr>
          <w:b/>
        </w:rPr>
        <w:t xml:space="preserve">XVII</w:t>
      </w:r>
    </w:p>
    <w:p w:rsidR="00071C2F" w:rsidRPr="00071C2F" w:rsidRDefault="00071C2F" w:rsidP="00071C2F">
      <w:pPr>
        <w:jc w:val="both"/>
      </w:pPr>
      <w:r>
        <w:t xml:space="preserve">Surový tabák není zahrnut do tabákových výrobků zdaněných ve Španělsku.</w:t>
      </w:r>
      <w:r>
        <w:t xml:space="preserve"> </w:t>
      </w:r>
      <w:r>
        <w:t xml:space="preserve">Rostoucí přesměrování surového tabáku, který má být použit jako surovina pro tajnou výrobu tabákových výrobků zahrnutých do působnosti daně z tabákových výrobků platné na poloostrově a na Baleárských ostrovech nebo v rámci podobných daňových předpisů, kterými se řídí Kanárské ostrovy, Ceuta a Melilla, nelegálními hospodářskými subjekty, které nejsou povoleny nebo registrovány jako výrobci tabákových výrobků, jakož i přímý nebo nepřímý prodej surového tabáku konečným spotřebitelům vede k rozvoji trhu s těmito výrobky.</w:t>
      </w:r>
      <w:r>
        <w:t xml:space="preserve"> </w:t>
      </w:r>
      <w:r>
        <w:t xml:space="preserve">Kromě toho v současné době nabývání a držení strojů určených a používaných pro výrobu tabákových výrobků nepodléhá žádnému zvláštnímu správnímu omezení nebo kontrole.</w:t>
      </w:r>
      <w:r>
        <w:t xml:space="preserve"> </w:t>
      </w:r>
      <w:r>
        <w:t xml:space="preserve">Z nedávných zkušeností vyplývá, že tyto stroje mají někdy velikost a hmotnost, které umožňují jejich přepravu a instalaci rychle a snadno, bez potřeby zvláštních prostředků a infrastruktury, a že proto jejich přeprava může být prováděna za takových podmínek, že je velmi obtížné je odhalit, což je okolnost, kterou zločinecké organizace využívají k výrobě pašovaného tabáku v tajných zařízeních.</w:t>
      </w:r>
      <w:r>
        <w:t xml:space="preserve"> </w:t>
      </w:r>
      <w:r>
        <w:t xml:space="preserve">Všechny výše uvedené skutečnosti znamenají významnou ztrátu účinnosti daně z tabákových výrobků a podobných daňových předpisů uplatňovaných na Kanárských ostrovech, Ceutě a Melille, a to nejen z hlediska výběru, ale také z hlediska jejich mimofiskálního účelu, což odrazuje od chování, které stejně jako kouření znamená značné sociální náklady, a je proto považováno za mimořádně škodlivé.</w:t>
      </w:r>
      <w:r>
        <w:t xml:space="preserve"> </w:t>
      </w:r>
      <w:r>
        <w:t xml:space="preserve">Tento nezákonný trh rovněž představuje další zdravotní riziko pro spotřebitele, neboť jak nelegální výroba, tak dodávky spotřebitelům nesplňují žádné zdravotní a marketingové požadavky kladené na zákonné výrobky.</w:t>
      </w:r>
      <w:r>
        <w:t xml:space="preserve"> </w:t>
      </w:r>
      <w:r>
        <w:t xml:space="preserve">A konečně nezákonný obchod se surovým tabákem způsobuje značné škody oprávněným hospodářským subjektům v odvětví tabáku, pro které představuje podstatné snížení jejich příjmů v důsledku nárůstu nezákonné výroby a distribuce tabákových výrobků.</w:t>
      </w:r>
    </w:p>
    <w:p w:rsidR="00071C2F" w:rsidRPr="00071C2F" w:rsidRDefault="00071C2F" w:rsidP="00071C2F">
      <w:pPr>
        <w:jc w:val="both"/>
      </w:pPr>
      <w:r>
        <w:t xml:space="preserve">S ohledem na výše uvedené se považuje za nezbytné přijmout legislativní opatření k posílení kapacit státních orgánů pro prevenci a potlačení takového jednání.</w:t>
      </w:r>
      <w:r>
        <w:t xml:space="preserve"> </w:t>
      </w:r>
      <w:r>
        <w:t xml:space="preserve">Na jedné straně je pro provozovatele surového tabáku stanoven kontrolní režim, který stanoví soubor povinností týkajících se rejstříku, účetnictví a podávání zpráv.</w:t>
      </w:r>
      <w:r>
        <w:t xml:space="preserve"> </w:t>
      </w:r>
      <w:r>
        <w:t xml:space="preserve">Rovněž jsou stanoveny pravomoci orgánů dozoru, stejně jako zvláštní režim sankcí použitelný v případě nedodržení povinností stanovených v tomto zákoně.</w:t>
      </w:r>
      <w:r>
        <w:t xml:space="preserve"> </w:t>
      </w:r>
      <w:r>
        <w:t xml:space="preserve">Naproti tomu některá strojní zařízení určená k výrobě tabákových výrobků jsou kvalifikována jako zakázaná ve smyslu organického zákona č. 12/1995 ze dne 12. prosince 1995 o boji proti pašování, pokud kupující nebo držitelé tabákových výrobků nemají postavení oprávněných hospodářských subjektů pro výrobu tabákových výrobků, včetně těch, kteří se zabývají prvním zpracováním, tedy těch, kteří nejsou hospodářskými subjekty, které nabývají nebo vlastní strojní zařízení při výkonu legitimní hospodářské činnosti.</w:t>
      </w:r>
    </w:p>
    <w:p w:rsidR="00B146D5" w:rsidRDefault="00071C2F" w:rsidP="00B146D5">
      <w:pPr>
        <w:jc w:val="both"/>
      </w:pPr>
      <w:r>
        <w:t xml:space="preserve">(…)</w:t>
      </w:r>
    </w:p>
    <w:p w:rsidR="00620440" w:rsidRPr="00DF0852" w:rsidRDefault="00DF0852" w:rsidP="00071C2F">
      <w:pPr>
        <w:spacing w:before="480"/>
        <w:jc w:val="both"/>
        <w:rPr>
          <w:b/>
        </w:rPr>
      </w:pPr>
      <w:r>
        <w:rPr>
          <w:b/>
        </w:rPr>
        <w:t xml:space="preserve">Druhé dodatečné ustanovení.</w:t>
      </w:r>
      <w:r>
        <w:rPr>
          <w:b/>
        </w:rPr>
        <w:t xml:space="preserve"> </w:t>
      </w:r>
      <w:r>
        <w:rPr>
          <w:b/>
        </w:rPr>
        <w:t xml:space="preserve">Zákaz některých strojů vhodných pro výrobu tabákových výrobků.</w:t>
      </w:r>
    </w:p>
    <w:p w:rsidR="00DF0852" w:rsidRPr="006F6E74" w:rsidRDefault="00DF0852" w:rsidP="00DF0852">
      <w:pPr>
        <w:jc w:val="both"/>
        <w:rPr>
          <w:i/>
        </w:rPr>
      </w:pPr>
      <w:r>
        <w:rPr>
          <w:i/>
        </w:rPr>
        <w:t xml:space="preserve">Za prvé.</w:t>
      </w:r>
      <w:r>
        <w:rPr>
          <w:i/>
        </w:rPr>
        <w:t xml:space="preserve"> </w:t>
      </w:r>
      <w:r>
        <w:rPr>
          <w:i/>
        </w:rPr>
        <w:t xml:space="preserve">Zvážení zakázané klasifikace.</w:t>
      </w:r>
    </w:p>
    <w:p w:rsidR="00DF0852" w:rsidRPr="00071C2F" w:rsidRDefault="00DF0852" w:rsidP="00DF0852">
      <w:pPr>
        <w:jc w:val="both"/>
      </w:pPr>
      <w:r>
        <w:t xml:space="preserve">Pro účely ústavního zákona č. 12/1995 ze dne 12. prosince 1995 o boji proti pašování, se zakazují stroje uvedené v kódu 8478 kombinované nomenklatury zřízené nařízením (EHS) č. 2658/87 ze dne 23. července 1987, vhodné pro výrobu tabákových výrobků.</w:t>
      </w:r>
    </w:p>
    <w:p w:rsidR="006A63F4" w:rsidRDefault="00071C2F" w:rsidP="00DF0852">
      <w:pPr>
        <w:jc w:val="both"/>
      </w:pPr>
      <w:r>
        <w:t xml:space="preserve">Tento zákaz se rozšiřuje na nabytí nebo držení uvedených strojů, pokud nejsou prováděny výrobcem tabákových výrobků, včetně těch, které provádějí první fázi zpracování, nebo pokud k nim nedochází při výkonu činnosti, která je odůvodňuje.</w:t>
      </w:r>
      <w:r>
        <w:t xml:space="preserve"> </w:t>
      </w:r>
      <w:r>
        <w:t xml:space="preserve">Činnosti odůvodňující nabytí nebo držení strojních zařízení uvedených v tomto odstavci, jejich výrobu, uvádění na trh a jejich přepravu za předpokladu, že ti, kdo je provádějí, jsou případně řádně oprávněni nebo registrováni v souladu s pravidly upravujícími trh s tabákovými výrobky a mohou prokázat, že místem určení těchto operací je prodej nebo dodávka výše uvedeného strojního zařízení prodejcům, výrobcům tabákových výrobků nebo jejich odeslání na území mimo zemi.</w:t>
      </w:r>
    </w:p>
    <w:p w:rsidR="00DF0852" w:rsidRDefault="00DF0852" w:rsidP="00DF0852">
      <w:pPr>
        <w:jc w:val="both"/>
      </w:pPr>
      <w:r>
        <w:t xml:space="preserve">(…)</w:t>
      </w:r>
    </w:p>
    <w:p w:rsidR="00935D21" w:rsidRDefault="00935D21" w:rsidP="00DF0852">
      <w:pPr>
        <w:jc w:val="both"/>
      </w:pPr>
    </w:p>
    <w:p w:rsidR="00935D21" w:rsidRPr="00F61ABC" w:rsidRDefault="00935D21" w:rsidP="00935D21">
      <w:pPr>
        <w:jc w:val="both"/>
        <w:rPr>
          <w:b/>
        </w:rPr>
      </w:pPr>
      <w:r>
        <w:rPr>
          <w:b/>
        </w:rPr>
        <w:t xml:space="preserve">Sedmé konečné ustanovení.</w:t>
      </w:r>
      <w:r>
        <w:rPr>
          <w:b/>
        </w:rPr>
        <w:t xml:space="preserve"> </w:t>
      </w:r>
      <w:r>
        <w:rPr>
          <w:b/>
        </w:rPr>
        <w:t xml:space="preserve">Nabytí účinnosti.</w:t>
      </w:r>
    </w:p>
    <w:p w:rsidR="002A331B" w:rsidRDefault="002A331B" w:rsidP="002A331B">
      <w:pPr>
        <w:jc w:val="both"/>
      </w:pPr>
      <w:r>
        <w:t xml:space="preserve">Toto nařízení vstupuje v platnost prvním dnem po zveřejnění v Úředním státním věstníku („Boletín Oficial del Estado“).</w:t>
      </w:r>
      <w:r>
        <w:t xml:space="preserve"> </w:t>
      </w:r>
      <w:r>
        <w:t xml:space="preserve">Nicméně:</w:t>
      </w:r>
    </w:p>
    <w:p w:rsidR="00935D21" w:rsidRDefault="002A331B" w:rsidP="002A331B">
      <w:pPr>
        <w:jc w:val="both"/>
      </w:pPr>
      <w:r>
        <w:t xml:space="preserve">a) Odstavce 4 a 23 článku 13 a druhé dodatečné ustanovení nabývají účinnosti do tří měsíců od vstupu tohoto zákona v platnost.</w:t>
      </w:r>
    </w:p>
    <w:p w:rsidR="00935D21" w:rsidRDefault="00935D21" w:rsidP="00935D21">
      <w:pPr>
        <w:jc w:val="both"/>
      </w:pPr>
      <w:r>
        <w:t xml:space="preserve">(…)</w:t>
      </w:r>
    </w:p>
    <w:p w:rsidR="00071C2F" w:rsidRDefault="00071C2F" w:rsidP="00071C2F">
      <w:pPr>
        <w:jc w:val="both"/>
      </w:pPr>
    </w:p>
    <w:p w:rsidR="00071C2F" w:rsidRDefault="00071C2F" w:rsidP="00071C2F">
      <w:pPr>
        <w:jc w:val="both"/>
      </w:pPr>
      <w:r>
        <w:t xml:space="preserve">Z tohoto důvodu,</w:t>
      </w:r>
    </w:p>
    <w:p w:rsidR="00071C2F" w:rsidRDefault="00071C2F" w:rsidP="00071C2F">
      <w:pPr>
        <w:jc w:val="both"/>
      </w:pPr>
      <w:r>
        <w:t xml:space="preserve">Přikazuji všem Španělům, jednotlivcům i autoritám, aby dodržovali a prosazovali tento zákon.</w:t>
      </w:r>
    </w:p>
    <w:p w:rsidR="00071C2F" w:rsidRDefault="00071C2F" w:rsidP="00071C2F">
      <w:pPr>
        <w:jc w:val="both"/>
      </w:pPr>
      <w:r>
        <w:t xml:space="preserve">V Madridu, 9. července 2021.</w:t>
      </w:r>
    </w:p>
    <w:p w:rsidR="00071C2F" w:rsidRDefault="00071C2F" w:rsidP="00071C2F">
      <w:pPr>
        <w:jc w:val="right"/>
      </w:pPr>
      <w:r>
        <w:t xml:space="preserve">FELIPE, R.</w:t>
      </w:r>
    </w:p>
    <w:p w:rsidR="00071C2F" w:rsidRDefault="00071C2F" w:rsidP="00071C2F">
      <w:pPr>
        <w:jc w:val="both"/>
      </w:pPr>
    </w:p>
    <w:p w:rsidR="00071C2F" w:rsidRDefault="00071C2F" w:rsidP="00071C2F">
      <w:pPr>
        <w:jc w:val="center"/>
      </w:pPr>
      <w:r>
        <w:t xml:space="preserve">Předseda vlády,</w:t>
      </w:r>
    </w:p>
    <w:p w:rsidR="00071C2F" w:rsidRDefault="00071C2F" w:rsidP="00071C2F">
      <w:pPr>
        <w:jc w:val="center"/>
      </w:pPr>
      <w:r>
        <w:t xml:space="preserve">PEDRO SÁNCHEZ PÉREZ-CASTEJÓN</w:t>
      </w:r>
    </w:p>
    <w:sectPr w:rsidR="00071C2F">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E99" w:rsidRDefault="00EE5E99" w:rsidP="000A36D0">
      <w:pPr>
        <w:spacing w:after="0" w:line="240" w:lineRule="auto"/>
      </w:pPr>
      <w:r>
        <w:separator/>
      </w:r>
    </w:p>
  </w:endnote>
  <w:endnote w:type="continuationSeparator" w:id="0">
    <w:p w:rsidR="00EE5E99" w:rsidRDefault="00EE5E99" w:rsidP="000A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221811"/>
      <w:docPartObj>
        <w:docPartGallery w:val="Page Numbers (Bottom of Page)"/>
        <w:docPartUnique/>
      </w:docPartObj>
    </w:sdtPr>
    <w:sdtEndPr/>
    <w:sdtContent>
      <w:p w:rsidR="000A36D0" w:rsidRDefault="000A36D0">
        <w:pPr>
          <w:pStyle w:val="Piedepgina"/>
          <w:jc w:val="center"/>
        </w:pPr>
        <w:r>
          <w:fldChar w:fldCharType="begin"/>
        </w:r>
        <w:r>
          <w:instrText>PAGE   \* MERGEFORMAT</w:instrText>
        </w:r>
        <w:r>
          <w:fldChar w:fldCharType="separate"/>
        </w:r>
        <w:r w:rsidR="00A35477">
          <w:t>1</w:t>
        </w:r>
        <w:r>
          <w:fldChar w:fldCharType="end"/>
        </w:r>
      </w:p>
    </w:sdtContent>
  </w:sdt>
  <w:p w:rsidR="000A36D0" w:rsidRDefault="000A36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E99" w:rsidRDefault="00EE5E99" w:rsidP="000A36D0">
      <w:pPr>
        <w:spacing w:after="0" w:line="240" w:lineRule="auto"/>
      </w:pPr>
      <w:r>
        <w:separator/>
      </w:r>
    </w:p>
  </w:footnote>
  <w:footnote w:type="continuationSeparator" w:id="0">
    <w:p w:rsidR="00EE5E99" w:rsidRDefault="00EE5E99" w:rsidP="000A36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478"/>
    <w:rsid w:val="00050BFC"/>
    <w:rsid w:val="00071C2F"/>
    <w:rsid w:val="000A36D0"/>
    <w:rsid w:val="000B061A"/>
    <w:rsid w:val="000C6F76"/>
    <w:rsid w:val="0015004C"/>
    <w:rsid w:val="001F7478"/>
    <w:rsid w:val="002A331B"/>
    <w:rsid w:val="00620440"/>
    <w:rsid w:val="006A63F4"/>
    <w:rsid w:val="006F6E74"/>
    <w:rsid w:val="00927945"/>
    <w:rsid w:val="00935D21"/>
    <w:rsid w:val="00940E38"/>
    <w:rsid w:val="00A35477"/>
    <w:rsid w:val="00B146D5"/>
    <w:rsid w:val="00DF0852"/>
    <w:rsid w:val="00EE5E99"/>
    <w:rsid w:val="00EF6E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AC67E-8CAC-4E93-BEDE-3DA335DF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6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36D0"/>
  </w:style>
  <w:style w:type="paragraph" w:styleId="Piedepgina">
    <w:name w:val="footer"/>
    <w:basedOn w:val="Normal"/>
    <w:link w:val="PiedepginaCar"/>
    <w:uiPriority w:val="99"/>
    <w:unhideWhenUsed/>
    <w:rsid w:val="000A36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3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30060">
      <w:bodyDiv w:val="1"/>
      <w:marLeft w:val="0"/>
      <w:marRight w:val="0"/>
      <w:marTop w:val="0"/>
      <w:marBottom w:val="0"/>
      <w:divBdr>
        <w:top w:val="none" w:sz="0" w:space="0" w:color="auto"/>
        <w:left w:val="none" w:sz="0" w:space="0" w:color="auto"/>
        <w:bottom w:val="none" w:sz="0" w:space="0" w:color="auto"/>
        <w:right w:val="none" w:sz="0" w:space="0" w:color="auto"/>
      </w:divBdr>
    </w:div>
    <w:div w:id="198183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oe.es/eli/es/l/2021/07/09/11/dof/spa/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B5A79-4289-4BB9-83C9-9993DEB2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5860</Characters>
  <Application>Microsoft Office Word</Application>
  <DocSecurity>4</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ESPIGA CRISTINA</dc:creator>
  <cp:keywords/>
  <dc:description/>
  <cp:lastModifiedBy>García Fiñana, Elena</cp:lastModifiedBy>
  <cp:revision>2</cp:revision>
  <dcterms:created xsi:type="dcterms:W3CDTF">2021-07-20T15:01:00Z</dcterms:created>
  <dcterms:modified xsi:type="dcterms:W3CDTF">2021-07-20T15:01:00Z</dcterms:modified>
</cp:coreProperties>
</file>