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Default="00810B76" w:rsidP="00810B76">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------IND- 2017 0322 SK- PL- ------ 20190416 --- --- FINAL</w:t>
      </w:r>
      <w:r>
        <w:rPr>
          <w:sz w:val="20"/>
          <w:rFonts w:ascii="Courier New" w:hAnsi="Courier New"/>
        </w:rPr>
        <w:t xml:space="preserve"> </w:t>
      </w:r>
    </w:p>
    <w:p w:rsidR="00810B76" w:rsidRDefault="00810B76" w:rsidP="00B3535A">
      <w:pPr>
        <w:widowControl/>
        <w:shd w:val="clear" w:color="auto" w:fill="FFFFFF"/>
        <w:spacing w:before="120"/>
        <w:jc w:val="center"/>
        <w:rPr>
          <w:color w:val="000000"/>
          <w:sz w:val="44"/>
          <w:szCs w:val="44"/>
        </w:rPr>
      </w:pPr>
    </w:p>
    <w:p w:rsidR="00E16F77" w:rsidRPr="00D06F2A" w:rsidRDefault="00E16F77" w:rsidP="00B3535A">
      <w:pPr>
        <w:widowControl/>
        <w:shd w:val="clear" w:color="auto" w:fill="FFFFFF"/>
        <w:spacing w:before="120"/>
        <w:jc w:val="center"/>
        <w:rPr>
          <w:color w:val="000000"/>
          <w:sz w:val="44"/>
          <w:szCs w:val="44"/>
        </w:rPr>
      </w:pPr>
      <w:r>
        <w:rPr>
          <w:color w:val="000000"/>
          <w:sz w:val="44"/>
        </w:rPr>
        <w:t xml:space="preserve">ZBIÓR </w:t>
      </w:r>
      <w:r w:rsidR="00591388">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Pr>
          <w:color w:val="000000"/>
          <w:sz w:val="44"/>
        </w:rPr>
        <w:t xml:space="preserve"> USTAW</w:t>
      </w:r>
    </w:p>
    <w:p w:rsidR="00E16F77" w:rsidRPr="00D06F2A" w:rsidRDefault="00E16F77" w:rsidP="00B3535A">
      <w:pPr>
        <w:widowControl/>
        <w:shd w:val="clear" w:color="auto" w:fill="FFFFFF"/>
        <w:spacing w:before="120"/>
        <w:jc w:val="center"/>
        <w:rPr>
          <w:color w:val="000000"/>
        </w:rPr>
      </w:pPr>
      <w:r>
        <w:rPr>
          <w:color w:val="000000"/>
          <w:sz w:val="32"/>
        </w:rPr>
        <w:t xml:space="preserve">REPUBLIKI SŁOWACKIEJ</w:t>
      </w:r>
    </w:p>
    <w:p w:rsidR="00E16F77" w:rsidRPr="00D06F2A" w:rsidRDefault="00E16F77" w:rsidP="00B3535A">
      <w:pPr>
        <w:widowControl/>
        <w:shd w:val="clear" w:color="auto" w:fill="FFFFFF"/>
        <w:spacing w:before="120"/>
        <w:jc w:val="center"/>
        <w:rPr>
          <w:color w:val="000000"/>
          <w:sz w:val="28"/>
          <w:szCs w:val="28"/>
        </w:rPr>
      </w:pPr>
      <w:r>
        <w:rPr>
          <w:color w:val="000000"/>
          <w:sz w:val="28"/>
        </w:rPr>
        <w:t xml:space="preserve">Tom 2018</w:t>
      </w:r>
    </w:p>
    <w:p w:rsidR="00E16F77" w:rsidRPr="00D06F2A" w:rsidRDefault="00E16F77" w:rsidP="00B3535A">
      <w:pPr>
        <w:widowControl/>
        <w:pBdr>
          <w:top w:val="single" w:sz="4" w:space="1" w:color="auto"/>
        </w:pBdr>
        <w:shd w:val="clear" w:color="auto" w:fill="FFFFFF"/>
        <w:tabs>
          <w:tab w:val="right" w:pos="9072"/>
        </w:tabs>
        <w:spacing w:before="120"/>
        <w:rPr>
          <w:color w:val="000000"/>
        </w:rPr>
      </w:pPr>
      <w:r>
        <w:rPr>
          <w:color w:val="000000"/>
        </w:rPr>
        <w:t xml:space="preserve">Opublikowano:</w:t>
      </w:r>
      <w:r>
        <w:rPr>
          <w:color w:val="000000"/>
        </w:rPr>
        <w:t xml:space="preserve"> </w:t>
      </w:r>
      <w:r>
        <w:rPr>
          <w:color w:val="000000"/>
        </w:rPr>
        <w:t xml:space="preserve">7 marca 2018 r.</w:t>
      </w:r>
      <w:r>
        <w:tab/>
      </w:r>
      <w:r>
        <w:rPr>
          <w:color w:val="000000"/>
        </w:rPr>
        <w:t xml:space="preserve">Przepisy w tej wersji obowiązują od:</w:t>
      </w:r>
      <w:r>
        <w:rPr>
          <w:color w:val="000000"/>
        </w:rPr>
        <w:t xml:space="preserve"> </w:t>
      </w:r>
      <w:r>
        <w:rPr>
          <w:color w:val="000000"/>
        </w:rPr>
        <w:t xml:space="preserve">1 kwietnia 2018 r. do</w:t>
      </w:r>
      <w:r>
        <w:rPr>
          <w:color w:val="000000"/>
        </w:rPr>
        <w:t xml:space="preserve"> </w:t>
      </w:r>
      <w:r>
        <w:rPr>
          <w:color w:val="000000"/>
        </w:rPr>
        <w:t xml:space="preserve">31 marca 2020 r.</w:t>
      </w:r>
    </w:p>
    <w:p w:rsidR="00E16F77" w:rsidRPr="00D06F2A" w:rsidRDefault="00E16F77" w:rsidP="00B3535A">
      <w:pPr>
        <w:widowControl/>
        <w:shd w:val="clear" w:color="auto" w:fill="FFFFFF"/>
        <w:spacing w:before="480" w:after="240"/>
        <w:jc w:val="center"/>
        <w:rPr>
          <w:b/>
          <w:bCs/>
          <w:color w:val="000000"/>
        </w:rPr>
      </w:pPr>
      <w:r>
        <w:rPr>
          <w:b/>
          <w:color w:val="000000"/>
        </w:rPr>
        <w:t xml:space="preserve">Treść dokumentu ma charakter prawnie wiążący.</w:t>
      </w:r>
    </w:p>
    <w:p w:rsidR="00E16F77" w:rsidRPr="00D06F2A" w:rsidRDefault="00E16F77" w:rsidP="00B3535A">
      <w:pPr>
        <w:widowControl/>
        <w:shd w:val="clear" w:color="auto" w:fill="FFFFFF"/>
        <w:spacing w:before="120"/>
        <w:jc w:val="center"/>
        <w:rPr>
          <w:color w:val="000000"/>
        </w:rPr>
      </w:pPr>
      <w:r>
        <w:rPr>
          <w:b/>
          <w:color w:val="000000"/>
        </w:rPr>
        <w:t xml:space="preserve">60</w:t>
      </w:r>
    </w:p>
    <w:p w:rsidR="00E16F77" w:rsidRPr="00E35FA4" w:rsidRDefault="00E16F77" w:rsidP="00B3535A">
      <w:pPr>
        <w:widowControl/>
        <w:shd w:val="clear" w:color="auto" w:fill="FFFFFF"/>
        <w:spacing w:before="120"/>
        <w:jc w:val="center"/>
        <w:rPr>
          <w:b/>
          <w:bCs/>
          <w:color w:val="000000"/>
        </w:rPr>
      </w:pPr>
      <w:r>
        <w:rPr>
          <w:b/>
          <w:color w:val="000000"/>
        </w:rPr>
        <w:t xml:space="preserve">USTAWA</w:t>
      </w:r>
    </w:p>
    <w:p w:rsidR="00E16F77" w:rsidRPr="00D06F2A" w:rsidRDefault="00E16F77" w:rsidP="00B3535A">
      <w:pPr>
        <w:widowControl/>
        <w:shd w:val="clear" w:color="auto" w:fill="FFFFFF"/>
        <w:spacing w:before="120"/>
        <w:jc w:val="center"/>
        <w:rPr>
          <w:color w:val="000000"/>
        </w:rPr>
      </w:pPr>
      <w:r>
        <w:rPr>
          <w:color w:val="000000"/>
        </w:rPr>
        <w:t xml:space="preserve">z dnia 6 lutego 2018 r.</w:t>
      </w:r>
    </w:p>
    <w:p w:rsidR="00E16F77" w:rsidRPr="00E35FA4" w:rsidRDefault="00E16F77" w:rsidP="00B3535A">
      <w:pPr>
        <w:widowControl/>
        <w:shd w:val="clear" w:color="auto" w:fill="FFFFFF"/>
        <w:spacing w:before="120"/>
        <w:jc w:val="center"/>
        <w:rPr>
          <w:b/>
          <w:bCs/>
          <w:color w:val="000000"/>
        </w:rPr>
      </w:pPr>
      <w:r>
        <w:rPr>
          <w:b/>
          <w:color w:val="000000"/>
        </w:rPr>
        <w:t xml:space="preserve">o normalizacji technicznej</w:t>
      </w:r>
    </w:p>
    <w:p w:rsidR="00E16F77" w:rsidRPr="00D06F2A" w:rsidRDefault="00E16F77" w:rsidP="00B3535A">
      <w:pPr>
        <w:widowControl/>
        <w:shd w:val="clear" w:color="auto" w:fill="FFFFFF"/>
        <w:spacing w:before="480" w:after="240"/>
        <w:rPr>
          <w:color w:val="000000"/>
        </w:rPr>
      </w:pPr>
      <w:r>
        <w:rPr>
          <w:color w:val="000000"/>
        </w:rPr>
        <w:t xml:space="preserve">Rada Narodowa Republiki Słowackiej ustanawia, co następuje:</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w:t>
      </w:r>
    </w:p>
    <w:p w:rsidR="00E16F77" w:rsidRPr="00E35FA4" w:rsidRDefault="00E16F77" w:rsidP="00BB519B">
      <w:pPr>
        <w:keepNext/>
        <w:keepLines/>
        <w:widowControl/>
        <w:shd w:val="clear" w:color="auto" w:fill="FFFFFF"/>
        <w:jc w:val="center"/>
        <w:rPr>
          <w:b/>
          <w:bCs/>
          <w:color w:val="000000"/>
        </w:rPr>
      </w:pPr>
      <w:r>
        <w:rPr>
          <w:b/>
          <w:color w:val="000000"/>
        </w:rPr>
        <w:t xml:space="preserve">Przedmiot ustawy</w:t>
      </w:r>
    </w:p>
    <w:p w:rsidR="00E16F77" w:rsidRPr="00D06F2A" w:rsidRDefault="00E16F77" w:rsidP="00D65D8D">
      <w:pPr>
        <w:keepNext/>
        <w:keepLines/>
        <w:widowControl/>
        <w:shd w:val="clear" w:color="auto" w:fill="FFFFFF"/>
        <w:spacing w:before="120"/>
        <w:rPr>
          <w:color w:val="000000"/>
        </w:rPr>
      </w:pPr>
      <w:r>
        <w:rPr>
          <w:color w:val="000000"/>
        </w:rPr>
        <w:t xml:space="preserve">Niniejsza ustawa reguluje</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 xml:space="preserve">a)</w:t>
      </w:r>
      <w:r>
        <w:tab/>
      </w:r>
      <w:r>
        <w:rPr>
          <w:color w:val="000000"/>
        </w:rPr>
        <w:t xml:space="preserve">zakres uprawnień Słowackiego Urzędu Norm, Metrologii i Badań (zwanego dalej „Urzędem”) w dziedzinie normalizacji technicznej;</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 xml:space="preserve">b)</w:t>
      </w:r>
      <w:r>
        <w:tab/>
      </w:r>
      <w:r>
        <w:rPr>
          <w:color w:val="000000"/>
        </w:rPr>
        <w:t xml:space="preserve">prawa i obowiązki Urzędu jako słowackiej krajowej jednostki normalizacyjnej;</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 xml:space="preserve">c)</w:t>
      </w:r>
      <w:r>
        <w:tab/>
      </w:r>
      <w:r>
        <w:rPr>
          <w:color w:val="000000"/>
        </w:rPr>
        <w:t xml:space="preserve">opracowanie, dostarczanie, powielanie, rozpowszechnianie, weryfikację i unieważnianie słowackich norm technicznych oraz technicznych informacji normalizacyjnych;</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 xml:space="preserve">d)</w:t>
      </w:r>
      <w:r>
        <w:tab/>
      </w:r>
      <w:r>
        <w:rPr>
          <w:color w:val="000000"/>
        </w:rPr>
        <w:t xml:space="preserve">wydatki na opracowywanie słowackich norm technicznych i technicznych informacji normalizacyjnych</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 xml:space="preserve">e)</w:t>
      </w:r>
      <w:r>
        <w:tab/>
      </w:r>
      <w:r>
        <w:rPr>
          <w:color w:val="000000"/>
        </w:rPr>
        <w:t xml:space="preserve">ochronę słowackich norm technicznych i technicznych informacji normalizacyjnych</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 xml:space="preserve">f)</w:t>
      </w:r>
      <w:r>
        <w:tab/>
      </w:r>
      <w:r>
        <w:rPr>
          <w:color w:val="000000"/>
        </w:rPr>
        <w:t xml:space="preserve">dostarczanie innych norm technicznych i innych technicznych informacji normalizacyjnych;</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 xml:space="preserve">g)</w:t>
      </w:r>
      <w:r>
        <w:tab/>
      </w:r>
      <w:r>
        <w:rPr>
          <w:color w:val="000000"/>
        </w:rPr>
        <w:t xml:space="preserve">nadzorowanie przestrzegania niniejszej ustawy;</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 xml:space="preserve">h)</w:t>
      </w:r>
      <w:r>
        <w:tab/>
      </w:r>
      <w:r>
        <w:rPr>
          <w:color w:val="000000"/>
        </w:rPr>
        <w:t xml:space="preserve">nakładanie grzywien.</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2</w:t>
      </w:r>
    </w:p>
    <w:p w:rsidR="00E16F77" w:rsidRPr="008015BE" w:rsidRDefault="00E16F77" w:rsidP="00BB519B">
      <w:pPr>
        <w:keepNext/>
        <w:keepLines/>
        <w:widowControl/>
        <w:shd w:val="clear" w:color="auto" w:fill="FFFFFF"/>
        <w:jc w:val="center"/>
        <w:rPr>
          <w:b/>
          <w:bCs/>
          <w:color w:val="000000"/>
        </w:rPr>
      </w:pPr>
      <w:r>
        <w:rPr>
          <w:b/>
          <w:color w:val="000000"/>
        </w:rPr>
        <w:t xml:space="preserve">Definicje</w:t>
      </w:r>
    </w:p>
    <w:p w:rsidR="00E16F77" w:rsidRPr="00D06F2A" w:rsidRDefault="00E16F77" w:rsidP="00D65D8D">
      <w:pPr>
        <w:keepNext/>
        <w:keepLines/>
        <w:widowControl/>
        <w:shd w:val="clear" w:color="auto" w:fill="FFFFFF"/>
        <w:spacing w:before="120"/>
        <w:rPr>
          <w:color w:val="000000"/>
        </w:rPr>
      </w:pPr>
      <w:r>
        <w:rPr>
          <w:color w:val="000000"/>
        </w:rPr>
        <w:t xml:space="preserve">Do celów niniejszej ustawy stosuje się następujące definicje:</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 xml:space="preserve">„inna norma techniczna” oznacza normę techniczną określoną w odrębnych przepisach</w:t>
      </w:r>
      <w:r>
        <w:rPr>
          <w:color w:val="000000"/>
          <w:vertAlign w:val="superscript"/>
        </w:rPr>
        <w:t xml:space="preserve">1)</w:t>
      </w:r>
      <w:r>
        <w:rPr>
          <w:color w:val="000000"/>
        </w:rPr>
        <w:t xml:space="preserve"> inną niż pierwotna słowacka norma techniczna;</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 xml:space="preserve">„inna techniczna informacja normalizacyjna” oznacza dokument normalizacyjny opracowany przez międzynarodową jednostkę normalizacyjną, niezatwierdzony przez Urząd jako słowacką krajową jednostkę normalizacyjną w ramach systemu słowackich norm technicznych na podstawie § 4 ust. 1 lit. g);</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 xml:space="preserve">„uzasadniony interes” oznacza bezpieczeństwo, zdrowie, życie i mienie osób oraz korzystne środowisko.</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3</w:t>
      </w:r>
    </w:p>
    <w:p w:rsidR="00E16F77" w:rsidRPr="008015BE" w:rsidRDefault="00E16F77" w:rsidP="00BB519B">
      <w:pPr>
        <w:keepNext/>
        <w:keepLines/>
        <w:widowControl/>
        <w:shd w:val="clear" w:color="auto" w:fill="FFFFFF"/>
        <w:jc w:val="center"/>
        <w:rPr>
          <w:b/>
          <w:bCs/>
          <w:color w:val="000000"/>
        </w:rPr>
      </w:pPr>
      <w:r>
        <w:rPr>
          <w:b/>
          <w:color w:val="000000"/>
        </w:rPr>
        <w:t xml:space="preserve">Norma techniczna i techniczna informacja normalizacyjna</w:t>
      </w:r>
      <w:r>
        <w:rPr>
          <w:b/>
          <w:color w:val="000000"/>
        </w:rPr>
        <w:t xml:space="preserve"> </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„Norma techniczna” oznacza normę techniczną określoną w odrębnych przepisach</w:t>
      </w:r>
      <w:r>
        <w:rPr>
          <w:color w:val="000000"/>
          <w:vertAlign w:val="superscript"/>
        </w:rPr>
        <w:t xml:space="preserve">2)</w:t>
      </w:r>
      <w:r>
        <w:rPr>
          <w:color w:val="000000"/>
        </w:rPr>
        <w:t xml:space="preserve">. Norma techniczna nie jest przepisem technicznym</w:t>
      </w:r>
      <w:r>
        <w:rPr>
          <w:color w:val="000000"/>
          <w:vertAlign w:val="superscript"/>
        </w:rPr>
        <w:t xml:space="preserve">3)</w:t>
      </w:r>
      <w:r>
        <w:rPr>
          <w:color w:val="000000"/>
        </w:rPr>
        <w:t xml:space="preserve">.</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„Słowacka norma techniczna” oznacza normę techniczną zatwierdzoną przez Urząd jako słowacką krajową jednostkę normalizacyjną na mocy niniejszej ustawy w ramach systemu słowackich norm technicznych.</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„Słowacka tymczasowa norma techniczna” oznacza słowacką normę techniczną o określonym okresie ważności, której celem jest zweryfikowanie przydatności zawartości technicznej normy i praktycznych korzyści z nią związanych.</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„Pierwotna słowacka norma techniczna” oznacza słowacką normę techniczną regulującą dziedzinę nieobjętą normami europejskimi</w:t>
      </w:r>
      <w:r>
        <w:rPr>
          <w:color w:val="000000"/>
          <w:vertAlign w:val="superscript"/>
        </w:rPr>
        <w:t xml:space="preserve">4)</w:t>
      </w:r>
      <w:r>
        <w:rPr>
          <w:color w:val="000000"/>
        </w:rPr>
        <w:t xml:space="preserve"> lub międzynarodowymi</w:t>
      </w:r>
      <w:r>
        <w:rPr>
          <w:color w:val="000000"/>
          <w:vertAlign w:val="superscript"/>
        </w:rPr>
        <w:t xml:space="preserve">5)</w:t>
      </w:r>
      <w:r>
        <w:rPr>
          <w:color w:val="000000"/>
        </w:rPr>
        <w:t xml:space="preserve">, opracowaną na podstawie zapotrzebowania społecznego lub wniosku organu publicznego.</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„Techniczna informacja normalizacyjna” oznacza dokument normalizacyjny opracowany przez europejską organizację normalizacyjną</w:t>
      </w:r>
      <w:r>
        <w:rPr>
          <w:color w:val="000000"/>
          <w:vertAlign w:val="superscript"/>
        </w:rPr>
        <w:t xml:space="preserve">6)</w:t>
      </w:r>
      <w:r>
        <w:rPr>
          <w:color w:val="000000"/>
        </w:rPr>
        <w:t xml:space="preserve">, międzynarodową jednostkę normalizacyjną</w:t>
      </w:r>
      <w:r>
        <w:rPr>
          <w:color w:val="000000"/>
          <w:vertAlign w:val="superscript"/>
        </w:rPr>
        <w:t xml:space="preserve">7)</w:t>
      </w:r>
      <w:r>
        <w:rPr>
          <w:color w:val="000000"/>
        </w:rPr>
        <w:t xml:space="preserve"> lub Urząd jako słowacką krajową jednostkę normalizacyjną, zatwierdzony przez Urząd jako słowacką krajową jednostkę normalizacyjną w ramach systemu słowackich norm technicznych.</w:t>
      </w:r>
      <w:r>
        <w:rPr>
          <w:color w:val="000000"/>
        </w:rPr>
        <w:t xml:space="preserve"> </w:t>
      </w:r>
      <w:r>
        <w:rPr>
          <w:color w:val="000000"/>
        </w:rPr>
        <w:t xml:space="preserve">Technicznych informacji normalizacyjnych nie uznaje się za słowackie normy techniczne.</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„Pierwotna techniczna informacja normalizacyjna” oznacza dokument technicznej informacji normalizacyjnej regulujący dziedzinę nieobjętą żadnymi przepisami dokumentów normalizacyjnych opracowanych przez europejską organizację normalizacyjną lub międzynarodową jednostkę normalizacyjną, opracowany w odpowiedzi na zapotrzebowanie społeczne lub wniosek organu publicznego.</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„Zmiana normy technicznej” oznacza normę techniczną wskazaną jako zmiana przez europejską organizację normalizacyjną, międzynarodową jednostkę normalizacyjną lub Urząd jako słowacką krajową jednostkę normalizacyjną i wprowadzającą istotne zmiany w normie technicznej.</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„Korekta normy technicznej” lub „korekta technicznej informacji normalizacyjnej” oznacza dokument korygujący błąd formalny występujący w normie technicznej lub technicznej informacji normalizacyjnej wskazany jako korekta przez europejską organizację normalizacyjną, międzynarodową jednostkę normalizacyjną lub Urząd jako słowacką krajową jednostkę normalizacyjną.</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„System słowackich norm technicznych” oznacza zbiór pełnych wersji słowackich norm technicznych, technicznych informacji normalizacyjnych oraz ich korekt.</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Zapewnienie zgodności ze słowackimi normami technicznymi i technicznymi informacjami normalizacyjnymi jest dobrowolne.</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Słowackie normy techniczne oznacza się symbolem „STN”, a słowackie tymczasowe normy techniczne – symbolem „STN P”.</w:t>
      </w:r>
      <w:r>
        <w:rPr>
          <w:color w:val="000000"/>
        </w:rPr>
        <w:t xml:space="preserve"> </w:t>
      </w:r>
      <w:r>
        <w:rPr>
          <w:color w:val="000000"/>
        </w:rPr>
        <w:t xml:space="preserve">Techniczne informacje normalizacyjne noszą symbol „TNI”.</w:t>
      </w:r>
      <w:r>
        <w:rPr>
          <w:color w:val="000000"/>
        </w:rPr>
        <w:t xml:space="preserve"> </w:t>
      </w:r>
      <w:r>
        <w:rPr>
          <w:color w:val="000000"/>
        </w:rPr>
        <w:t xml:space="preserve">Standardowe symbole „STN”, „STN P” i „TNI” znajdują się w załączniku.</w:t>
      </w:r>
      <w:r>
        <w:rPr>
          <w:color w:val="000000"/>
        </w:rPr>
        <w:t xml:space="preserve"> </w:t>
      </w:r>
      <w:r>
        <w:rPr>
          <w:color w:val="000000"/>
        </w:rPr>
        <w:t xml:space="preserve">Dodatkowe oznaczenia, które można dodać do symboli „STN” lub „TNI”, Urząd jako słowacka krajowa jednostka normalizacyjna publikuje na swojej stronie internetowej.</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Słowackich norm technicznych i technicznych informacji normalizacyjnych nie udostępnia się zgodnie z odrębnymi przepisami</w:t>
      </w:r>
      <w:r>
        <w:rPr>
          <w:color w:val="000000"/>
          <w:vertAlign w:val="superscript"/>
        </w:rPr>
        <w:t xml:space="preserve">8)</w:t>
      </w:r>
      <w:r>
        <w:rPr>
          <w:color w:val="000000"/>
        </w:rPr>
        <w:t xml:space="preserve"> za wyjątkiem słowackiej normy technicznej, o której mowa w § 12 ust. 2.</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 xml:space="preserve">Jeśli organ rządowy zamierza zamieścić odniesienie do słowackiej normy technicznej w tekście projektu aktu o zasięgu ogólnym, zgłasza ten fakt Urzędowi jako słowackiej krajowej jednostce normalizacyjnej najpóźniej przed przyjęciem aktu o zasięgu ogólnym; organ rządowy postępuje zgodnie z odrębnymi przepisami</w:t>
      </w:r>
      <w:r>
        <w:rPr>
          <w:color w:val="000000"/>
          <w:vertAlign w:val="superscript"/>
        </w:rPr>
        <w:t xml:space="preserve">9)</w:t>
      </w:r>
      <w:r>
        <w:rPr>
          <w:color w:val="000000"/>
        </w:rPr>
        <w:t xml:space="preserve">.</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4</w:t>
      </w:r>
    </w:p>
    <w:p w:rsidR="00E16F77" w:rsidRPr="008015BE" w:rsidRDefault="00E16F77" w:rsidP="00BB519B">
      <w:pPr>
        <w:keepNext/>
        <w:keepLines/>
        <w:widowControl/>
        <w:shd w:val="clear" w:color="auto" w:fill="FFFFFF"/>
        <w:jc w:val="center"/>
        <w:rPr>
          <w:b/>
          <w:bCs/>
          <w:color w:val="000000"/>
        </w:rPr>
      </w:pPr>
      <w:r>
        <w:rPr>
          <w:b/>
          <w:color w:val="000000"/>
        </w:rPr>
        <w:t xml:space="preserve">Urząd</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 xml:space="preserve">Urząd:</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 xml:space="preserve">wskazuje słowackie normy techniczne przydatne do oceny zgodności;</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 xml:space="preserve">publikuje zawiadomienia o przyjęciu, unieważnieniu i korektach słowackich norm technicznych oraz przyjęciu, unieważnieniu i korektach technicznych informacji normalizacyjnych, a także zawiadomienia o słowackich normach technicznych przydatnych do oceny zgodności w Dzienniku Urzędowym Słowackiego Urzędu Norm, Metrologii i Badań (zwanym dalej „Dziennikiem Urzędowym”) lub, w uzasadnionych przypadkach, na swojej stronie internetowej;</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 xml:space="preserve">zgłasza</w:t>
      </w:r>
      <w:r>
        <w:rPr>
          <w:color w:val="000000"/>
          <w:vertAlign w:val="superscript"/>
        </w:rPr>
        <w:t xml:space="preserve">10)</w:t>
      </w:r>
      <w:r>
        <w:rPr>
          <w:color w:val="000000"/>
        </w:rPr>
        <w:t xml:space="preserve"> Komisji słowacką krajową jednostkę normalizacyjną;</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 xml:space="preserve">finansuje działanie słowackiej krajowej jednostki normalizacyjnej i wnosi opłaty za członkostwo słowackiej krajowej jednostki normalizacyjnej w europejskich organizacjach normalizacyjnych i międzynarodowych jednostkach normalizacyjnych;</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 xml:space="preserve">nadzoruje przestrzeganie niniejszej ustawy;</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 xml:space="preserve">rozpatruje przypadki wykroczeń oraz innych przestępstw administracyjnych oraz nakłada grzywny zgodnie z § 16 i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 xml:space="preserve">pełni rolę słowackiej krajowej jednostki normalizacyjnej</w:t>
      </w:r>
      <w:r>
        <w:rPr>
          <w:color w:val="000000"/>
          <w:vertAlign w:val="superscript"/>
        </w:rPr>
        <w:t xml:space="preserve">11)</w:t>
      </w:r>
      <w:r>
        <w:rPr>
          <w:color w:val="000000"/>
        </w:rPr>
        <w:t xml:space="preserve">.</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 xml:space="preserve">Urząd jako słowacka krajowa jednostka normalizacyjna:</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wypełnia obowiązki wynikające z członkostwa w europejskich organizacjach normalizacyjnych oraz międzynarodowych jednostkach normalizacyjnych;</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ułatwia uczestnictwo w opracowywaniu i unieważnianiu norm europejskich, europejskich dokumentów normalizacyjnych</w:t>
      </w:r>
      <w:r>
        <w:rPr>
          <w:color w:val="000000"/>
          <w:vertAlign w:val="superscript"/>
        </w:rPr>
        <w:t xml:space="preserve">12)</w:t>
      </w:r>
      <w:r>
        <w:rPr>
          <w:color w:val="000000"/>
        </w:rPr>
        <w:t xml:space="preserve">, norm międzynarodowych oraz innych technicznych informacji normalizacyjnych wszelkim osobom spełniającym wymagania i zasady europejskiej organizacji normalizacyjnej i międzynarodowej jednostki normalizacyjnej lub wymagania Urzędu jako słowackiej krajowej jednostki normalizacyjnej opublikowane na stronie internetowej Urzędu jako słowackiej krajowej jednostki normalizacyjnej przez:</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 xml:space="preserve">zamieszczanie na stronie internetowej zawiadomień o projektach norm europejskich, projektach europejskich dokumentów normalizacyjnych, projektach norm międzynarodowych oraz projektach innych technicznych informacji normalizacyjnych skierowanych do konsultacji publicznych nie później niż miesiąc przed terminem określonym w zawiadomieniu;</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 xml:space="preserve">zapewnienie konsultacji publicznych w sprawie projektów norm europejskich, projektów europejskich dokumentów normalizacyjnych, projektów norm międzynarodowych oraz projektów innych technicznych informacji normalizacyjnych z udziałem wszystkich osób, które domagają się udziału w konsultacjach publicznych, w terminie określonym w zawiadomieniu zamieszczonym na stronie internetowej Urzędu;</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 xml:space="preserve">ogłaszanie na swojej stronie internetowej wszystkich norm europejskich, europejskich dokumentów normalizacyjnych, norm międzynarodowych oraz innych technicznych informacji normalizacyjnych, które zostały wydane;</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udostępnia na swojej stronie internetowej kryteria opracowywania słowackich norm technicznych i technicznych informacji normalizacyjnych w języku urzędowym</w:t>
      </w:r>
      <w:r>
        <w:rPr>
          <w:color w:val="000000"/>
        </w:rPr>
        <w:t xml:space="preserve"> po zatwierdzeniu przez Radę Normalizacji Technicznej (zwaną dalej „Radą”) ustanowioną zgodnie z § 5;</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zapewnia, by słowackie normy techniczne i techniczne informacje normalizacyjne były opracowywane i unieważniane zgodnie z zasadami ustanowionymi przez europejskie organizacje normalizacyjne lub międzynarodowe jednostki normalizacyjne bądź zgodnie z zasadami ustanowionymi przez Urząd jako słowacką krajową jednostkę normalizacyjną;</w:t>
      </w:r>
      <w:r>
        <w:rPr>
          <w:color w:val="000000"/>
        </w:rPr>
        <w:t xml:space="preserve">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oznacza słowackie normy techniczne, słowackie tymczasowe normy techniczne oraz techniczne informacje normalizacyjne zgodnie z § 3 ust. 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weryfikuje, we współpracy z zainteresowanymi stronami</w:t>
      </w:r>
      <w:r>
        <w:rPr>
          <w:color w:val="000000"/>
          <w:vertAlign w:val="superscript"/>
        </w:rPr>
        <w:t xml:space="preserve">13)</w:t>
      </w:r>
      <w:r>
        <w:rPr>
          <w:color w:val="000000"/>
        </w:rPr>
        <w:t xml:space="preserve">, czy treść pierwotnych słowackich norm technicznych oraz pierwotnych technicznych informacji normalizacyjnych odpowiada aktualnemu stanowi nauki i technologii,</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zgłasza europejskim organizacjom normalizacyjnym zamiar przyjęcia nowej pierwotnej słowackiej normy technicznej;</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dostarcza, zgodnie z § 15, słowackie normy techniczne i ich korekty, techniczne informacje normalizacyjne i ich korekty, a także inne normy techniczne oraz ich zmiany i korekty;</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pobiera opłaty za dostarczanie słowackich norm technicznych, technicznych informacji normalizacyjnych oraz innych norm technicznych i ich zmian;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zamieszcza co miesiąc na swojej stronie internetowej wykaz słowackich norm technicznych i technicznych informacji normalizacyjnych oraz ich korekt zatwierdzonych w ramach systemu słowackich norm technicznych, których nie uznaje się za publicznie dostępne zgodnie z § 10 ust. 2;</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chroni słowackie normy techniczne, techniczne informacje normalizacyjne oraz inne normy techniczne i ich zmiany zgodnie z niniejszą ustawą;</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zapewnia wytyczne z zakresu metodyki opracowywania i dostarczania słowackich norm technicznych i ich korekt, technicznych informacji normalizacyjnych i ich korekt oraz innych norm technicznych i ich zmian oraz korekt, a także ukierunkowuje to opracowywanie i dostarczanie; udostępnia wytyczne z zakresu metodyki na swojej stronie internetowej;</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na swojej stronie internetowej prowadzi publicznie dostępny portal słowackich norm technicznych oraz technicznych informacji normalizacyjnych oraz ich korekt (zwany dalej „portalem”);</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odpowiada za poprawność językową i terminologiczną słowackich norm technicznych oraz technicznych informacji normalizacyjnych przyjętych w języku urzędowym.</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5</w:t>
      </w:r>
    </w:p>
    <w:p w:rsidR="00E16F77" w:rsidRPr="008015BE" w:rsidRDefault="00E16F77" w:rsidP="00BB519B">
      <w:pPr>
        <w:keepNext/>
        <w:keepLines/>
        <w:widowControl/>
        <w:shd w:val="clear" w:color="auto" w:fill="FFFFFF"/>
        <w:jc w:val="center"/>
        <w:rPr>
          <w:b/>
          <w:bCs/>
          <w:color w:val="000000"/>
        </w:rPr>
      </w:pPr>
      <w:r>
        <w:rPr>
          <w:b/>
          <w:color w:val="000000"/>
        </w:rPr>
        <w:t xml:space="preserve">Rada</w:t>
      </w:r>
    </w:p>
    <w:p w:rsidR="00E16F77" w:rsidRPr="00D06F2A"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Pr>
          <w:color w:val="000000"/>
        </w:rPr>
        <w:t xml:space="preserve">Rada jako organ ekspercki i doradczy przy przewodniczącym Urzędu:</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 xml:space="preserve">chroni niezależność Urzędu jako słowackiej krajowej jednostki normalizacyjnej;</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nadzoruje działanie Urzędu jako słowackiej krajowej jednostki normalizacyjnej w zakresie wykonywania zadań określonych w § 4 ust. 2 lit. a)</w:t>
      </w:r>
      <w:r>
        <w:rPr>
          <w:color w:val="000000"/>
        </w:rPr>
        <w:t xml:space="preserv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ocenia kwestie dotyczące koncepcji normalizacji technicznej na szczeblu krajowym, europejskim i międzynarodowym;</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przedkłada przewodniczącemu Urzędu strategiczne zalecenia dotyczące koncepcji polityki państwa w zakresie normalizacji technicznej w Republice Słowackiej pod kątem aktualnych wymagań dotyczących normalizacji krajowej, europejskiej i międzynarodowej oraz wymagań gospodarki krajowej;</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ocenia, czy Urząd jako słowacka krajowa jednostka normalizacyjna spełnia kryteria członkostwa europejskich organizacji normalizacyjnych;</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 xml:space="preserve">zatwierdza kryteria opracowywania słowackich norm technicznych w języku urzędowym;</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systematycznie ocenia działanie Urzędu jako krajowej jednostki normalizacyjnej, w tym realizację comiesięcznego wykazu zadań (zwanego dalej „planem normalizacji technicznej”);</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monitoruje procedury Urzędu jako słowackiej krajowej jednostki normalizacyjnej dotyczące działania komitetu technicznego;</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wydaje opinię na temat statutu komitetu technicznego oraz jego regulaminu;</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odpowiada na zapotrzebowanie publiczne lub wnioski organów publicznych w odniesieniu do opracowania projektów pierwotnych słowackich norm technicznych i ujmowania tych projektów w planie normalizacji technicznej;</w:t>
      </w:r>
      <w:r>
        <w:rPr>
          <w:color w:val="000000"/>
        </w:rPr>
        <w:t xml:space="preserve">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zatwierdza statut i regulamin Rady;</w:t>
      </w:r>
      <w:r>
        <w:rPr>
          <w:color w:val="000000"/>
        </w:rPr>
        <w:t xml:space="preserve">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wypełnia inne obowiązki określone w statucie Rady.</w:t>
      </w:r>
      <w:r>
        <w:rPr>
          <w:color w:val="000000"/>
        </w:rPr>
        <w:t xml:space="preserve"> </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 xml:space="preserve">Rada może liczyć maksymalnie 15 członków.</w:t>
      </w:r>
      <w:r>
        <w:rPr>
          <w:color w:val="000000"/>
        </w:rPr>
        <w:t xml:space="preserve"> </w:t>
      </w:r>
      <w:r>
        <w:rPr>
          <w:color w:val="000000"/>
        </w:rPr>
        <w:t xml:space="preserve">Członkowie Rady obejmują przedstawicieli zainteresowanych podmiotów oraz organów publicznych.</w:t>
      </w:r>
      <w:r>
        <w:rPr>
          <w:color w:val="000000"/>
        </w:rPr>
        <w:t xml:space="preserve"> </w:t>
      </w:r>
      <w:r>
        <w:rPr>
          <w:color w:val="000000"/>
        </w:rPr>
        <w:t xml:space="preserve">Liczba przedstawicieli organów publicznych w Radzie nie przekracza jednej trzeciej łącznej liczby członków Rady.</w:t>
      </w:r>
    </w:p>
    <w:p w:rsidR="00D0380A"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 xml:space="preserve">Członków Rady powołuje i usuwa przewodniczący Urzędu.</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 xml:space="preserve">Stanowisko członka Rady ma charakter honorowy i niezastępowalny.</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 xml:space="preserve">Skład, zadania, ramy organizacyjne i metodę postępowania Rady określają statut i regulamin, które wydaje Urząd.</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6</w:t>
      </w:r>
    </w:p>
    <w:p w:rsidR="00E16F77" w:rsidRPr="008015BE" w:rsidRDefault="00E16F77" w:rsidP="00BB519B">
      <w:pPr>
        <w:keepNext/>
        <w:keepLines/>
        <w:widowControl/>
        <w:shd w:val="clear" w:color="auto" w:fill="FFFFFF"/>
        <w:jc w:val="center"/>
        <w:rPr>
          <w:b/>
          <w:bCs/>
          <w:color w:val="000000"/>
        </w:rPr>
      </w:pPr>
      <w:r>
        <w:rPr>
          <w:b/>
          <w:color w:val="000000"/>
        </w:rPr>
        <w:t xml:space="preserve">Komitet techniczny</w:t>
      </w:r>
    </w:p>
    <w:p w:rsidR="00E16F77" w:rsidRPr="00D06F2A" w:rsidRDefault="00E16F77" w:rsidP="00B3535A">
      <w:pPr>
        <w:widowControl/>
        <w:shd w:val="clear" w:color="auto" w:fill="FFFFFF"/>
        <w:spacing w:before="120"/>
        <w:jc w:val="both"/>
        <w:rPr>
          <w:color w:val="000000"/>
        </w:rPr>
      </w:pPr>
      <w:r>
        <w:rPr>
          <w:color w:val="000000"/>
        </w:rPr>
        <w:t xml:space="preserve">Komitet techniczny stanowi organ doradczy Urzędu jako słowackiej krajowej jednostki normalizacyjnej i uczestniczy w opracowywaniu słowackich norm technicznych i technicznych informacji normalizacyjnych, procedurze konsultacyjnej, o której mowa w § 9 ust. 2 lit. b) i ust. 3 lit. c), oraz innych działaniach związanych z normalizacją techniczną.</w:t>
      </w:r>
      <w:r>
        <w:rPr>
          <w:color w:val="000000"/>
        </w:rPr>
        <w:t xml:space="preserve"> </w:t>
      </w:r>
      <w:r>
        <w:rPr>
          <w:color w:val="000000"/>
        </w:rPr>
        <w:t xml:space="preserve">Skład, zadania, ramy organizacyjne i metodę postępowania komitetu technicznego określa się w statucie i w regulaminie. Statut i regulamin wydaje Urząd jako słowacka krajowa jednostka normalizacyjna.</w:t>
      </w:r>
    </w:p>
    <w:p w:rsidR="00E16F77" w:rsidRPr="008015BE" w:rsidRDefault="00E16F77" w:rsidP="00BB519B">
      <w:pPr>
        <w:keepNext/>
        <w:keepLines/>
        <w:widowControl/>
        <w:shd w:val="clear" w:color="auto" w:fill="FFFFFF"/>
        <w:spacing w:before="360"/>
        <w:jc w:val="center"/>
        <w:rPr>
          <w:b/>
          <w:bCs/>
          <w:color w:val="000000"/>
        </w:rPr>
      </w:pPr>
      <w:r>
        <w:rPr>
          <w:b/>
          <w:color w:val="000000"/>
        </w:rPr>
        <w:t xml:space="preserve">Opracowywanie słowackich norm technicznych i technicznych informacji normalizacyjnych</w:t>
      </w:r>
    </w:p>
    <w:p w:rsidR="00E16F77" w:rsidRPr="008015BE" w:rsidRDefault="00E16F77" w:rsidP="00BB519B">
      <w:pPr>
        <w:keepNext/>
        <w:keepLines/>
        <w:widowControl/>
        <w:shd w:val="clear" w:color="auto" w:fill="FFFFFF"/>
        <w:jc w:val="center"/>
        <w:rPr>
          <w:b/>
          <w:bCs/>
          <w:color w:val="000000"/>
        </w:rPr>
      </w:pPr>
      <w:r>
        <w:rPr>
          <w:b/>
          <w:color w:val="000000"/>
        </w:rPr>
        <w:t xml:space="preserve">§ 7</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 xml:space="preserve">Zapewniając realizację działań, o których mowa w § 4 ust. 2 lit. d), Urząd jako słowacka krajowa jednostka normalizacyjna współpracuje z komitetem technicznym i zainteresowanymi stronami, w tym małymi</w:t>
      </w:r>
      <w:r>
        <w:rPr>
          <w:color w:val="000000"/>
          <w:vertAlign w:val="superscript"/>
        </w:rPr>
        <w:t xml:space="preserve">14)</w:t>
      </w:r>
      <w:r>
        <w:rPr>
          <w:color w:val="000000"/>
        </w:rPr>
        <w:t xml:space="preserve"> i średnimi przedsiębiorstwami</w:t>
      </w:r>
      <w:r>
        <w:rPr>
          <w:color w:val="000000"/>
          <w:vertAlign w:val="superscript"/>
        </w:rPr>
        <w:t xml:space="preserve">15)</w:t>
      </w:r>
      <w:r>
        <w:rPr>
          <w:color w:val="000000"/>
        </w:rPr>
        <w:t xml:space="preserve">, organami publicznymi oraz osobą prawną lub fizyczną odpowiadającą za wykonanie zadania normalizacyjnego (zwaną dalej „autorem”) na podstawie umowy z Urzędem jako słowacką krajową jednostką normalizacyjną.</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 xml:space="preserve">Podczas opracowywania słowackich norm technicznych i technicznych informacji normalizacyjnych autor i Urząd jako słowacka krajowa jednostka normalizacyjna postępują zgodnie z § 8–10, zasadami europejskich organizacji normalizacyjnych, zasadami międzynarodowej jednostki normalizacyjnej oraz wytycznymi z zakresu metodyki opracowanymi przez Urząd jako słowacką krajową jednostkę normalizacyjną i udostępnionymi na stronie internetowej Urzędu jako słowackiej krajowej jednostki normalizacyjnej.</w:t>
      </w:r>
    </w:p>
    <w:p w:rsidR="00E16F77" w:rsidRPr="00D06F2A"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 xml:space="preserve">Opracowywanie słowackich norm technicznych i technicznych informacji normalizacyjnych obejmuje:</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 xml:space="preserve">opracowanie planu normalizacji technicznej;</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 xml:space="preserve">opracowanie projektu słowackiej normy technicznej lub technicznej informacji normalizacyjnej;</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 xml:space="preserve">przyjęcie słowackiej normy technicznej lub technicznej informacji normalizacyjnej oraz jej ogłoszenie.</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8</w:t>
      </w:r>
    </w:p>
    <w:p w:rsidR="00E16F77" w:rsidRPr="008015BE" w:rsidRDefault="00E16F77" w:rsidP="00BB519B">
      <w:pPr>
        <w:keepNext/>
        <w:keepLines/>
        <w:widowControl/>
        <w:shd w:val="clear" w:color="auto" w:fill="FFFFFF"/>
        <w:jc w:val="center"/>
        <w:rPr>
          <w:b/>
          <w:bCs/>
          <w:color w:val="000000"/>
        </w:rPr>
      </w:pPr>
      <w:r>
        <w:rPr>
          <w:b/>
          <w:color w:val="000000"/>
        </w:rPr>
        <w:t xml:space="preserve">Opracowanie planu normalizacji technicznej</w:t>
      </w:r>
    </w:p>
    <w:p w:rsidR="00D0380A"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 xml:space="preserve">Urząd jako słowacka krajowa jednostka normalizacyjna opracowuje plan normalizacji technicznej i zamieszcza go na swojej stronie internetowej nie później niż dziesiątego dnia miesiąca kalendarzowego następującego po miesiącu, w którym plan normalizacji technicznej został opracowany.</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 xml:space="preserve">W odniesieniu do norm europejskich, europejskich dokumentów normalizacyjnych, norm międzynarodowych oraz innych technicznych informacji normalizacyjnych Urząd jako słowacka krajowa jednostka normalizacyjna określa w planie normalizacji technicznej sposób ich zatwierdzania w ramach systemu słowackich norm technicznych. Sposób ten może obejmować transpozycję:</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 xml:space="preserve">przez tłumaczenie na język urzędowy;</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 xml:space="preserve">bez tłumaczenia na język urzędowy; lub</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 xml:space="preserve">bez tłumaczenia na język urzędowy z adnotacją w języku urzędowym.</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 xml:space="preserve">Urząd jako słowacka krajowa jednostka normalizacyjna wskazuje w planie normalizacji technicznej zamiar opracowania projektu pierwotnej słowackiej normy technicznej lub pierwotnej technicznej informacji normalizacyjnej, który postanowił opracować i zatwierdzić w ramach systemu słowackich norm technicznych.</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9</w:t>
      </w:r>
    </w:p>
    <w:p w:rsidR="00E16F77" w:rsidRPr="008015BE" w:rsidRDefault="00E16F77" w:rsidP="00BB519B">
      <w:pPr>
        <w:keepNext/>
        <w:keepLines/>
        <w:widowControl/>
        <w:shd w:val="clear" w:color="auto" w:fill="FFFFFF"/>
        <w:jc w:val="center"/>
        <w:rPr>
          <w:b/>
          <w:bCs/>
          <w:color w:val="000000"/>
        </w:rPr>
      </w:pPr>
      <w:r>
        <w:rPr>
          <w:b/>
          <w:color w:val="000000"/>
        </w:rPr>
        <w:t xml:space="preserve">Opracowywanie projektów słowackich norm technicznych i technicznych informacji normalizacyjnych</w:t>
      </w:r>
      <w:r>
        <w:rPr>
          <w:b/>
          <w:color w:val="000000"/>
        </w:rPr>
        <w:t xml:space="preserve"> </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Podczas opracowywania projektów pierwotnych słowackich norm technicznych lub pierwotnych technicznych informacji normalizacyjnych lub podczas opracowywania projektów słowackich norm technicznych lub technicznych informacji normalizacyjnych w sposób, o którym mowa w § 8 ust. 2 lit. a) lub c), Urząd jako słowacka krajowa jednostka normalizacyjna wybiera autora zgodnie z odrębnymi przepisami</w:t>
      </w:r>
      <w:r>
        <w:rPr>
          <w:color w:val="000000"/>
          <w:vertAlign w:val="superscript"/>
        </w:rPr>
        <w:t xml:space="preserve">16)</w:t>
      </w:r>
      <w:r>
        <w:rPr>
          <w:color w:val="000000"/>
        </w:rPr>
        <w:t xml:space="preserve">. Tej procedury nie stosuje się, jeżeli Urząd nie pokrywa kosztów opracowania projektu słowackiej normy technicznej lub technicznej informacji normalizacyjnej.</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Podczas opracowywania projektu pierwotnej słowackiej normy technicznej lub pierwotnej technicznej informacji normalizacyjnej autor lub Urząd jako słowacka krajowa jednostka normalizacyjna:</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 xml:space="preserve">opracowuje projekt pierwotnej słowackiej normy technicznej lub pierwotnej technicznej informacji normalizacyjnej;</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 xml:space="preserve">przedstawia projekt pierwotnej słowackiej normy technicznej lub projekt pierwotnej technicznej informacji normalizacyjnej do zaopiniowania członkom komitetu technicznego lub członkom grupy roboczej powołanej do tego celu;</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 xml:space="preserve">modyfikuje projekt pierwotnej słowackiej normy technicznej lub projekt pierwotnej technicznej informacji normalizacyjnej zgodnie z opiniami przedstawionymi przez komitet techniczny lub grupę roboczą powołaną w tym celu; Urząd jako słowacka krajowa jednostka normalizacyjna następnie przedstawia zmodyfikowany projekt do konsultacji publicznych przez zamieszczenie zawiadomienia o nim na swojej stronie internetowej w ciągu 15 dni od daty otrzymania projektu pierwotnej słowackiej normy technicznej lub pierwotnej technicznej informacji normalizacyjnej; jeśli Urząd jako słowacka krajowa jednostka normalizacyjna opracował projekt pierwotnej słowackiej normy technicznej lub projekt pierwotnej technicznej informacji normalizacyjnej, przedstawia go do konsultacji publicznych przez zamieszczenie zawiadomienia na swojej stronie internetowej bez zwłoki i nie później niż w ciągu 15 dni od chwili ukończenia projektu; oraz</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 xml:space="preserve">modyfikuje projekt pierwotnej słowackiej normy technicznej lub projekt pierwotnej technicznej informacji normalizacyjnej zgodnie z uwagami zebranymi podczas konsultacji publicznych.</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Podczas opracowywania słowackich norm technicznych lub technicznych informacji normalizacyjnych w sposób określony w § 8 ust. 2 lit. a) lub (c) autor lub Urząd jako słowacka krajowa jednostka normalizacyjna:</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 xml:space="preserve">opracowuje projekt słowackiej normy technicznej lub technicznej informacji normalizacyjnej;</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 xml:space="preserve">przedstawia opracowany projekt słowackiej normy technicznej lub technicznej informacji normalizacyjnej do zaopiniowania członkom komitetu technicznego oraz wszelkim osobom, które domagają się udziału w konsultacjach, w terminie określonym w planie normalizacji technicznej zamieszczonym na stronie internetowej Urzędu jako słowackiej krajowej jednostki normalizacyjnej;</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 xml:space="preserve">modyfikuje projekt słowackiej normy technicznej lub technicznej informacji normalizacyjnej zgodnie z opiniami komitetu technicznego lub osób, które domagały się udziału w konsultacjach.</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Podczas opracowywania słowackich norm technicznych lub technicznych informacji normalizacyjnych w sposób określony w § 8 ust. 2 lit. b) Urząd jako słowacka krajowa jednostka normalizacyjna opracowuje tytuł słowackiej normy technicznej lub technicznej informacji normalizacyjnej w języku urzędowym.</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Podczas opracowywania słowackiej normy technicznej lub technicznej informacji normalizacyjnej autor lub Urząd jako słowacka krajowa jednostka normalizacyjna zapewnia zgodność projektu słowackiej normy technicznej i projektu technicznej informacji normalizacyjnej ze słowackimi normami technicznymi i technicznymi informacjami normalizacyjnymi, które przyjęto i ogłoszono, a także zgodność projektu słowackiej normy technicznej i projektu technicznej informacji normalizacyjnej z aktami o zasięgu ogólnym oraz prawnie wiążącymi aktami Unii Europejskiej.</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Po wykonaniu czynności, o których mowa w ust. 2, 3 lub 4, Urząd jako słowacka krajowa jednostka normalizacyjna zapewnia weryfikację projektu pod kątem językowym i terminologicznym.</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10</w:t>
      </w:r>
    </w:p>
    <w:p w:rsidR="00E16F77" w:rsidRPr="008015BE" w:rsidRDefault="00E16F77" w:rsidP="00BB519B">
      <w:pPr>
        <w:keepNext/>
        <w:keepLines/>
        <w:widowControl/>
        <w:shd w:val="clear" w:color="auto" w:fill="FFFFFF"/>
        <w:jc w:val="center"/>
        <w:rPr>
          <w:b/>
          <w:bCs/>
          <w:color w:val="000000"/>
        </w:rPr>
      </w:pPr>
      <w:r>
        <w:rPr>
          <w:b/>
          <w:color w:val="000000"/>
        </w:rPr>
        <w:t xml:space="preserve">Przyjęcie i ogłoszenie przyjęcia słowackich norm technicznych i technicznych informacji normalizacyjnych</w:t>
      </w:r>
      <w:r>
        <w:rPr>
          <w:b/>
          <w:color w:val="000000"/>
        </w:rPr>
        <w:t xml:space="preserve"> </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 xml:space="preserve">Po opracowaniu projektu słowackiej normy technicznej lub projektu technicznej informacji normalizacyjnej zgodnie z § 9 Urząd jako słowacka krajowa jednostka normalizacyjna zatwierdza słowacką normę techniczną lub techniczną informację normalizacyjną w ramach systemu słowackich norm technicznych.</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 xml:space="preserve">Urząd ogłasza przyjęcie słowackiej normy technicznej lub technicznej informacji normalizacyjnej w Dzienniku Urzędowym bądź, w uzasadnionych przypadkach, na swojej stronie internetowej.</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 xml:space="preserve">Słowackie normy techniczne lub techniczne informacje normalizacyjne wchodzą w życie pierwszego dnia miesiąca kalendarzowego następującego po miesiącu, w którym nastąpiło ich ogłoszenie w Dzienniku Urzędowym, bądź, w przypadku ogłoszenia na stronie internetowej Urzędu, w dniu ogłoszenia.</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11</w:t>
      </w:r>
    </w:p>
    <w:p w:rsidR="00E16F77" w:rsidRPr="008015BE" w:rsidRDefault="00E16F77" w:rsidP="00BB519B">
      <w:pPr>
        <w:keepNext/>
        <w:keepLines/>
        <w:widowControl/>
        <w:shd w:val="clear" w:color="auto" w:fill="FFFFFF"/>
        <w:jc w:val="center"/>
        <w:rPr>
          <w:b/>
          <w:bCs/>
          <w:color w:val="000000"/>
        </w:rPr>
      </w:pPr>
      <w:r>
        <w:rPr>
          <w:b/>
          <w:color w:val="000000"/>
        </w:rPr>
        <w:t xml:space="preserve">Zmiany w słowackich normach technicznych, a także korekty i unieważnianie słowackich norm technicznych oraz technicznych informacji normalizacyjnych</w:t>
      </w:r>
      <w:r>
        <w:rPr>
          <w:b/>
          <w:color w:val="000000"/>
        </w:rPr>
        <w:t xml:space="preserve"> </w:t>
      </w:r>
    </w:p>
    <w:p w:rsidR="00E16F77" w:rsidRPr="00D06F2A" w:rsidRDefault="00E16F77" w:rsidP="00B3535A">
      <w:pPr>
        <w:widowControl/>
        <w:shd w:val="clear" w:color="auto" w:fill="FFFFFF"/>
        <w:spacing w:before="120"/>
        <w:jc w:val="both"/>
        <w:rPr>
          <w:color w:val="000000"/>
        </w:rPr>
      </w:pPr>
      <w:r>
        <w:rPr>
          <w:color w:val="000000"/>
        </w:rPr>
        <w:t xml:space="preserve">Podczas zmiany, korekty lub unieważniania słowackich norm technicznych lub technicznych informacji normalizacyjnych Urząd jako słowacka krajowa jednostka normalizacyjna postępuje </w:t>
      </w:r>
      <w:r>
        <w:rPr>
          <w:color w:val="000000"/>
          <w:i/>
        </w:rPr>
        <w:t xml:space="preserve">mutatis mutandis</w:t>
      </w:r>
      <w:r>
        <w:rPr>
          <w:color w:val="000000"/>
        </w:rPr>
        <w:t xml:space="preserve"> zgodnie z § 8–10.</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12</w:t>
      </w:r>
    </w:p>
    <w:p w:rsidR="00E16F77" w:rsidRPr="008015BE" w:rsidRDefault="00E16F77" w:rsidP="00BB519B">
      <w:pPr>
        <w:keepNext/>
        <w:keepLines/>
        <w:widowControl/>
        <w:shd w:val="clear" w:color="auto" w:fill="FFFFFF"/>
        <w:jc w:val="center"/>
        <w:rPr>
          <w:b/>
          <w:bCs/>
          <w:color w:val="000000"/>
        </w:rPr>
      </w:pPr>
      <w:r>
        <w:rPr>
          <w:b/>
          <w:color w:val="000000"/>
        </w:rPr>
        <w:t xml:space="preserve">Wydatki na opracowywanie słowackich norm technicznych i technicznych informacji normalizacyjnych</w:t>
      </w:r>
      <w:r>
        <w:rPr>
          <w:b/>
          <w:color w:val="000000"/>
        </w:rPr>
        <w:t xml:space="preserve"> </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 xml:space="preserve">Wydatki na opracowanie w języku urzędowym oraz korekty słowackich norm technicznych i technicznych informacji normalizacyjnych, które spełniają kryteria przyjęte i opublikowane zgodnie z § 4 ust. 2 lit. c), ponosi Urząd.</w:t>
      </w:r>
      <w:r>
        <w:rPr>
          <w:color w:val="000000"/>
        </w:rPr>
        <w:t xml:space="preserve"> </w:t>
      </w:r>
      <w:r>
        <w:rPr>
          <w:color w:val="000000"/>
        </w:rPr>
        <w:t xml:space="preserve">W przeciwnym przypadku wydatki na opracowanie projektów słowackich norm technicznych i technicznych informacji normalizacyjnych w języku urzędowym ponosi strona, która wnioskowała o ich opracowanie.</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 xml:space="preserve">Wydatki na opracowanie projektów w języku urzędowym słowackich norm technicznych, do których bezpośrednie odniesienie znajduje się w tekście aktu o zasięgu ogólnym, oraz wydatki na dostarczanie słowackich norm technicznych, do których bezpośrednie odniesienie znajduje się w tekście aktu o zasięgu ogólnym, ponosi organ rządowy odpowiadający za przedłożenie projektu aktu o zasięgu ogólnym,w którym znajduje się bezpośrednie odniesienie do słowackiej normy technicznej.</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13</w:t>
      </w:r>
    </w:p>
    <w:p w:rsidR="00E16F77" w:rsidRPr="008015BE" w:rsidRDefault="00E16F77" w:rsidP="00BB519B">
      <w:pPr>
        <w:keepNext/>
        <w:keepLines/>
        <w:widowControl/>
        <w:shd w:val="clear" w:color="auto" w:fill="FFFFFF"/>
        <w:jc w:val="center"/>
        <w:rPr>
          <w:b/>
          <w:bCs/>
          <w:color w:val="000000"/>
        </w:rPr>
      </w:pPr>
      <w:r>
        <w:rPr>
          <w:b/>
          <w:color w:val="000000"/>
        </w:rPr>
        <w:t xml:space="preserve">Zharmonizowane normy techniczne i słowackie normy techniczne przydatne do oceny zgodności</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 xml:space="preserve">Przestrzeganie zharmonizowanej normy technicznej</w:t>
      </w:r>
      <w:r>
        <w:rPr>
          <w:color w:val="000000"/>
          <w:vertAlign w:val="superscript"/>
        </w:rPr>
        <w:t xml:space="preserve">17)</w:t>
      </w:r>
      <w:r>
        <w:rPr>
          <w:color w:val="000000"/>
        </w:rPr>
        <w:t xml:space="preserve"> lub słowackiej normy technicznej przydatnej do oceny zgodności bądź ich części uznaje się za zgodność z wymaganiami technicznymi ustanowionymi w regulacji technicznej, do której ma zastosowanie zharmonizowana norma techniczna lub słowacka norma techniczna przydatna do oceny zgodności lub ich część.</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 xml:space="preserve">W przypadku braku zharmonizowanej normy technicznej Urząd, po konsultacji z odpowiednim ministerstwem lub innym organem rządowym, wskazuje słowacką normę techniczną przydatną do oceny zgodności.</w:t>
      </w:r>
      <w:r>
        <w:rPr>
          <w:color w:val="000000"/>
        </w:rPr>
        <w:t xml:space="preserve"> </w:t>
      </w:r>
      <w:r>
        <w:rPr>
          <w:color w:val="000000"/>
        </w:rPr>
        <w:t xml:space="preserve">Wskazanie słowackiej normy technicznej przydatnej do oceny zgodności jest ogłaszane przez Urząd w Dzienniku Urzędowym.</w:t>
      </w:r>
      <w:r>
        <w:rPr>
          <w:color w:val="000000"/>
        </w:rPr>
        <w:t xml:space="preserve"> </w:t>
      </w:r>
      <w:r>
        <w:rPr>
          <w:color w:val="000000"/>
        </w:rPr>
        <w:t xml:space="preserve">W ogłoszeniu Urząd podaje tytuł regulacji technicznej, do której ma zastosowanie słowacka norma techniczna przydatna do oceny zgodności.</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 xml:space="preserve">Zastrzeżenia do zharmonizowanych norm technicznych określonych w odrębnych przepisach</w:t>
      </w:r>
      <w:r>
        <w:rPr>
          <w:color w:val="000000"/>
          <w:vertAlign w:val="superscript"/>
        </w:rPr>
        <w:t xml:space="preserve">18)</w:t>
      </w:r>
      <w:r>
        <w:rPr>
          <w:color w:val="000000"/>
        </w:rPr>
        <w:t xml:space="preserve"> są wnoszone przez Urząd z inicjatywy odpowiedniego ministerstwa, innych organów rządowych lub organu nadzoru.</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 xml:space="preserve">Wnioski o uchylenie wskazania słowackiej normy technicznej jako przydatnej do oceny zgodności są przedkładane przez odpowiednie ministerstwo lub organ rządowy w Urzędzie, który ogłasza uchylenie wskazania słowackiej normy technicznej jako przydatnej do oceny zgodności w Dzienniku Urzędowym.</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14</w:t>
      </w:r>
    </w:p>
    <w:p w:rsidR="00E16F77" w:rsidRPr="008015BE" w:rsidRDefault="00E16F77" w:rsidP="00BB519B">
      <w:pPr>
        <w:keepNext/>
        <w:keepLines/>
        <w:widowControl/>
        <w:shd w:val="clear" w:color="auto" w:fill="FFFFFF"/>
        <w:jc w:val="center"/>
        <w:rPr>
          <w:b/>
          <w:bCs/>
          <w:color w:val="000000"/>
        </w:rPr>
      </w:pPr>
      <w:r>
        <w:rPr>
          <w:b/>
          <w:color w:val="000000"/>
        </w:rPr>
        <w:t xml:space="preserve">Środki ochrony słowackich norm technicznych i technicznych informacji normalizacyjnych</w:t>
      </w:r>
      <w:r>
        <w:rPr>
          <w:b/>
          <w:color w:val="000000"/>
        </w:rPr>
        <w:t xml:space="preserve"> </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 xml:space="preserve">Nazwy „słowacka norma techniczna” i symbolu „STN”, nazwy „słowacka tymczasowa norma techniczna” i symbolu „STN P” oraz nazwy „techniczna informacja normalizacyjna” i symbolu „TNI” nie można stosować w celu identyfikacji innych dokumentów.</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 xml:space="preserve">Urzędowi jako słowackiej krajowej jednostce normalizacyjnej przysługuje odszkodowanie w związku z wszelkimi płatnościami otrzymanymi za dostarczenie słowackiej normy technicznej, słowackiej tymczasowej normy technicznej lub technicznej informacji normalizacyjnej, lub każde powielenie słowackiej normy technicznej, słowackiej tymczasowej normy technicznej lub technicznej informacji normalizacyjnej przez osobę, która nie otrzymała na to zezwolenia Urzędu jako słowackiej krajowej jednostki normalizacyjnej.</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 xml:space="preserve">Nieuprawnione rozpowszechniane słowackich norm technicznych lub technicznych informacji normalizacyjnych oznacza dostarczanie słowackiej normy technicznej lub technicznej informacji normalizacyjnej bądź ich części, w tym oferowanie ich dostarczania, bez względu na środek i formę, bez zezwolenia Urzędu jako słowackiej krajowej jednostki normalizacyjnej.</w:t>
      </w:r>
    </w:p>
    <w:p w:rsidR="00E16F77" w:rsidRPr="00D06F2A"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Pr>
          <w:color w:val="000000"/>
        </w:rPr>
        <w:t xml:space="preserve">Następujących czynności nie uznaje się za nieuprawnione powielanie lub rozpowszechnianie słowackich norm technicznych lub technicznych informacji normalizacyjnych:</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 xml:space="preserve">cytowanie fragmentu słowackiej normy technicznej lub technicznej informacji normalizacyjnej, jeśli Urząd jako słowacka krajowa jednostka normalizacyjna udzielił zezwolenia na cytowanie tego fragmentu słowackiej normy technicznej lub technicznej informacji normalizacyjnej na podstawie wniosku;</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 xml:space="preserve">informowanie o słowackiej normie technicznej i technicznej informacji normalizacyjnej ogłoszonej w Dzienniku Urzędowym lub zamieszczonej na stronie internetowej Urzędu zgodnie z § 10 ust. 2.</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 xml:space="preserve">Urząd jako słowacka krajowa jednostka normalizacyjna udziela zezwolenia na cytowanie fragmentu słowackiej normy technicznej lub technicznej informacji normalizacyjnej za opłatą bez zwłoki i nie później niż w ciągu 30 dni od otrzymania wniosku o zezwolenie.</w:t>
      </w:r>
      <w:r>
        <w:rPr>
          <w:color w:val="000000"/>
        </w:rPr>
        <w:t xml:space="preserve"> </w:t>
      </w:r>
      <w:r>
        <w:rPr>
          <w:color w:val="000000"/>
        </w:rPr>
        <w:t xml:space="preserve">Wniosek zawiera w szczególności dane identyfikacyjne wnioskodawcy, cel i zakres cytowania fragmentu słowackiej normy technicznej lub technicznej informacji normalizacyjnej oraz tytuł słowackiej normy technicznej lub technicznej informacji normalizacyjnej, z której będzie pochodził cytat.</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 xml:space="preserve">Urząd jako słowacka krajowa jednostka normalizacyjna udziela zezwolenia na bezpłatne cytowanie fragmentu słowackiej normy technicznej lub technicznej informacji normalizacyjnej bezzwłocznie, nie później niż w ciągu dziesięciu dni od otrzymania wniosku o zezwolenie, do celów:</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 xml:space="preserve">zapewnienia:</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 xml:space="preserve">kształcenia i szkoleń zgodnie z odrębnymi przepisami</w:t>
      </w:r>
      <w:r>
        <w:rPr>
          <w:color w:val="000000"/>
          <w:vertAlign w:val="superscript"/>
        </w:rPr>
        <w:t xml:space="preserve">19)</w:t>
      </w:r>
      <w:r>
        <w:rPr>
          <w:color w:val="000000"/>
        </w:rPr>
        <w:t xml:space="preserve">;</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 xml:space="preserve">kształcenia w ramach akredytowanego programu studiów uniwersyteckich; lub</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 xml:space="preserve">kształcenia ustawicznego i poświadczania kwalifikacji nauczycieli oraz wyspecjalizowanego personelu szkolnego</w:t>
      </w:r>
      <w:r>
        <w:rPr>
          <w:color w:val="000000"/>
          <w:vertAlign w:val="superscript"/>
        </w:rPr>
        <w:t xml:space="preserve">20)</w:t>
      </w:r>
      <w:r>
        <w:rPr>
          <w:color w:val="000000"/>
        </w:rPr>
        <w:t xml:space="preserve"> o niekomercyjnym charakterze;</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 xml:space="preserve">opracowania i obrony:</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 xml:space="preserve">kompleksowego referatu technicznego, projektu lub pracy konkursowej bądź końcowej pracy egzaminacyjnej w kontekście kształcenia i szkoleń</w:t>
      </w:r>
      <w:r>
        <w:rPr>
          <w:color w:val="000000"/>
          <w:vertAlign w:val="superscript"/>
        </w:rPr>
        <w:t xml:space="preserve">21)</w:t>
      </w:r>
      <w:r>
        <w:rPr>
          <w:color w:val="000000"/>
        </w:rPr>
        <w:t xml:space="preserve">;</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 xml:space="preserve">uniwersyteckiej pracy magisterskiej</w:t>
      </w:r>
      <w:r>
        <w:rPr>
          <w:color w:val="000000"/>
          <w:vertAlign w:val="superscript"/>
        </w:rPr>
        <w:t xml:space="preserve">22)</w:t>
      </w:r>
      <w:r>
        <w:rPr>
          <w:color w:val="000000"/>
        </w:rPr>
        <w:t xml:space="preserve">; lub</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 xml:space="preserve">pracy końcowej w kontekście kształcenia ustawicznego nauczycieli i wyspecjalizowanego personelu szkolnego o niekomercyjnym charakterze oraz prac związanych z poświadczaniem kwalifikacji nauczycieli i wyspecjalizowanego personelu szkolnego</w:t>
      </w:r>
      <w:r>
        <w:rPr>
          <w:color w:val="000000"/>
          <w:vertAlign w:val="superscript"/>
        </w:rPr>
        <w:t xml:space="preserve">23)</w:t>
      </w:r>
      <w:r>
        <w:rPr>
          <w:color w:val="000000"/>
        </w:rPr>
        <w:t xml:space="preserve">.</w:t>
      </w:r>
    </w:p>
    <w:p w:rsidR="00B3535A" w:rsidRPr="00D06F2A" w:rsidRDefault="00E16F77" w:rsidP="00BB519B">
      <w:pPr>
        <w:keepNext/>
        <w:keepLines/>
        <w:widowControl/>
        <w:shd w:val="clear" w:color="auto" w:fill="FFFFFF"/>
        <w:spacing w:before="360"/>
        <w:jc w:val="center"/>
        <w:rPr>
          <w:b/>
          <w:bCs/>
          <w:color w:val="000000"/>
        </w:rPr>
      </w:pPr>
      <w:r>
        <w:rPr>
          <w:b/>
          <w:color w:val="000000"/>
        </w:rPr>
        <w:t xml:space="preserve">§ 15</w:t>
      </w:r>
    </w:p>
    <w:p w:rsidR="00E16F77" w:rsidRPr="008015BE" w:rsidRDefault="00E16F77" w:rsidP="00BB519B">
      <w:pPr>
        <w:keepNext/>
        <w:keepLines/>
        <w:widowControl/>
        <w:shd w:val="clear" w:color="auto" w:fill="FFFFFF"/>
        <w:jc w:val="center"/>
        <w:rPr>
          <w:b/>
          <w:bCs/>
          <w:color w:val="000000"/>
        </w:rPr>
      </w:pPr>
      <w:r>
        <w:rPr>
          <w:b/>
          <w:color w:val="000000"/>
        </w:rPr>
        <w:t xml:space="preserve">Dostarczanie słowackich norm technicznych, technicznych informacji normalizacyjnych, innych norm technicznych i Dziennika Urzędowego</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Słowackie normy techniczne, techniczne informacje normalizacyjne, inne normy techniczne oraz ich zmiany, a także Dziennik Urzędowy dostarcza się za opłatą, o ile nie przewidziano inaczej w ust. 4.</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Słowackie normy techniczne i techniczne informacje normalizacyjne oraz ich korekty dostarcza się w formie drukowanej lub elektronicznej bądź za pośrednictwem portalu.</w:t>
      </w:r>
      <w:r>
        <w:rPr>
          <w:color w:val="000000"/>
        </w:rPr>
        <w:t xml:space="preserve"> </w:t>
      </w:r>
      <w:r>
        <w:rPr>
          <w:color w:val="000000"/>
        </w:rPr>
        <w:t xml:space="preserve">Inne normy techniczne oraz ich zmiany i korekty, a także inne techniczne informacje normalizacyjne i ich korekty dostarcza się w formie drukowanej.</w:t>
      </w:r>
      <w:r>
        <w:rPr>
          <w:color w:val="000000"/>
        </w:rPr>
        <w:t xml:space="preserve"> </w:t>
      </w:r>
      <w:r>
        <w:rPr>
          <w:color w:val="000000"/>
        </w:rPr>
        <w:t xml:space="preserve">Dalsze informacje o portalu Urząd jako słowacka krajowa jednostka normalizacyjna zamieszcza na swojej stronie internetowej.</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Urząd jako słowacka krajowa jednostka normalizacyjna dostarcza słowackie normy techniczne bezpłatnie zgodnie z § 12 ust. 2 za pośrednictwem portalu każdej osobie, która tego zażąda; ta zasada nie stanowi uszczerbku dla obowiązku organów rządowych określonego w § 12 ust. 2.</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Autorzy pierwotnych słowackich norm technicznych lub pierwotnych technicznych informacji normalizacyjnych są uprawnieni do otrzymania jednego bezpłatnego egzemplarza drukowanego pierwotnej słowackiej normy technicznej lub pierwotnej technicznej informacji normalizacyjnej, w której opracowywaniu brali udział.</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Korekty słowackich norm technicznych, technicznych informacji normalizacyjnych, innych norm technicznych oraz innych technicznych informacji normalizacyjnych są wykonywane bezpłatnie przez Urząd jako słowacką krajową jednostkę normalizacyjną.</w:t>
      </w:r>
    </w:p>
    <w:p w:rsidR="00E16F77" w:rsidRPr="00D06F2A"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Pr>
          <w:color w:val="000000"/>
        </w:rPr>
        <w:t xml:space="preserve">Do zwrotu opłaty za dostarczenie słowackich norm technicznych, technicznych informacji normalizacyjnych oraz innych norm technicznych i ich zmian w postaci drukowanej uprawnia:</w:t>
      </w:r>
      <w:r>
        <w:rPr>
          <w:color w:val="000000"/>
        </w:rPr>
        <w:t xml:space="preserve">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brak części tekstu lub strony; bądź</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uszkodzenie oprawy.</w:t>
      </w:r>
      <w:r>
        <w:rPr>
          <w:color w:val="000000"/>
        </w:rPr>
        <w:t xml:space="preserve"> </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Do zwrotu opłaty za dostarczenie słowackich norm technicznych lub technicznych informacji normalizacyjnych w formie elektronicznej uprawnia uszkodzenie nośnika pamięci, na którym zapisano słowacką normę techniczną lub techniczną informację normalizacyjną.</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 xml:space="preserve">O zwrot opłaty, o którym mowa w ust. (6) i (7), można ubiegać się po otrzymaniu słowackiej normy technicznej, technicznej informacji normalizacyjnej lub innej normy technicznej oraz ich zmian; Urząd jako słowacka krajowa jednostka normalizacyjna może zamiast dokonywać zwrotu opłaty za dostarczenie słowackiej normy technicznej, technicznej informacji normalizacyjnej lub innej normy technicznej oraz ich zmian, dostarczyć kompletny, nieuszkodzony drukowany egzemplarz słowackiej normy technicznej, technicznej informacji normalizacyjnej lub innej normy technicznej oraz ich zmian bądź nieuszkodzony nośnik pamięci, na którym zapisano słowacką normę techniczną lub techniczną informację normalizacyjną w formie elektronicznej.</w:t>
      </w:r>
    </w:p>
    <w:p w:rsidR="00E16F77" w:rsidRPr="008015BE" w:rsidRDefault="00E16F77" w:rsidP="00BB519B">
      <w:pPr>
        <w:keepNext/>
        <w:keepLines/>
        <w:widowControl/>
        <w:shd w:val="clear" w:color="auto" w:fill="FFFFFF"/>
        <w:spacing w:before="360"/>
        <w:jc w:val="center"/>
        <w:rPr>
          <w:b/>
          <w:bCs/>
          <w:color w:val="000000"/>
        </w:rPr>
      </w:pPr>
      <w:r>
        <w:rPr>
          <w:b/>
          <w:color w:val="000000"/>
        </w:rPr>
        <w:t xml:space="preserve">Wykroczenia i inne przestępstwa administracyjne</w:t>
      </w:r>
    </w:p>
    <w:p w:rsidR="00E16F77" w:rsidRPr="008015BE" w:rsidRDefault="00E16F77" w:rsidP="00BB519B">
      <w:pPr>
        <w:keepNext/>
        <w:keepLines/>
        <w:widowControl/>
        <w:shd w:val="clear" w:color="auto" w:fill="FFFFFF"/>
        <w:jc w:val="center"/>
        <w:rPr>
          <w:b/>
          <w:bCs/>
          <w:color w:val="000000"/>
        </w:rPr>
      </w:pPr>
      <w:r>
        <w:rPr>
          <w:b/>
          <w:color w:val="000000"/>
        </w:rPr>
        <w:t xml:space="preserve">§ 16</w:t>
      </w:r>
    </w:p>
    <w:p w:rsidR="00E16F77" w:rsidRPr="00D06F2A"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Pr>
          <w:color w:val="000000"/>
        </w:rPr>
        <w:t xml:space="preserve">Popełnia wykroczenie ten, kto:</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 xml:space="preserve">rozpowszechnia słowacką tymczasową normę techniczną lub techniczną informację normalizacyjną bądź; ich część bez zezwolenia,</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 xml:space="preserve">oznacza dokument symbolem „STN P” bez zezwolenia:</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 xml:space="preserve">bezpłatnie rozpowszechnia słowacką normę techniczną lub jej część bez zezwolenia:</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 xml:space="preserve">oznacza dokument symbolem „STN” bez zezwolenia;</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 xml:space="preserve">rozpowszechnia słowacką normę techniczną lub jej część za opłatą.</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 xml:space="preserve">Urząd nakłada grzywnę w wysokości od 30 do 1 500 EUR w przypadku wykroczenia, o którym mowa w ust. 1 lit. a) lub b), od 45 do 3 000 EUR w przypadku wykroczenia, o którym mowa w ust. 1 lit. c), oraz od 175 do 10 000 EUR w przypadku wykroczenia, o którym mowa w ust. 1 lit. d) lub e).</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 xml:space="preserve">Wykroczenie i związane z nim postępowanie podlega przepisom ogólnym w sprawie wykroczeń</w:t>
      </w:r>
      <w:r>
        <w:rPr>
          <w:color w:val="000000"/>
          <w:vertAlign w:val="superscript"/>
        </w:rPr>
        <w:t xml:space="preserve">24)</w:t>
      </w:r>
      <w:r>
        <w:rPr>
          <w:color w:val="000000"/>
        </w:rPr>
        <w:t xml:space="preserve">.</w:t>
      </w:r>
    </w:p>
    <w:p w:rsidR="00E16F77" w:rsidRPr="00E35FA4" w:rsidRDefault="00E16F77" w:rsidP="00BB519B">
      <w:pPr>
        <w:keepNext/>
        <w:keepLines/>
        <w:widowControl/>
        <w:shd w:val="clear" w:color="auto" w:fill="FFFFFF"/>
        <w:spacing w:before="360"/>
        <w:jc w:val="center"/>
        <w:rPr>
          <w:b/>
          <w:bCs/>
          <w:color w:val="000000"/>
        </w:rPr>
      </w:pPr>
      <w:r>
        <w:rPr>
          <w:b/>
          <w:color w:val="000000"/>
        </w:rPr>
        <w:t xml:space="preserve">§ 17</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 xml:space="preserve">Urząd nakłada grzywnę w wysokości od 30 do 500 EUR na osobę fizyczną prowadzącą działalność gospodarczą lub osobę prawną, która rozpowszechnia słowacką tymczasową normę techniczną lub techniczną informację normalizacyjną bądź jej część lub oznacza dokument symbolem „STN P” bez zezwolenia.</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 xml:space="preserve">Urząd nakłada grzywnę w wysokości od 50 do 5 000 EUR na osobę fizyczną prowadzącą działalność gospodarczą lub osobę prawną, która nieodpłatnie rozpowszechnia słowacką normę techniczną lub jej część bez zezwolenia.</w:t>
      </w:r>
    </w:p>
    <w:p w:rsidR="00E16F77" w:rsidRPr="00D06F2A"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Pr>
          <w:color w:val="000000"/>
        </w:rPr>
        <w:t xml:space="preserve">Urząd nakłada grzywnę w wysokości od 350 do 35 000 EUR na osobę fizyczną prowadzącą działalność gospodarczą lub osobę prawną, która bez zezwolenia:</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 xml:space="preserve">oznacza dokument symbolem „STN”; lub</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 xml:space="preserve">rozpowszechnia słowacką normę techniczną lub jej część za opłatą.</w:t>
      </w:r>
    </w:p>
    <w:p w:rsidR="00E16F77" w:rsidRPr="00E35FA4" w:rsidRDefault="00E16F77" w:rsidP="00BB519B">
      <w:pPr>
        <w:keepNext/>
        <w:keepLines/>
        <w:widowControl/>
        <w:shd w:val="clear" w:color="auto" w:fill="FFFFFF"/>
        <w:spacing w:before="360"/>
        <w:jc w:val="center"/>
        <w:rPr>
          <w:b/>
          <w:bCs/>
          <w:color w:val="000000"/>
        </w:rPr>
      </w:pPr>
      <w:r>
        <w:rPr>
          <w:b/>
          <w:color w:val="000000"/>
        </w:rPr>
        <w:t xml:space="preserve">§ 18</w:t>
      </w:r>
    </w:p>
    <w:p w:rsidR="000D1A6C"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 xml:space="preserve">Postępowanie w sprawie nałożenia grzywny może zostać wszczęte w ciągu trzech lat od daty wystąpienia czynu bezprawnego.</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 xml:space="preserve">W chwili nakładania grzywny należy uwzględnić istotność, charakter, czas trwania oraz skutki czynu bezprawnego.</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 xml:space="preserve">Grzywny wpłaca się do budżetu państwa.</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 xml:space="preserve">Jeśli czyn bezprawny powtórzy się w ciągu roku od daty podjęcia ostatecznej decyzji o nałożeniu grzywny, Urząd nakłada grzywnę do wysokości podwójnej kwoty nałożonej grzywny.</w:t>
      </w:r>
    </w:p>
    <w:p w:rsidR="00BB519B" w:rsidRPr="00D06F2A" w:rsidRDefault="00E16F77" w:rsidP="00BB519B">
      <w:pPr>
        <w:keepNext/>
        <w:keepLines/>
        <w:widowControl/>
        <w:shd w:val="clear" w:color="auto" w:fill="FFFFFF"/>
        <w:spacing w:before="360"/>
        <w:jc w:val="center"/>
        <w:rPr>
          <w:b/>
          <w:bCs/>
          <w:color w:val="000000"/>
        </w:rPr>
      </w:pPr>
      <w:r>
        <w:rPr>
          <w:b/>
          <w:color w:val="000000"/>
        </w:rPr>
        <w:t xml:space="preserve">§ 19</w:t>
      </w:r>
    </w:p>
    <w:p w:rsidR="00E16F77" w:rsidRPr="008015BE" w:rsidRDefault="00E16F77" w:rsidP="00BB519B">
      <w:pPr>
        <w:keepNext/>
        <w:keepLines/>
        <w:widowControl/>
        <w:shd w:val="clear" w:color="auto" w:fill="FFFFFF"/>
        <w:jc w:val="center"/>
        <w:rPr>
          <w:b/>
          <w:bCs/>
          <w:color w:val="000000"/>
        </w:rPr>
      </w:pPr>
      <w:r>
        <w:rPr>
          <w:b/>
          <w:color w:val="000000"/>
        </w:rPr>
        <w:t xml:space="preserve">Przepisy upoważniające</w:t>
      </w:r>
    </w:p>
    <w:p w:rsidR="00E16F77" w:rsidRPr="00D06F2A" w:rsidRDefault="00E16F77" w:rsidP="00D65D8D">
      <w:pPr>
        <w:keepNext/>
        <w:keepLines/>
        <w:widowControl/>
        <w:shd w:val="clear" w:color="auto" w:fill="FFFFFF"/>
        <w:spacing w:before="120"/>
        <w:rPr>
          <w:color w:val="000000"/>
        </w:rPr>
      </w:pPr>
      <w:r>
        <w:rPr>
          <w:color w:val="000000"/>
        </w:rPr>
        <w:t xml:space="preserve">Urząd wydaje akt o zasięgu ogólnym, w którym ustanawia:</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 xml:space="preserve">wysokość opłaty dla użytkownika za dostarczanie słowackich norm technicznych, technicznych informacji normalizacyjnych, innych norm technicznych i ich zmian oraz Dziennika Urzędowego, a także za udzielanie zezwoleń na cytowanie fragmentów słowackich norm technicznych lub technicznych informacji normalizacyjnych;</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 xml:space="preserve">wysokość opłaty dla użytkownika związanej z czynnościami dotyczącymi dostarczania słowackich norm technicznych, technicznych informacji normalizacyjnych oraz innych norm technicznych i ich zmian;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 xml:space="preserve">minimalną opłatę za świadczenie usługi online w zakresie STN za pośrednictwem portalu oraz wysokość opłaty dla użytkownika za świadczenie usługi online w zakresie STN za pośrednictwem portalu;</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 xml:space="preserve">sposób dostarczania słowackich norm technicznych, technicznych informacji normalizacyjnych oraz innych norm technicznych i ich zmian;</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 xml:space="preserve">szczegółowe informacje dotyczące udzielania zezwolenia na cytowanie fragmentów słowackich norm technicznych lub technicznych informacji normalizacyjnych, formularz wniosku dotyczącego zezwolenia na cytowanie fragmentów słowackich norm technicznych lub technicznych informacji normalizacyjnych oraz formularz zezwolenia na cytowanie fragmentów słowackich norm technicznych lub technicznych informacji normalizacyjnych,</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 xml:space="preserve">obniżenie opłat określonych w lit. a) i b).</w:t>
      </w:r>
    </w:p>
    <w:p w:rsidR="00BB519B" w:rsidRPr="00D06F2A" w:rsidRDefault="00E16F77" w:rsidP="00BB519B">
      <w:pPr>
        <w:keepNext/>
        <w:keepLines/>
        <w:widowControl/>
        <w:shd w:val="clear" w:color="auto" w:fill="FFFFFF"/>
        <w:spacing w:before="360"/>
        <w:jc w:val="center"/>
        <w:rPr>
          <w:b/>
          <w:bCs/>
          <w:color w:val="000000"/>
        </w:rPr>
      </w:pPr>
      <w:r>
        <w:rPr>
          <w:b/>
          <w:color w:val="000000"/>
        </w:rPr>
        <w:t xml:space="preserve">§ 20</w:t>
      </w:r>
    </w:p>
    <w:p w:rsidR="00E16F77" w:rsidRPr="008015BE" w:rsidRDefault="00E16F77" w:rsidP="00BB519B">
      <w:pPr>
        <w:keepNext/>
        <w:keepLines/>
        <w:widowControl/>
        <w:shd w:val="clear" w:color="auto" w:fill="FFFFFF"/>
        <w:jc w:val="center"/>
        <w:rPr>
          <w:b/>
          <w:bCs/>
          <w:color w:val="000000"/>
        </w:rPr>
      </w:pPr>
      <w:r>
        <w:rPr>
          <w:b/>
          <w:color w:val="000000"/>
        </w:rPr>
        <w:t xml:space="preserve">Przepisy przejściowe</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Postępowanie wszczęte przed dniem 1 kwietnia 2018 r. prowadzi się zgodnie z przepisami obowiązującymi do dnia 31 marca 2018 r.</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Urząd uzgadnia, nie później niż do dnia 31 marca 2019 r., prawne powiązania odnoszące się do słowackich norm technicznych oraz innych norm technicznych dostarczonych do dnia 1 kwietnia 2018 r. z przepisami obowiązującymi od dnia 1 kwietnia 2018 r.</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Słowackie normy techniczne, słowackie tymczasowe normy techniczne i techniczne informacje normalizacyjne zatwierdzone w ramach systemu słowackich norm technicznych przed dniem 1 kwietnia 2018 r. uznaje się za słowackie normy techniczne, słowackie tymczasowe normy techniczne oraz techniczne informacje normalizacyjne na mocy niniejszej ustawy.</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Dotychczasowe komitety techniczne uznaje się za komitety działające na mocy niniejszej ustawy.</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 xml:space="preserve">Przepisy wykonawcze wydane na podstawie przepisów upoważniających na mocy dotychczasowej ustawy uznaje się za przepisy wykonawcze na mocy niniejszej ustawy do czasu wydania przepisów wykonawczych, o których mowa w art. 19, ale nie później niż do dnia 1 kwietnia 2019 r.</w:t>
      </w:r>
    </w:p>
    <w:p w:rsidR="00BB519B" w:rsidRPr="00D06F2A" w:rsidRDefault="00E16F77" w:rsidP="00BB519B">
      <w:pPr>
        <w:keepNext/>
        <w:keepLines/>
        <w:widowControl/>
        <w:shd w:val="clear" w:color="auto" w:fill="FFFFFF"/>
        <w:spacing w:before="360"/>
        <w:jc w:val="center"/>
        <w:rPr>
          <w:b/>
          <w:bCs/>
          <w:color w:val="000000"/>
        </w:rPr>
      </w:pPr>
      <w:r>
        <w:rPr>
          <w:b/>
          <w:color w:val="000000"/>
        </w:rPr>
        <w:t xml:space="preserve">§ 21</w:t>
      </w:r>
    </w:p>
    <w:p w:rsidR="00E16F77" w:rsidRPr="008015BE" w:rsidRDefault="00E16F77" w:rsidP="00BB519B">
      <w:pPr>
        <w:keepNext/>
        <w:keepLines/>
        <w:widowControl/>
        <w:shd w:val="clear" w:color="auto" w:fill="FFFFFF"/>
        <w:jc w:val="center"/>
        <w:rPr>
          <w:b/>
          <w:bCs/>
          <w:color w:val="000000"/>
        </w:rPr>
      </w:pPr>
      <w:r>
        <w:rPr>
          <w:b/>
          <w:color w:val="000000"/>
        </w:rPr>
        <w:t xml:space="preserve">Wejście w życie</w:t>
      </w:r>
    </w:p>
    <w:p w:rsidR="00E16F77" w:rsidRPr="00D06F2A" w:rsidRDefault="00E16F77" w:rsidP="00B3535A">
      <w:pPr>
        <w:widowControl/>
        <w:shd w:val="clear" w:color="auto" w:fill="FFFFFF"/>
        <w:spacing w:before="120"/>
        <w:jc w:val="both"/>
        <w:rPr>
          <w:color w:val="000000"/>
        </w:rPr>
      </w:pPr>
      <w:r>
        <w:rPr>
          <w:color w:val="000000"/>
        </w:rPr>
        <w:t xml:space="preserve">Niniejsza ustawa wchodzi w życie z dniem 1 kwietnia 2018 r., z wyjątkiem zdania po średniku w § 14 ust. 4 lit. a), które wchodzi w życie z dniem 1 kwietnia 2020 r.</w:t>
      </w:r>
    </w:p>
    <w:p w:rsidR="00E16F77" w:rsidRPr="007D1E66" w:rsidRDefault="00E16F77" w:rsidP="00B3535A">
      <w:pPr>
        <w:widowControl/>
        <w:shd w:val="clear" w:color="auto" w:fill="FFFFFF"/>
        <w:spacing w:before="360"/>
        <w:jc w:val="center"/>
        <w:rPr>
          <w:color w:val="000000"/>
        </w:rPr>
      </w:pPr>
      <w:r>
        <w:rPr>
          <w:b/>
          <w:color w:val="000000"/>
        </w:rPr>
        <w:t xml:space="preserve">Andrej Kiska, podpis własnoręczny</w:t>
      </w:r>
    </w:p>
    <w:p w:rsidR="00E16F77" w:rsidRPr="007D1E66" w:rsidRDefault="00E16F77" w:rsidP="00B3535A">
      <w:pPr>
        <w:widowControl/>
        <w:shd w:val="clear" w:color="auto" w:fill="FFFFFF"/>
        <w:spacing w:before="360"/>
        <w:jc w:val="center"/>
        <w:rPr>
          <w:b/>
          <w:bCs/>
          <w:color w:val="000000"/>
        </w:rPr>
      </w:pPr>
      <w:r>
        <w:rPr>
          <w:b/>
          <w:color w:val="000000"/>
        </w:rPr>
        <w:t xml:space="preserve">Andrej Danko, podpis własnoręczny</w:t>
      </w:r>
    </w:p>
    <w:p w:rsidR="00E16F77" w:rsidRPr="00D06F2A" w:rsidRDefault="00E16F77" w:rsidP="00B3535A">
      <w:pPr>
        <w:widowControl/>
        <w:shd w:val="clear" w:color="auto" w:fill="FFFFFF"/>
        <w:spacing w:before="360"/>
        <w:jc w:val="center"/>
        <w:rPr>
          <w:b/>
          <w:bCs/>
          <w:color w:val="000000"/>
        </w:rPr>
      </w:pPr>
      <w:r>
        <w:rPr>
          <w:b/>
          <w:color w:val="000000"/>
        </w:rPr>
        <w:t xml:space="preserve">Robert Fico, podpis własnoręczny</w:t>
      </w:r>
    </w:p>
    <w:p w:rsidR="00F6126B" w:rsidRPr="00D06F2A" w:rsidRDefault="00F6126B" w:rsidP="00BB519B">
      <w:pPr>
        <w:pageBreakBefore/>
        <w:widowControl/>
        <w:autoSpaceDE/>
        <w:autoSpaceDN/>
        <w:adjustRightInd/>
        <w:spacing w:before="120"/>
        <w:jc w:val="both"/>
        <w:rPr>
          <w:color w:val="000000"/>
        </w:rPr>
      </w:pPr>
      <w:r>
        <w:rPr>
          <w:color w:val="000000"/>
        </w:rPr>
        <w:t xml:space="preserve">1</w:t>
      </w:r>
      <w:r>
        <w:rPr>
          <w:color w:val="000000"/>
        </w:rPr>
        <w:t xml:space="preserve">)</w:t>
      </w:r>
      <w:r>
        <w:rPr>
          <w:color w:val="000000"/>
        </w:rPr>
        <w:t xml:space="preserve"> Art. 2 pkt 1 lit. a) i d)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(Dz.U. L 316 z 14.11.2012), ze zmianami.</w:t>
      </w:r>
    </w:p>
    <w:p w:rsidR="00F6126B" w:rsidRPr="00D06F2A" w:rsidRDefault="00F6126B" w:rsidP="00B3535A">
      <w:pPr>
        <w:widowControl/>
        <w:autoSpaceDE/>
        <w:autoSpaceDN/>
        <w:adjustRightInd/>
        <w:spacing w:before="120"/>
        <w:jc w:val="both"/>
        <w:rPr>
          <w:color w:val="000000"/>
        </w:rPr>
      </w:pPr>
      <w:r>
        <w:rPr>
          <w:color w:val="000000"/>
        </w:rPr>
        <w:t xml:space="preserve">2</w:t>
      </w:r>
      <w:r>
        <w:rPr>
          <w:color w:val="000000"/>
        </w:rPr>
        <w:t xml:space="preserve">)</w:t>
      </w:r>
      <w:r>
        <w:rPr>
          <w:color w:val="000000"/>
        </w:rPr>
        <w:t xml:space="preserve"> Art. 2 pkt 1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3) § 2 lit. i) ustawy nr 55/2018 o udzielaniu informacji na temat przepisów technicznych oraz przeszkodach uniemożliwiających swobodny przepływ towarów.</w:t>
      </w:r>
    </w:p>
    <w:p w:rsidR="00F6126B" w:rsidRPr="00D06F2A" w:rsidRDefault="00F6126B" w:rsidP="00B3535A">
      <w:pPr>
        <w:widowControl/>
        <w:autoSpaceDE/>
        <w:autoSpaceDN/>
        <w:adjustRightInd/>
        <w:spacing w:before="120"/>
        <w:jc w:val="both"/>
        <w:rPr>
          <w:color w:val="000000"/>
        </w:rPr>
      </w:pPr>
      <w:r>
        <w:rPr>
          <w:color w:val="000000"/>
        </w:rPr>
        <w:t xml:space="preserve">4)</w:t>
      </w:r>
      <w:r>
        <w:rPr>
          <w:color w:val="000000"/>
        </w:rPr>
        <w:t xml:space="preserve"> Art. 2 pkt 1 lit. b)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5</w:t>
      </w:r>
      <w:r>
        <w:rPr>
          <w:color w:val="000000"/>
        </w:rPr>
        <w:t xml:space="preserve">)</w:t>
      </w:r>
      <w:r>
        <w:rPr>
          <w:color w:val="000000"/>
        </w:rPr>
        <w:t xml:space="preserve"> Art. 2 pkt 1 lit. a)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6</w:t>
      </w:r>
      <w:r>
        <w:rPr>
          <w:color w:val="000000"/>
        </w:rPr>
        <w:t xml:space="preserve">)</w:t>
      </w:r>
      <w:r>
        <w:rPr>
          <w:color w:val="000000"/>
        </w:rPr>
        <w:t xml:space="preserve"> Załącznik I do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7</w:t>
      </w:r>
      <w:r>
        <w:rPr>
          <w:color w:val="000000"/>
        </w:rPr>
        <w:t xml:space="preserve">)</w:t>
      </w:r>
      <w:r>
        <w:rPr>
          <w:color w:val="000000"/>
        </w:rPr>
        <w:t xml:space="preserve"> Art. 2 pkt 9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8</w:t>
      </w:r>
      <w:r>
        <w:rPr>
          <w:color w:val="000000"/>
        </w:rPr>
        <w:t xml:space="preserve">)</w:t>
      </w:r>
      <w:r>
        <w:rPr>
          <w:color w:val="000000"/>
        </w:rPr>
        <w:t xml:space="preserve"> Ustawa nr 211/2000 o swobodnym dostępie do informacji i o zmianie niektórych ustaw (ustawa o informacji publicznej), z późniejszymi zmianami.</w:t>
      </w:r>
    </w:p>
    <w:p w:rsidR="00F6126B" w:rsidRPr="00D06F2A" w:rsidRDefault="00F6126B" w:rsidP="00B3535A">
      <w:pPr>
        <w:widowControl/>
        <w:autoSpaceDE/>
        <w:autoSpaceDN/>
        <w:adjustRightInd/>
        <w:spacing w:before="120"/>
        <w:jc w:val="both"/>
        <w:rPr>
          <w:color w:val="000000"/>
        </w:rPr>
      </w:pPr>
      <w:r>
        <w:rPr>
          <w:color w:val="000000"/>
        </w:rPr>
        <w:t xml:space="preserve">9)</w:t>
      </w:r>
      <w:r>
        <w:rPr>
          <w:color w:val="000000"/>
        </w:rPr>
        <w:t xml:space="preserve"> § 4 ust. 1 lit. c) pkt 2 ustawy nr 55/2018.</w:t>
      </w:r>
    </w:p>
    <w:p w:rsidR="00F6126B" w:rsidRPr="00D06F2A" w:rsidRDefault="00F6126B" w:rsidP="00B3535A">
      <w:pPr>
        <w:widowControl/>
        <w:autoSpaceDE/>
        <w:autoSpaceDN/>
        <w:adjustRightInd/>
        <w:spacing w:before="120"/>
        <w:jc w:val="both"/>
        <w:rPr>
          <w:color w:val="000000"/>
        </w:rPr>
      </w:pPr>
      <w:r>
        <w:rPr>
          <w:color w:val="000000"/>
        </w:rPr>
        <w:t xml:space="preserve">10</w:t>
      </w:r>
      <w:r>
        <w:rPr>
          <w:color w:val="000000"/>
        </w:rPr>
        <w:t xml:space="preserve">)</w:t>
      </w:r>
      <w:r>
        <w:rPr>
          <w:color w:val="000000"/>
        </w:rPr>
        <w:t xml:space="preserve"> Art. 27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11) Art. 2 pkt 10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12) Art. 2 pkt 2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13</w:t>
      </w:r>
      <w:r>
        <w:rPr>
          <w:color w:val="000000"/>
        </w:rPr>
        <w:t xml:space="preserve">)</w:t>
      </w:r>
      <w:r>
        <w:rPr>
          <w:color w:val="000000"/>
        </w:rPr>
        <w:t xml:space="preserve"> Art. 5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14</w:t>
      </w:r>
      <w:r>
        <w:rPr>
          <w:color w:val="000000"/>
        </w:rPr>
        <w:t xml:space="preserve">)</w:t>
      </w:r>
      <w:r>
        <w:rPr>
          <w:color w:val="000000"/>
        </w:rPr>
        <w:t xml:space="preserve"> Art. 2 ust. 2 załącznika I do rozporządzenia (UE) nr 651/2014 z dnia 17 czerwca 2014 r. uznającego niektóre rodzaje pomocy za zgodne z jednolitym rynkiem w zastosowaniu art. 107 i 108 Traktatu.</w:t>
      </w:r>
    </w:p>
    <w:p w:rsidR="00F6126B" w:rsidRPr="00D06F2A" w:rsidRDefault="00F6126B" w:rsidP="00B3535A">
      <w:pPr>
        <w:widowControl/>
        <w:autoSpaceDE/>
        <w:autoSpaceDN/>
        <w:adjustRightInd/>
        <w:spacing w:before="120"/>
        <w:jc w:val="both"/>
        <w:rPr>
          <w:color w:val="000000"/>
        </w:rPr>
      </w:pPr>
      <w:r>
        <w:rPr>
          <w:color w:val="000000"/>
        </w:rPr>
        <w:t xml:space="preserve">15</w:t>
      </w:r>
      <w:r>
        <w:rPr>
          <w:color w:val="000000"/>
        </w:rPr>
        <w:t xml:space="preserve">)</w:t>
      </w:r>
      <w:r>
        <w:rPr>
          <w:color w:val="000000"/>
        </w:rPr>
        <w:t xml:space="preserve"> Art. 2 załącznika I do rozporządzenia (UE) nr 651/2014.</w:t>
      </w:r>
    </w:p>
    <w:p w:rsidR="00F6126B" w:rsidRPr="00D06F2A" w:rsidRDefault="00F6126B" w:rsidP="00B3535A">
      <w:pPr>
        <w:widowControl/>
        <w:autoSpaceDE/>
        <w:autoSpaceDN/>
        <w:adjustRightInd/>
        <w:spacing w:before="120"/>
        <w:jc w:val="both"/>
        <w:rPr>
          <w:color w:val="000000"/>
        </w:rPr>
      </w:pPr>
      <w:r>
        <w:rPr>
          <w:color w:val="000000"/>
        </w:rPr>
        <w:t xml:space="preserve">16</w:t>
      </w:r>
      <w:r>
        <w:rPr>
          <w:color w:val="000000"/>
        </w:rPr>
        <w:t xml:space="preserve">)</w:t>
      </w:r>
      <w:r>
        <w:rPr>
          <w:color w:val="000000"/>
        </w:rPr>
        <w:t xml:space="preserve"> Ustawa nr 343/2015 o udzielaniu zamówień publicznych i o zmianie niektórych ustaw, ze zmianami.</w:t>
      </w:r>
    </w:p>
    <w:p w:rsidR="00F6126B" w:rsidRPr="00D06F2A" w:rsidRDefault="00F6126B" w:rsidP="00B3535A">
      <w:pPr>
        <w:widowControl/>
        <w:autoSpaceDE/>
        <w:autoSpaceDN/>
        <w:adjustRightInd/>
        <w:spacing w:before="120"/>
        <w:jc w:val="both"/>
        <w:rPr>
          <w:color w:val="000000"/>
        </w:rPr>
      </w:pPr>
      <w:r>
        <w:rPr>
          <w:color w:val="000000"/>
        </w:rPr>
        <w:t xml:space="preserve">17</w:t>
      </w:r>
      <w:r>
        <w:rPr>
          <w:color w:val="000000"/>
        </w:rPr>
        <w:t xml:space="preserve">)</w:t>
      </w:r>
      <w:r>
        <w:rPr>
          <w:color w:val="000000"/>
        </w:rPr>
        <w:t xml:space="preserve"> Art. 2 pkt 1 lit. c)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18) Art. 11 rozporządzenia (UE) nr 1025/2012, ze zmianami.</w:t>
      </w:r>
    </w:p>
    <w:p w:rsidR="00F6126B" w:rsidRPr="00D06F2A" w:rsidRDefault="00F6126B" w:rsidP="00B3535A">
      <w:pPr>
        <w:widowControl/>
        <w:autoSpaceDE/>
        <w:autoSpaceDN/>
        <w:adjustRightInd/>
        <w:spacing w:before="120"/>
        <w:jc w:val="both"/>
        <w:rPr>
          <w:color w:val="000000"/>
        </w:rPr>
      </w:pPr>
      <w:r>
        <w:rPr>
          <w:color w:val="000000"/>
        </w:rPr>
        <w:t xml:space="preserve">19</w:t>
      </w:r>
      <w:r>
        <w:rPr>
          <w:color w:val="000000"/>
        </w:rPr>
        <w:t xml:space="preserve">)</w:t>
      </w:r>
      <w:r>
        <w:rPr>
          <w:color w:val="000000"/>
        </w:rPr>
        <w:t xml:space="preserve"> Ustawa nr 245/2008 o kształceniu i szkoleniach (ustawa o szkolnictwie) i zmianie niektórych innych ustaw, ze zmianami.</w:t>
      </w:r>
    </w:p>
    <w:p w:rsidR="00F6126B" w:rsidRPr="00D06F2A" w:rsidRDefault="00F6126B" w:rsidP="00B3535A">
      <w:pPr>
        <w:widowControl/>
        <w:autoSpaceDE/>
        <w:autoSpaceDN/>
        <w:adjustRightInd/>
        <w:spacing w:before="120"/>
        <w:jc w:val="both"/>
        <w:rPr>
          <w:color w:val="000000"/>
        </w:rPr>
      </w:pPr>
      <w:r>
        <w:rPr>
          <w:color w:val="000000"/>
        </w:rPr>
        <w:t xml:space="preserve">20</w:t>
      </w:r>
      <w:r>
        <w:rPr>
          <w:color w:val="000000"/>
        </w:rPr>
        <w:t xml:space="preserve">)</w:t>
      </w:r>
      <w:r>
        <w:rPr>
          <w:color w:val="000000"/>
        </w:rPr>
        <w:t xml:space="preserve"> Ustawa nr 317/2009 o nauczycielach i wyspecjalizowanym personelu oraz o zmianie niektórych innych ustaw, ze zmianami.</w:t>
      </w:r>
    </w:p>
    <w:p w:rsidR="00F6126B" w:rsidRPr="00D06F2A" w:rsidRDefault="00F6126B" w:rsidP="00B3535A">
      <w:pPr>
        <w:widowControl/>
        <w:autoSpaceDE/>
        <w:autoSpaceDN/>
        <w:adjustRightInd/>
        <w:spacing w:before="120"/>
        <w:jc w:val="both"/>
        <w:rPr>
          <w:color w:val="000000"/>
        </w:rPr>
      </w:pPr>
      <w:r>
        <w:rPr>
          <w:color w:val="000000"/>
        </w:rPr>
        <w:t xml:space="preserve">21</w:t>
      </w:r>
      <w:r>
        <w:rPr>
          <w:color w:val="000000"/>
        </w:rPr>
        <w:t xml:space="preserve">)</w:t>
      </w:r>
      <w:r>
        <w:rPr>
          <w:color w:val="000000"/>
        </w:rPr>
        <w:t xml:space="preserve"> § 73, 76 i 79 ustawy nr 245/2008, ze zmianami.</w:t>
      </w:r>
    </w:p>
    <w:p w:rsidR="00F6126B" w:rsidRPr="00D06F2A" w:rsidRDefault="00F6126B" w:rsidP="00B3535A">
      <w:pPr>
        <w:widowControl/>
        <w:autoSpaceDE/>
        <w:autoSpaceDN/>
        <w:adjustRightInd/>
        <w:spacing w:before="120"/>
        <w:jc w:val="both"/>
        <w:rPr>
          <w:color w:val="000000"/>
        </w:rPr>
      </w:pPr>
      <w:r>
        <w:rPr>
          <w:color w:val="000000"/>
        </w:rPr>
        <w:t xml:space="preserve">22</w:t>
      </w:r>
      <w:r>
        <w:rPr>
          <w:color w:val="000000"/>
        </w:rPr>
        <w:t xml:space="preserve">)</w:t>
      </w:r>
      <w:r>
        <w:rPr>
          <w:color w:val="000000"/>
        </w:rPr>
        <w:t xml:space="preserve"> § 51 ustawy nr 131/2002 o szkolnictwie wyższym oraz o zmianie niektórych ustaw, ze zmianami.</w:t>
      </w:r>
    </w:p>
    <w:p w:rsidR="00F6126B" w:rsidRPr="00D06F2A" w:rsidRDefault="00F6126B" w:rsidP="00B3535A">
      <w:pPr>
        <w:widowControl/>
        <w:autoSpaceDE/>
        <w:autoSpaceDN/>
        <w:adjustRightInd/>
        <w:spacing w:before="120"/>
        <w:jc w:val="both"/>
        <w:rPr>
          <w:color w:val="000000"/>
        </w:rPr>
      </w:pPr>
      <w:r>
        <w:rPr>
          <w:color w:val="000000"/>
        </w:rPr>
        <w:t xml:space="preserve">23</w:t>
      </w:r>
      <w:r>
        <w:rPr>
          <w:color w:val="000000"/>
        </w:rPr>
        <w:t xml:space="preserve">)</w:t>
      </w:r>
      <w:r>
        <w:rPr>
          <w:color w:val="000000"/>
        </w:rPr>
        <w:t xml:space="preserve"> § 49 ust. 6 ustawy nr 317/2009, ze zmianami wprowadzonymi ustawą nr 390/2011.</w:t>
      </w:r>
    </w:p>
    <w:p w:rsidR="00F6126B" w:rsidRPr="00D06F2A" w:rsidRDefault="00F6126B" w:rsidP="00B3535A">
      <w:pPr>
        <w:widowControl/>
        <w:autoSpaceDE/>
        <w:autoSpaceDN/>
        <w:adjustRightInd/>
        <w:spacing w:before="120"/>
        <w:jc w:val="both"/>
        <w:rPr>
          <w:color w:val="000000"/>
        </w:rPr>
      </w:pPr>
      <w:r>
        <w:rPr>
          <w:color w:val="000000"/>
        </w:rPr>
        <w:t xml:space="preserve">24) Ustawa nr 372/1990 Rady Narodowej Republiki Słowackiej o wykroczeniach, z późniejszymi zmianami.</w:t>
      </w:r>
    </w:p>
    <w:p w:rsidR="00E16F77" w:rsidRPr="00D06F2A" w:rsidRDefault="00E16F77" w:rsidP="00BB519B">
      <w:pPr>
        <w:pageBreakBefore/>
        <w:widowControl/>
        <w:autoSpaceDE/>
        <w:autoSpaceDN/>
        <w:adjustRightInd/>
        <w:spacing w:before="120"/>
        <w:jc w:val="right"/>
        <w:rPr>
          <w:b/>
          <w:bCs/>
          <w:color w:val="000000"/>
        </w:rPr>
      </w:pPr>
      <w:r>
        <w:rPr>
          <w:b/>
          <w:color w:val="000000"/>
        </w:rPr>
        <w:t xml:space="preserve">Załącznik do ustawy nr 60/2018</w:t>
      </w:r>
    </w:p>
    <w:p w:rsidR="00BB519B" w:rsidRPr="00D06F2A" w:rsidRDefault="00BB519B" w:rsidP="00BB519B">
      <w:pPr>
        <w:spacing w:before="120" w:after="120"/>
        <w:rPr>
          <w:sz w:val="24"/>
          <w:szCs w:val="24"/>
        </w:rPr>
      </w:pPr>
      <w:r>
        <w:rPr>
          <w:sz w:val="24"/>
        </w:rPr>
        <w:t xml:space="preserve">1.</w:t>
      </w:r>
      <w:r>
        <w:rPr>
          <w:sz w:val="24"/>
        </w:rPr>
        <w:t xml:space="preserve"> </w:t>
      </w:r>
      <w:r>
        <w:rPr>
          <w:sz w:val="24"/>
        </w:rPr>
        <w:t xml:space="preserve">Symbol „STN”:</w:t>
      </w:r>
    </w:p>
    <w:p w:rsidR="00BB519B" w:rsidRPr="00D06F2A" w:rsidRDefault="007D1E66" w:rsidP="00BB519B">
      <w:pPr>
        <w:rPr>
          <w:sz w:val="22"/>
          <w:szCs w:val="22"/>
          <w:rFonts w:ascii="Calibri" w:hAnsi="Calibri" w:cs="Calibri"/>
        </w:rPr>
      </w:pPr>
      <w:r>
        <w:pict>
          <v:shape id="Obrázok 3" o:spid="_x0000_i1026" type="#_x0000_t75" alt="01" style="width:193.5pt;height:85.5pt;visibility:visible">
            <v:imagedata r:id="rId9" o:title="01"/>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 xml:space="preserve">2.</w:t>
      </w:r>
      <w:r>
        <w:rPr>
          <w:sz w:val="24"/>
        </w:rPr>
        <w:t xml:space="preserve"> </w:t>
      </w:r>
      <w:r>
        <w:rPr>
          <w:sz w:val="24"/>
        </w:rPr>
        <w:t xml:space="preserve">Symbol „STN P”:</w:t>
      </w:r>
    </w:p>
    <w:p w:rsidR="00BB519B" w:rsidRPr="00D06F2A" w:rsidRDefault="007D1E66" w:rsidP="00BB519B">
      <w:pPr>
        <w:rPr>
          <w:sz w:val="22"/>
          <w:szCs w:val="22"/>
          <w:rFonts w:ascii="Calibri" w:hAnsi="Calibri" w:cs="Calibri"/>
        </w:rPr>
      </w:pPr>
      <w:r>
        <w:pict>
          <v:shape id="Obrázok 2" o:spid="_x0000_i1027" type="#_x0000_t75" alt="04" style="width:262.5pt;height:169.5pt;visibility:visible">
            <v:imagedata r:id="rId10" o:title="04"/>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 xml:space="preserve">3.</w:t>
      </w:r>
      <w:r>
        <w:rPr>
          <w:sz w:val="24"/>
        </w:rPr>
        <w:t xml:space="preserve"> </w:t>
      </w:r>
      <w:r>
        <w:rPr>
          <w:sz w:val="24"/>
        </w:rPr>
        <w:t xml:space="preserve">Symbol „TNI”.</w:t>
      </w:r>
    </w:p>
    <w:p w:rsidR="00BB519B" w:rsidRPr="00D06F2A" w:rsidRDefault="00591388" w:rsidP="00BB519B">
      <w:pPr>
        <w:rPr>
          <w:sz w:val="22"/>
          <w:szCs w:val="22"/>
          <w:rFonts w:ascii="Calibri" w:hAnsi="Calibri" w:cs="Calibri"/>
        </w:rPr>
      </w:pPr>
      <w:r>
        <w:pict>
          <v:shape id="Obrázok 1" o:spid="_x0000_i1028" type="#_x0000_t75" alt="03" style="width:193.5pt;height:85.5pt;visibility:visible">
            <v:imagedata r:id="rId11" o:title="03"/>
          </v:shape>
        </w:pict>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5F3632" w:rsidRDefault="00591388" w:rsidP="00B3535A">
      <w:pPr>
        <w:widowControl/>
        <w:autoSpaceDE/>
        <w:autoSpaceDN/>
        <w:adjustRightInd/>
        <w:spacing w:before="13320"/>
        <w:jc w:val="center"/>
        <w:rPr>
          <w:color w:val="000000"/>
          <w:sz w:val="18"/>
        </w:rPr>
      </w:pPr>
      <w:r>
        <w:rPr>
          <w:color w:val="000000"/>
          <w:sz w:val="18"/>
        </w:rPr>
        <w:pict>
          <v:line id="Rovná spojnica 3" o:spid="_x0000_s1027" style="position:absolute;left:0;text-align:left;z-index:1;visibility:visibl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Pr>
          <w:color w:val="000000"/>
          <w:sz w:val="18"/>
        </w:rPr>
        <w:t xml:space="preserve">Ministerstwo Sprawiedliwości Republiki Słowackiej, Župné námestie 13, 813 11 Bratysława,</w:t>
        <w:br/>
        <w:t xml:space="preserve">tel.:</w:t>
      </w:r>
      <w:r>
        <w:rPr>
          <w:color w:val="000000"/>
          <w:sz w:val="18"/>
        </w:rPr>
        <w:t xml:space="preserve"> </w:t>
      </w:r>
      <w:r>
        <w:rPr>
          <w:color w:val="000000"/>
          <w:sz w:val="18"/>
        </w:rPr>
        <w:t xml:space="preserve">+421 2 888 91 137, faks:</w:t>
      </w:r>
      <w:r>
        <w:rPr>
          <w:color w:val="000000"/>
          <w:sz w:val="18"/>
        </w:rPr>
        <w:t xml:space="preserve"> </w:t>
      </w:r>
      <w:r>
        <w:rPr>
          <w:color w:val="000000"/>
          <w:sz w:val="18"/>
        </w:rPr>
        <w:t xml:space="preserve">+421 2 52442853, e-mail:</w:t>
      </w:r>
      <w:r>
        <w:rPr>
          <w:color w:val="000000"/>
          <w:sz w:val="18"/>
        </w:rPr>
        <w:t xml:space="preserve"> </w:t>
      </w:r>
      <w:hyperlink r:id="rId12">
        <w:r>
          <w:rPr>
            <w:color w:val="000000"/>
            <w:sz w:val="18"/>
          </w:rPr>
          <w:t xml:space="preserve">helpdesk@slov-lex.sk</w:t>
        </w:r>
      </w:hyperlink>
      <w:r>
        <w:t xml:space="preserve"> jest wydawcą Zbioru ustaw Republiki Słowackiej, administratorem treści i podmiotem prowadzącym portal prawny i informacyjny Slov-Lex dostępny pod adresem </w:t>
      </w:r>
      <w:hyperlink r:id="rId13">
        <w:r>
          <w:rPr>
            <w:color w:val="000000"/>
            <w:sz w:val="18"/>
          </w:rPr>
          <w:t xml:space="preserve">www.slov-lex.sk</w:t>
        </w:r>
      </w:hyperlink>
      <w:r>
        <w:rPr>
          <w:color w:val="000000"/>
          <w:sz w:val="18"/>
        </w:rPr>
        <w:t xml:space="preserve">.</w:t>
      </w:r>
    </w:p>
    <w:sectPr w:rsidR="00E16F77" w:rsidRPr="005F3632"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88" w:rsidRDefault="00591388" w:rsidP="00411B8D">
      <w:r>
        <w:separator/>
      </w:r>
    </w:p>
  </w:endnote>
  <w:endnote w:type="continuationSeparator" w:id="0">
    <w:p w:rsidR="00591388" w:rsidRDefault="00591388"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88" w:rsidRDefault="00591388" w:rsidP="00411B8D">
      <w:r>
        <w:separator/>
      </w:r>
    </w:p>
  </w:footnote>
  <w:footnote w:type="continuationSeparator" w:id="0">
    <w:p w:rsidR="00591388" w:rsidRDefault="00591388"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Strona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D1E66">
      <w:rPr>
        <w:rStyle w:val="PageNumber"/>
        <w:rFonts w:cs="Arial"/>
      </w:rPr>
      <w:t>4</w:t>
    </w:r>
    <w:r>
      <w:rPr>
        <w:rStyle w:val="PageNumber"/>
        <w:rFonts w:cs="Arial"/>
      </w:rPr>
      <w:fldChar w:fldCharType="end"/>
    </w:r>
    <w:r>
      <w:tab/>
      <w:t xml:space="preserve">Zbiór ustaw Republiki Słowackiej</w:t>
      <w:tab/>
    </w:r>
    <w:r>
      <w:rPr>
        <w:b/>
        <w:rFonts w:ascii="TeXGyreBonumBold" w:hAnsi="TeXGyreBonumBold"/>
      </w:rPr>
      <w:t xml:space="preserve">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b/>
        <w:rFonts w:ascii="TeXGyreBonumBold" w:hAnsi="TeXGyreBonumBold"/>
      </w:rPr>
      <w:t xml:space="preserve">60/2018</w:t>
    </w:r>
    <w:r>
      <w:tab/>
      <w:t xml:space="preserve">Zbiór ustaw Republiki Słowackiej</w:t>
      <w:tab/>
      <w:t xml:space="preserve">Strona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7D1E66">
      <w:rPr>
        <w:rStyle w:val="PageNumber"/>
        <w:rFonts w:cs="Arial"/>
      </w:rPr>
      <w:t>3</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15:restartNumberingAfterBreak="0">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15:restartNumberingAfterBreak="0">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15:restartNumberingAfterBreak="0">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15:restartNumberingAfterBreak="0">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15:restartNumberingAfterBreak="0">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15:restartNumberingAfterBreak="0">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15:restartNumberingAfterBreak="0">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1555C"/>
    <w:rsid w:val="00352E4D"/>
    <w:rsid w:val="00365BC6"/>
    <w:rsid w:val="003E6A72"/>
    <w:rsid w:val="00411B8D"/>
    <w:rsid w:val="00484CD4"/>
    <w:rsid w:val="004857B3"/>
    <w:rsid w:val="004B5C4F"/>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90665E"/>
    <w:rsid w:val="00911626"/>
    <w:rsid w:val="009767AA"/>
    <w:rsid w:val="00A811B2"/>
    <w:rsid w:val="00A92352"/>
    <w:rsid w:val="00AE24F0"/>
    <w:rsid w:val="00B3535A"/>
    <w:rsid w:val="00BB519B"/>
    <w:rsid w:val="00BF4EB4"/>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E923-579D-4009-9BCA-9EF0AF93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1</Pages>
  <Words>5534</Words>
  <Characters>31546</Characters>
  <Application>Microsoft Office Word</Application>
  <DocSecurity>0</DocSecurity>
  <Lines>262</Lines>
  <Paragraphs>74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John McCarthy</cp:lastModifiedBy>
  <cp:revision>8</cp:revision>
  <cp:lastPrinted>2018-11-09T07:19:00Z</cp:lastPrinted>
  <dcterms:created xsi:type="dcterms:W3CDTF">2018-04-05T12:44:00Z</dcterms:created>
  <dcterms:modified xsi:type="dcterms:W3CDTF">2019-04-11T09:39:00Z</dcterms:modified>
</cp:coreProperties>
</file>