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Utkast till lag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om ändring av djurskyddslagen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Förordning nr 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Djurskyddslagen (</w:t>
      </w:r>
      <w:r>
        <w:rPr>
          <w:sz w:val="24"/>
          <w:i/>
        </w:rPr>
        <w:t xml:space="preserve">Latvijas Republikas Saeimas un Ministru Kabineta Ziņotājs </w:t>
      </w:r>
      <w:r>
        <w:rPr>
          <w:sz w:val="24"/>
        </w:rPr>
        <w:t xml:space="preserve">[Rapporter av Saeima och Republiken Lettlands ministerråd], 2000, nr 2,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nr 2,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nr 6, 16, 2005, nr 10, 2007, nr 3,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nr 3,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nr 21,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 </w:t>
      </w:r>
      <w:r>
        <w:rPr>
          <w:sz w:val="24"/>
        </w:rPr>
        <w:t xml:space="preserve"> [Lettlands officiella tidning], 2010, nr 62, 205,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nr 50,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nr 123,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nr 128,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nr 248A) ska ändras på följande sätt: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 artikel 10.10 ska ordet ”pälsdjurfarmer” utgå.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Kapitel II ska kompletteras med artikel 13</w:t>
      </w:r>
      <w:r>
        <w:rPr>
          <w:sz w:val="24"/>
          <w:vertAlign w:val="superscript"/>
          <w:rFonts w:ascii="Times New Roman" w:hAnsi="Times New Roman"/>
        </w:rPr>
        <w:t xml:space="preserve">1 </w:t>
      </w:r>
      <w:r>
        <w:rPr>
          <w:sz w:val="24"/>
          <w:rFonts w:ascii="Times New Roman" w:hAnsi="Times New Roman"/>
        </w:rPr>
        <w:t xml:space="preserve"> med följande lydelse: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”</w:t>
      </w:r>
      <w:r>
        <w:rPr>
          <w:sz w:val="24"/>
          <w:b/>
          <w:rFonts w:ascii="Times New Roman" w:hAnsi="Times New Roman"/>
        </w:rPr>
        <w:t xml:space="preserve">Artikel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Avel och hållning av produktionsdjur är förbjudet om det enda eller huvudsakliga syftet med aveln eller hållningen är pälsproduktion.”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Övergångsbestämmelserna ska kompletteras med stycke 22 med följande lydelse: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”22.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Artikel 13</w:t>
      </w:r>
      <w:r>
        <w:rPr>
          <w:sz w:val="24"/>
          <w:vertAlign w:val="superscript"/>
          <w:rFonts w:ascii="Times New Roman" w:hAnsi="Times New Roman"/>
        </w:rPr>
        <w:t xml:space="preserve">1 </w:t>
      </w:r>
      <w:r>
        <w:rPr>
          <w:sz w:val="24"/>
          <w:rFonts w:ascii="Times New Roman" w:hAnsi="Times New Roman"/>
        </w:rPr>
        <w:t xml:space="preserve"> i denna förordning träder i kraft den 1 januari 2028.”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