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7. Januar 2021</w:t>
      </w:r>
      <w:r>
        <w:tab/>
        <w:t>Vorschrift Nr. 19</w:t>
      </w:r>
    </w:p>
    <w:p w14:paraId="1C495F9E" w14:textId="4CF08F6C" w:rsidR="00AF1E99" w:rsidRPr="003342A9" w:rsidRDefault="00AF1E99" w:rsidP="00E727FB">
      <w:pPr>
        <w:tabs>
          <w:tab w:val="left" w:pos="6210"/>
        </w:tabs>
        <w:rPr>
          <w:szCs w:val="28"/>
        </w:rPr>
      </w:pPr>
      <w:r>
        <w:t>Riga</w:t>
      </w:r>
      <w:r>
        <w:tab/>
      </w:r>
      <w:r w:rsidR="00262D4F">
        <w:tab/>
      </w:r>
      <w:r>
        <w:t>(Lfd. Nr. 2, § 27)</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Vorschriften zu für die Verwendung in Lebensmitteln verbotenen Pflanzen und Pflanzenteilen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Erlassen gemäß</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Artikel 4 Absatz 18 des</w:t>
      </w:r>
    </w:p>
    <w:p w14:paraId="7CC31FBA" w14:textId="2BF02A0E" w:rsidR="00124DF3" w:rsidRPr="003342A9" w:rsidRDefault="005205A6" w:rsidP="00AF1E99">
      <w:pPr>
        <w:pStyle w:val="BodyText2"/>
        <w:spacing w:after="0" w:line="240" w:lineRule="auto"/>
        <w:jc w:val="right"/>
      </w:pPr>
      <w:r>
        <w:t xml:space="preserve">Gesetzes zur Überwachung des Lebensmittelverkehrs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 xml:space="preserve">1. In den Vorschriften </w:t>
      </w:r>
      <w:r>
        <w:t xml:space="preserve"> werden die für die Verwendung in Lebensmitteln verbotenen Pflanzen und Pflanzenteile identifiziert, welche im Anhang dieser Vorschriften aufgelistet sind.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w:t>
      </w:r>
      <w:r>
        <w:rPr>
          <w:color w:val="000000" w:themeColor="text1"/>
          <w:shd w:val="clear" w:color="auto" w:fill="FFFFFF"/>
        </w:rPr>
        <w:t xml:space="preserve">Lebensmittel, die rechtmäßig in einem anderen </w:t>
      </w:r>
      <w:r>
        <w:rPr>
          <w:rStyle w:val="highlight"/>
          <w:color w:val="000000" w:themeColor="text1"/>
        </w:rPr>
        <w:t>Mitgliedstaat der Europäischen Union oder in der Türkei vermarktet werden</w:t>
      </w:r>
      <w:r>
        <w:rPr>
          <w:color w:val="000000" w:themeColor="text1"/>
          <w:shd w:val="clear" w:color="auto" w:fill="FFFFFF"/>
        </w:rPr>
        <w:t xml:space="preserve"> oder aus einem der Länder der Europäischen Freihandelsassoziation, die Vertragspartei des Abkommens über den Europäischen Wirtschaftsraum sind, rechtmäßig in Verkehr gebracht werden, können vorbehaltlich der unmittelbar geltenden Rechtsvorschriften der Europäischen Union über die gegenseitige Anerkennung von Waren auf dem lettischen Markt vertrieben werden.</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Verweise auf die Richtlinie der Europäischen Union</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Die Rechtsvorschriften wurden mit der Europäischen Kommission und den Mitgliedstaaten der Europäischen Union gemäß der Richtlinie (EU) 2015/1535 des Europäischen Parlaments und des Rates vom 9. September 2015 über ein Informationsverfahren auf dem Gebiet der technischen Vorschriften und der Dienste der Informationsgesellschaft vereinbart.</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Premierminister</w:t>
      </w:r>
      <w:r>
        <w:rPr>
          <w:rFonts w:ascii="Times New Roman" w:hAnsi="Times New Roman"/>
          <w:color w:val="auto"/>
          <w:sz w:val="28"/>
        </w:rPr>
        <w:tab/>
      </w:r>
      <w:r>
        <w:rPr>
          <w:rFonts w:ascii="Times New Roman" w:hAnsi="Times New Roman"/>
          <w:sz w:val="28"/>
        </w:rPr>
        <w:t>A. </w:t>
      </w:r>
      <w:r>
        <w:rPr>
          <w:rFonts w:ascii="Times New Roman" w:hAnsi="Times New Roman"/>
          <w:color w:val="auto"/>
          <w:sz w:val="28"/>
        </w:rPr>
        <w:t>K. Kariņš</w:t>
      </w:r>
    </w:p>
    <w:p w14:paraId="229806FC" w14:textId="77777777" w:rsidR="00AF1E99" w:rsidRPr="00262D4F" w:rsidRDefault="00AF1E99" w:rsidP="00AF1E99">
      <w:pPr>
        <w:pStyle w:val="Body"/>
        <w:spacing w:after="0" w:line="240" w:lineRule="auto"/>
        <w:ind w:firstLine="709"/>
        <w:jc w:val="both"/>
        <w:rPr>
          <w:rFonts w:ascii="Times New Roman" w:hAnsi="Times New Roman"/>
          <w:color w:val="auto"/>
          <w:sz w:val="28"/>
        </w:rPr>
      </w:pPr>
    </w:p>
    <w:p w14:paraId="3D50C5C4" w14:textId="77777777" w:rsidR="00AF1E99" w:rsidRPr="00262D4F" w:rsidRDefault="00AF1E99" w:rsidP="00AF1E99">
      <w:pPr>
        <w:pStyle w:val="Body"/>
        <w:spacing w:after="0" w:line="240" w:lineRule="auto"/>
        <w:ind w:firstLine="709"/>
        <w:jc w:val="both"/>
        <w:rPr>
          <w:rFonts w:ascii="Times New Roman" w:hAnsi="Times New Roman"/>
          <w:color w:val="auto"/>
          <w:sz w:val="28"/>
        </w:rPr>
      </w:pPr>
    </w:p>
    <w:p w14:paraId="5EBFD056" w14:textId="77777777" w:rsidR="00AF1E99" w:rsidRPr="00262D4F" w:rsidRDefault="00AF1E99" w:rsidP="00AF1E99">
      <w:pPr>
        <w:pStyle w:val="Body"/>
        <w:spacing w:after="0" w:line="240" w:lineRule="auto"/>
        <w:ind w:firstLine="709"/>
        <w:jc w:val="both"/>
        <w:rPr>
          <w:rFonts w:ascii="Times New Roman" w:hAnsi="Times New Roman"/>
          <w:color w:val="auto"/>
          <w:sz w:val="28"/>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Landwirtschaftsminister</w:t>
      </w:r>
      <w:r>
        <w:rPr>
          <w:rFonts w:ascii="Times New Roman" w:hAnsi="Times New Roman"/>
          <w:color w:val="auto"/>
          <w:sz w:val="28"/>
        </w:rPr>
        <w:tab/>
        <w:t>K. Gerhards</w:t>
      </w:r>
    </w:p>
    <w:p w14:paraId="73F11ABD" w14:textId="46313375" w:rsidR="00DB4BD3" w:rsidRPr="003342A9" w:rsidRDefault="00DB4BD3" w:rsidP="00AF1E99">
      <w:pPr>
        <w:pStyle w:val="Title"/>
        <w:jc w:val="both"/>
        <w:rPr>
          <w:b w:val="0"/>
          <w:szCs w:val="28"/>
        </w:rPr>
      </w:pPr>
      <w:r>
        <w:rPr>
          <w:b w:val="0"/>
        </w:rPr>
        <w:t xml:space="preserve"> </w:t>
      </w:r>
    </w:p>
    <w:p w14:paraId="5E945290" w14:textId="17392A0D" w:rsidR="00AF73F5" w:rsidRPr="003342A9" w:rsidRDefault="00093B4C" w:rsidP="00AF73F5">
      <w:pPr>
        <w:ind w:firstLine="360"/>
        <w:jc w:val="right"/>
        <w:rPr>
          <w:szCs w:val="28"/>
        </w:rPr>
      </w:pPr>
      <w:r>
        <w:rPr>
          <w:color w:val="000000"/>
          <w:szCs w:val="28"/>
        </w:rPr>
        <w:lastRenderedPageBreak/>
        <w:t>Anhang</w:t>
      </w:r>
      <w:r>
        <w:rPr>
          <w:color w:val="000000"/>
          <w:szCs w:val="28"/>
        </w:rPr>
        <w:br/>
      </w:r>
      <w:r w:rsidR="00AF73F5">
        <w:t xml:space="preserve">zur Kabinettsverordnung </w:t>
      </w:r>
    </w:p>
    <w:p w14:paraId="7B3054C5" w14:textId="77777777" w:rsidR="00AF73F5" w:rsidRPr="003342A9" w:rsidRDefault="00AF73F5" w:rsidP="00AF73F5">
      <w:pPr>
        <w:ind w:firstLine="360"/>
        <w:jc w:val="right"/>
        <w:rPr>
          <w:szCs w:val="28"/>
        </w:rPr>
      </w:pPr>
      <w:r>
        <w:t>Nr. 19 von</w:t>
      </w:r>
    </w:p>
    <w:p w14:paraId="08311071" w14:textId="77777777" w:rsidR="00AF73F5" w:rsidRPr="003342A9" w:rsidRDefault="00AF73F5" w:rsidP="00AF73F5">
      <w:pPr>
        <w:ind w:firstLine="360"/>
        <w:jc w:val="right"/>
        <w:rPr>
          <w:szCs w:val="28"/>
        </w:rPr>
      </w:pPr>
      <w:r>
        <w:t>7. Januar 2021</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Für die Verwendung in Lebensmitteln verbotene Pflanzen und Pflanzenteile</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1"/>
        <w:gridCol w:w="2857"/>
        <w:gridCol w:w="3706"/>
        <w:gridCol w:w="187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Lfd. Nr.</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Name der Pflanze in deutscher Sprache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Botanischer Name der Pflanze in lateinischer Sprache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Pflanze oder Pflanzenteil</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Adonis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Arekapalme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Gesamte Pflanze</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Pfeifenblume/Osterluzei/</w:t>
            </w:r>
            <w:r>
              <w:rPr>
                <w:color w:val="000000" w:themeColor="text1"/>
                <w:sz w:val="24"/>
              </w:rPr>
              <w:br/>
              <w:t>Aristolochia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Gesamte Pflanze</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Berg-Arnika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i/>
                <w:color w:val="000000" w:themeColor="text1"/>
                <w:sz w:val="24"/>
              </w:rPr>
              <w:t>Arnica montana</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Gesamte Pflanze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Wiesen-Arnika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i/>
                <w:color w:val="000000" w:themeColor="text1"/>
                <w:sz w:val="24"/>
              </w:rPr>
              <w:t>Arnica chamissonis</w:t>
            </w:r>
            <w:r>
              <w:rPr>
                <w:color w:val="000000" w:themeColor="text1"/>
                <w:sz w:val="24"/>
              </w:rPr>
              <w:t xml:space="preserve">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Gesamte Pflanze</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Wohlriechender Gänsefuß/Dysphania ambrosioides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i/>
                <w:color w:val="000000" w:themeColor="text1"/>
                <w:sz w:val="24"/>
              </w:rPr>
              <w:t>Chenopodium ambrosioides</w:t>
            </w:r>
            <w:r>
              <w:rPr>
                <w:color w:val="000000" w:themeColor="text1"/>
                <w:sz w:val="24"/>
              </w:rPr>
              <w:t xml:space="preserve"> L. var. </w:t>
            </w:r>
            <w:r>
              <w:rPr>
                <w:i/>
                <w:color w:val="000000" w:themeColor="text1"/>
                <w:sz w:val="24"/>
              </w:rPr>
              <w:t>anthelminticum</w:t>
            </w:r>
            <w:r>
              <w:rPr>
                <w:color w:val="000000" w:themeColor="text1"/>
                <w:sz w:val="24"/>
              </w:rPr>
              <w:t xml:space="preserve">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Baptisia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i/>
                <w:color w:val="000000" w:themeColor="text1"/>
                <w:sz w:val="24"/>
              </w:rPr>
              <w:t>Baptisia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Bittersüß</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i/>
                <w:color w:val="000000" w:themeColor="text1"/>
                <w:sz w:val="24"/>
              </w:rPr>
              <w:t>Solanum dulcamara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Schwarze Tollkirsche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i/>
                <w:color w:val="000000" w:themeColor="text1"/>
                <w:sz w:val="24"/>
              </w:rPr>
              <w:t xml:space="preserve">Atropa </w:t>
            </w:r>
            <w:r>
              <w:rPr>
                <w:i/>
                <w:sz w:val="24"/>
              </w:rPr>
              <w:t>belladonna</w:t>
            </w:r>
            <w:r>
              <w:rPr>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Gesamte Pflanze</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Lerchensporn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i/>
                <w:color w:val="000000" w:themeColor="text1"/>
                <w:sz w:val="24"/>
              </w:rPr>
              <w:t>Corydalis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Vierblättrige Einbeere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i/>
                <w:color w:val="000000" w:themeColor="text1"/>
                <w:sz w:val="24"/>
              </w:rPr>
              <w:t>Paris quadrifolia</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Wolfsmilch</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i/>
                <w:color w:val="000000" w:themeColor="text1"/>
                <w:sz w:val="24"/>
              </w:rPr>
              <w:t>Euphorbia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Dieffenbachie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i/>
                <w:color w:val="000000" w:themeColor="text1"/>
                <w:sz w:val="24"/>
              </w:rPr>
              <w:t>Dieffenbachia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Bilsenkraut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i/>
                <w:color w:val="000000" w:themeColor="text1"/>
                <w:sz w:val="24"/>
              </w:rPr>
              <w:t>Hyoscyamus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Ephedra/Meerträubel</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i/>
                <w:color w:val="131413"/>
                <w:sz w:val="24"/>
              </w:rPr>
              <w:t>Ephedra</w:t>
            </w:r>
            <w:r>
              <w:rPr>
                <w:color w:val="131413"/>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Engelstrompete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i/>
                <w:color w:val="000000" w:themeColor="text1"/>
                <w:sz w:val="24"/>
              </w:rPr>
              <w:t>Brugmansia</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Adlerfarn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i/>
                <w:color w:val="000000" w:themeColor="text1"/>
                <w:sz w:val="24"/>
              </w:rPr>
              <w:t>Pteridium aquilinum</w:t>
            </w:r>
            <w:r>
              <w:rPr>
                <w:color w:val="000000" w:themeColor="text1"/>
                <w:sz w:val="24"/>
              </w:rPr>
              <w:t xml:space="preserve">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Phytolacca/Kermesbeere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i/>
                <w:color w:val="000000" w:themeColor="text1"/>
                <w:sz w:val="24"/>
              </w:rPr>
              <w:t>Phytolacca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Fritillaria/Schachbrettblume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i/>
                <w:color w:val="000000" w:themeColor="text1"/>
                <w:sz w:val="24"/>
              </w:rPr>
              <w:t>Frittillaria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Gelsemium/Wilder Jasmin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i/>
                <w:color w:val="000000" w:themeColor="text1"/>
                <w:sz w:val="24"/>
              </w:rPr>
              <w:t>Gelsemium</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Heliotropium/Sonnenwenden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i/>
                <w:color w:val="000000" w:themeColor="text1"/>
                <w:sz w:val="24"/>
              </w:rPr>
              <w:t>Heliotropium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Nicaragua-Ipecacuanha; Panama-Ipecacuanha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Cephaelis acuminata</w:t>
            </w:r>
            <w:r>
              <w:rPr>
                <w:color w:val="000000" w:themeColor="text1"/>
                <w:sz w:val="24"/>
              </w:rPr>
              <w:t xml:space="preserve"> (Benth.) Karst., syn. </w:t>
            </w:r>
            <w:r>
              <w:rPr>
                <w:i/>
                <w:color w:val="000000" w:themeColor="text1"/>
                <w:sz w:val="24"/>
              </w:rPr>
              <w:t>Uragoga acuminata</w:t>
            </w:r>
            <w:r>
              <w:rPr>
                <w:color w:val="000000" w:themeColor="text1"/>
                <w:sz w:val="24"/>
              </w:rPr>
              <w:t xml:space="preserve"> (Benth.) O. Kuntze, </w:t>
            </w:r>
            <w:r>
              <w:rPr>
                <w:i/>
                <w:color w:val="000000" w:themeColor="text1"/>
                <w:sz w:val="24"/>
              </w:rPr>
              <w:t>Psychotria acuminata</w:t>
            </w:r>
            <w:r>
              <w:rPr>
                <w:color w:val="000000" w:themeColor="text1"/>
                <w:sz w:val="24"/>
              </w:rPr>
              <w:t xml:space="preserve">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Wurzeln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Rio-Ipecacuanha; Brasilien-Ipecacuanha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262D4F" w:rsidRDefault="00AF73F5">
            <w:pPr>
              <w:spacing w:line="256" w:lineRule="auto"/>
              <w:rPr>
                <w:iCs/>
                <w:color w:val="000000" w:themeColor="text1"/>
                <w:sz w:val="24"/>
                <w:szCs w:val="24"/>
                <w:lang w:val="en-US"/>
              </w:rPr>
            </w:pPr>
            <w:r w:rsidRPr="00262D4F">
              <w:rPr>
                <w:i/>
                <w:color w:val="000000" w:themeColor="text1"/>
                <w:sz w:val="24"/>
                <w:lang w:val="en-US"/>
              </w:rPr>
              <w:t>Cephaelis ipecacuanha</w:t>
            </w:r>
            <w:r w:rsidRPr="00262D4F">
              <w:rPr>
                <w:color w:val="000000" w:themeColor="text1"/>
                <w:sz w:val="24"/>
                <w:lang w:val="en-US"/>
              </w:rPr>
              <w:t xml:space="preserve"> (Brot.) A. Rich. syn. </w:t>
            </w:r>
            <w:r w:rsidRPr="00262D4F">
              <w:rPr>
                <w:i/>
                <w:color w:val="000000" w:themeColor="text1"/>
                <w:sz w:val="24"/>
                <w:lang w:val="en-US"/>
              </w:rPr>
              <w:t>Uragoga ipecacuanha</w:t>
            </w:r>
            <w:r w:rsidRPr="00262D4F">
              <w:rPr>
                <w:color w:val="000000" w:themeColor="text1"/>
                <w:sz w:val="24"/>
                <w:lang w:val="en-US"/>
              </w:rPr>
              <w:t xml:space="preserve"> (Brot.) Baill., </w:t>
            </w:r>
            <w:r w:rsidRPr="00262D4F">
              <w:rPr>
                <w:i/>
                <w:color w:val="000000" w:themeColor="text1"/>
                <w:sz w:val="24"/>
                <w:lang w:val="en-US"/>
              </w:rPr>
              <w:t>Psychotria ipecacuanha</w:t>
            </w:r>
            <w:r w:rsidRPr="00262D4F">
              <w:rPr>
                <w:color w:val="000000" w:themeColor="text1"/>
                <w:sz w:val="24"/>
                <w:lang w:val="en-US"/>
              </w:rPr>
              <w:t xml:space="preserve"> (Brot.)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Wurzeln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Ilex</w:t>
            </w:r>
            <w:r>
              <w:rPr>
                <w:color w:val="000000" w:themeColor="text1"/>
                <w:sz w:val="24"/>
              </w:rPr>
              <w:br/>
              <w:t>Stechpalme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i/>
                <w:color w:val="000000" w:themeColor="text1"/>
                <w:sz w:val="24"/>
              </w:rPr>
              <w:t>Ilex aquifolium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Blätter, Früchte</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Yohimbe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Pausinystalia yohimbe</w:t>
            </w:r>
            <w:r>
              <w:rPr>
                <w:i/>
                <w:color w:val="000000" w:themeColor="text1"/>
                <w:sz w:val="24"/>
              </w:rPr>
              <w:t xml:space="preserve"> </w:t>
            </w:r>
            <w:r>
              <w:rPr>
                <w:color w:val="000000" w:themeColor="text1"/>
                <w:sz w:val="24"/>
              </w:rPr>
              <w:t>(K.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Baumrinde</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Immergrün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i/>
                <w:color w:val="000000" w:themeColor="text1"/>
                <w:sz w:val="24"/>
              </w:rPr>
              <w:t>Vinca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Kroton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i/>
                <w:color w:val="000000" w:themeColor="text1"/>
                <w:sz w:val="24"/>
              </w:rPr>
              <w:t>Croton</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Gesamte Pflanze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Rosafarbene Catharanthe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262D4F" w:rsidRDefault="00AF73F5">
            <w:pPr>
              <w:spacing w:line="256" w:lineRule="auto"/>
              <w:rPr>
                <w:iCs/>
                <w:color w:val="000000" w:themeColor="text1"/>
                <w:sz w:val="24"/>
                <w:szCs w:val="24"/>
                <w:lang w:val="en-US"/>
              </w:rPr>
            </w:pPr>
            <w:r w:rsidRPr="00262D4F">
              <w:rPr>
                <w:i/>
                <w:color w:val="000000" w:themeColor="text1"/>
                <w:sz w:val="24"/>
                <w:lang w:val="en-US"/>
              </w:rPr>
              <w:t>Catharanthus roseus</w:t>
            </w:r>
            <w:r w:rsidRPr="00262D4F">
              <w:rPr>
                <w:color w:val="000000" w:themeColor="text1"/>
                <w:sz w:val="24"/>
                <w:lang w:val="en-US"/>
              </w:rPr>
              <w:t xml:space="preserve"> (L.) G.Don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Maiglöckchen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i/>
                <w:color w:val="000000" w:themeColor="text1"/>
                <w:sz w:val="24"/>
              </w:rPr>
              <w:t>Convallaria majalis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Gesamte Pflanze</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Kreuzkraut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i/>
                <w:color w:val="000000" w:themeColor="text1"/>
                <w:sz w:val="24"/>
              </w:rPr>
              <w:t>Senecio</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Haselwurz</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i/>
                <w:color w:val="000000" w:themeColor="text1"/>
                <w:sz w:val="24"/>
              </w:rPr>
              <w:t>Asarum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Gesamte Pflanze</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Eisenhut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i/>
                <w:color w:val="000000" w:themeColor="text1"/>
                <w:sz w:val="24"/>
              </w:rPr>
              <w:t>Aconitum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Lobelien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i/>
                <w:color w:val="000000" w:themeColor="text1"/>
                <w:sz w:val="24"/>
              </w:rPr>
              <w:t>Lobelia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Mandragora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i/>
                <w:color w:val="000000" w:themeColor="text1"/>
                <w:sz w:val="24"/>
              </w:rPr>
              <w:t>Mandragora officinarum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Kanadischer Mondsame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i/>
                <w:color w:val="000000" w:themeColor="text1"/>
                <w:sz w:val="24"/>
              </w:rPr>
              <w:t>Menispermum canadense</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Früchte, Wurzeln</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Salomonssiegel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Polygonatum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Juckbohne, tropische</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sidRPr="00262D4F">
              <w:rPr>
                <w:color w:val="000000" w:themeColor="text1"/>
                <w:sz w:val="24"/>
                <w:lang w:val="da-DK"/>
              </w:rPr>
              <w:t xml:space="preserve">Mucuna pruriens (L.) DC., syn. </w:t>
            </w:r>
            <w:r>
              <w:rPr>
                <w:color w:val="000000" w:themeColor="text1"/>
                <w:sz w:val="24"/>
              </w:rPr>
              <w:t xml:space="preserve">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Schwarzer Nachtschatten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i/>
                <w:color w:val="000000" w:themeColor="text1"/>
                <w:sz w:val="24"/>
              </w:rPr>
              <w:t>Solanum nigrum</w:t>
            </w:r>
            <w:r>
              <w:rPr>
                <w:color w:val="000000" w:themeColor="text1"/>
                <w:sz w:val="24"/>
              </w:rPr>
              <w:t xml:space="preserve">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Oleander</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i/>
                <w:color w:val="000000" w:themeColor="text1"/>
                <w:sz w:val="24"/>
              </w:rPr>
              <w:t>Nerium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Gemeine Akelei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i/>
                <w:color w:val="000000" w:themeColor="text1"/>
                <w:sz w:val="24"/>
              </w:rPr>
              <w:t>Aquilegia vulgaris</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Gesamte Pflanze</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Gemeiner Wurmfarn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sidRPr="00262D4F">
              <w:rPr>
                <w:color w:val="000000" w:themeColor="text1"/>
                <w:sz w:val="24"/>
                <w:lang w:val="en-US"/>
              </w:rPr>
              <w:t xml:space="preserve">Dryopteris filix-mas (L.) Schott, syn. Aspidium filix-mas (L.) Sw., Lastrea filix-mas (L.) </w:t>
            </w:r>
            <w:r>
              <w:rPr>
                <w:color w:val="000000" w:themeColor="text1"/>
                <w:sz w:val="24"/>
              </w:rPr>
              <w:t xml:space="preserve">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Gesamte Pflanze</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Rutakraut/</w:t>
            </w:r>
            <w:r>
              <w:rPr>
                <w:color w:val="000000" w:themeColor="text1"/>
                <w:sz w:val="24"/>
              </w:rPr>
              <w:br/>
              <w:t>Pilocarpus jaborandi</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i/>
                <w:color w:val="000000" w:themeColor="text1"/>
                <w:sz w:val="24"/>
              </w:rPr>
              <w:t>Pilocarpus</w:t>
            </w:r>
            <w:r>
              <w:rPr>
                <w:color w:val="000000" w:themeColor="text1"/>
                <w:sz w:val="24"/>
              </w:rPr>
              <w:t xml:space="preserve">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Gemeiner Fischfänger/Piscidia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sidRPr="00262D4F">
              <w:rPr>
                <w:color w:val="000000" w:themeColor="text1"/>
                <w:sz w:val="24"/>
                <w:lang w:val="it-IT"/>
              </w:rPr>
              <w:t xml:space="preserve">Piscidia piscipula (L.) Sarg., syn. </w:t>
            </w:r>
            <w:r>
              <w:rPr>
                <w:color w:val="000000" w:themeColor="text1"/>
                <w:sz w:val="24"/>
              </w:rPr>
              <w:t>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Schlangenwurz/Rauvolfia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i/>
                <w:color w:val="000000" w:themeColor="text1"/>
                <w:sz w:val="24"/>
              </w:rPr>
              <w:t>Rauvolfia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Sassafras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i/>
                <w:color w:val="000000" w:themeColor="text1"/>
                <w:sz w:val="24"/>
              </w:rPr>
              <w:t>Sassafras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Gesamte Pflanze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Zaunrüben/Bryonia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i/>
                <w:color w:val="000000" w:themeColor="text1"/>
                <w:sz w:val="24"/>
              </w:rPr>
              <w:t>Bryonia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Sida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i/>
                <w:color w:val="000000" w:themeColor="text1"/>
                <w:sz w:val="24"/>
              </w:rPr>
              <w:t>Sida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Brechnuss/Strychninbaum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i/>
                <w:color w:val="000000" w:themeColor="text1"/>
                <w:sz w:val="24"/>
              </w:rPr>
              <w:t>Strychnos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Strophanthus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i/>
                <w:color w:val="000000" w:themeColor="text1"/>
                <w:sz w:val="24"/>
              </w:rPr>
              <w:t>Strophanthus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Blauer Cohosh, Hahnenfuß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i/>
                <w:color w:val="000000" w:themeColor="text1"/>
                <w:sz w:val="24"/>
              </w:rPr>
              <w:t>Caulophyllum thalictroides</w:t>
            </w:r>
            <w:r>
              <w:rPr>
                <w:color w:val="000000" w:themeColor="text1"/>
                <w:sz w:val="24"/>
              </w:rPr>
              <w:t xml:space="preserve">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Gefleckter Schierling/</w:t>
            </w:r>
            <w:r>
              <w:rPr>
                <w:color w:val="000000" w:themeColor="text1"/>
                <w:sz w:val="24"/>
              </w:rPr>
              <w:br/>
              <w:t>Conium maculatum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i/>
                <w:color w:val="000000" w:themeColor="text1"/>
                <w:sz w:val="24"/>
              </w:rPr>
              <w:t>Conium maculatum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Beinwell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i/>
                <w:color w:val="000000" w:themeColor="text1"/>
                <w:sz w:val="24"/>
              </w:rPr>
              <w:t>Symphytum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Thuja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i/>
                <w:color w:val="000000" w:themeColor="text1"/>
                <w:sz w:val="24"/>
              </w:rPr>
              <w:t>Thuja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Meerzwiebel/</w:t>
            </w:r>
            <w:r>
              <w:rPr>
                <w:color w:val="000000" w:themeColor="text1"/>
                <w:sz w:val="24"/>
              </w:rPr>
              <w:br/>
              <w:t>Urginea maritima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i/>
                <w:color w:val="000000" w:themeColor="text1"/>
                <w:sz w:val="24"/>
              </w:rPr>
              <w:t>Urginea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Zwiebel</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Fingerhut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i/>
                <w:color w:val="000000" w:themeColor="text1"/>
                <w:sz w:val="24"/>
              </w:rPr>
              <w:t>Digitalis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Stechapfel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i/>
                <w:color w:val="000000" w:themeColor="text1"/>
                <w:sz w:val="24"/>
              </w:rPr>
              <w:t>Datura</w:t>
            </w:r>
            <w:r>
              <w:rPr>
                <w:color w:val="000000" w:themeColor="text1"/>
                <w:sz w:val="24"/>
              </w:rPr>
              <w:t xml:space="preserve"> 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Gesamte Pflanze</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Germer/Veratum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i/>
                <w:color w:val="000000" w:themeColor="text1"/>
                <w:sz w:val="24"/>
              </w:rPr>
              <w:t>Veratrum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Zeitlose/Colchicum</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i/>
                <w:color w:val="000000" w:themeColor="text1"/>
                <w:sz w:val="24"/>
              </w:rPr>
              <w:t>Colchicum</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Anemonen</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i/>
                <w:color w:val="000000" w:themeColor="text1"/>
                <w:sz w:val="24"/>
              </w:rPr>
              <w:t>Anemone</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Gesamte Pflanze</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Gemeiner Seidelbast</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i/>
                <w:color w:val="000000" w:themeColor="text1"/>
                <w:sz w:val="24"/>
              </w:rPr>
              <w:t>Daphne mezereum</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Gesamte Pflanze</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Gemeiner Goldregen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Gesamte Pflanze</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Landwirtschaftsminister</w:t>
      </w:r>
      <w:r>
        <w:rPr>
          <w:rFonts w:ascii="Times New Roman" w:hAnsi="Times New Roman"/>
          <w:color w:val="auto"/>
          <w:sz w:val="28"/>
        </w:rPr>
        <w:tab/>
        <w:t>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CC22" w14:textId="77777777" w:rsidR="00D36A21" w:rsidRDefault="00D36A21" w:rsidP="004B3C2F">
      <w:r>
        <w:separator/>
      </w:r>
    </w:p>
  </w:endnote>
  <w:endnote w:type="continuationSeparator" w:id="0">
    <w:p w14:paraId="5BD03C50" w14:textId="77777777" w:rsidR="00D36A21" w:rsidRDefault="00D36A21"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156" w14:textId="77777777" w:rsidR="00D36A21" w:rsidRDefault="00D36A21" w:rsidP="004B3C2F">
      <w:r>
        <w:separator/>
      </w:r>
    </w:p>
  </w:footnote>
  <w:footnote w:type="continuationSeparator" w:id="0">
    <w:p w14:paraId="79E339DA" w14:textId="77777777" w:rsidR="00D36A21" w:rsidRDefault="00D36A21"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93B4C"/>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2D4F"/>
    <w:rsid w:val="00263555"/>
    <w:rsid w:val="00276ED8"/>
    <w:rsid w:val="00280C60"/>
    <w:rsid w:val="002873AC"/>
    <w:rsid w:val="002B225D"/>
    <w:rsid w:val="002B76A1"/>
    <w:rsid w:val="002D4D43"/>
    <w:rsid w:val="002E10F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A21"/>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9</cp:revision>
  <cp:lastPrinted>2020-12-17T08:29:00Z</cp:lastPrinted>
  <dcterms:created xsi:type="dcterms:W3CDTF">2021-01-28T10:51:00Z</dcterms:created>
  <dcterms:modified xsi:type="dcterms:W3CDTF">2021-10-20T11:31:00Z</dcterms:modified>
  <cp:category/>
</cp:coreProperties>
</file>