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 ta’ Jannar 2021</w:t>
      </w:r>
      <w:r>
        <w:tab/>
      </w:r>
      <w:r>
        <w:t xml:space="preserve">Regolament Nru 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F’Riga</w:t>
      </w:r>
      <w:r>
        <w:tab/>
      </w:r>
      <w:r>
        <w:t xml:space="preserve">(Nru tal-Minuti 2, § 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Regolament dwar pjanti u partijiet ta’ pjanti pprojbiti għall-użu fl-ikel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Maħruġ skont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Artikolu 4(18) tal-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Liġi dwar is-Superviżjoni tal-Immaniġġjar tal-Ikel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t xml:space="preserve">Ir-Regolament jistabbilixxi pjanti u partijiet ta’ pjanti pprojbiti għall-użu fl-ikel kif stipulat fl-Anness għal dan ir-Regolament.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Ikel legalment kummerċjalizzat fi </w:t>
      </w:r>
      <w:r>
        <w:rPr>
          <w:color w:val="000000" w:themeColor="text1"/>
          <w:rStyle w:val="highlight"/>
        </w:rPr>
        <w:t xml:space="preserve">Stat Membru ieħor tal-Unjoni Ewropea jew fit-Turkija</w:t>
      </w:r>
      <w:r>
        <w:rPr>
          <w:color w:val="000000" w:themeColor="text1"/>
          <w:shd w:val="clear" w:color="auto" w:fill="FFFFFF"/>
        </w:rPr>
        <w:t xml:space="preserve"> jew li joriġina minn u li huma kkummerċjalizzati legalment f’wieħed mill-pajjiżi tal-Assoċjazzjoni Ewropea tal-Kummerċ Ħieles li huwa parti kontraenti għall-Ftehim dwar iż-Żona Ekonomika Ewropea jistgħu jitqassmu fis-suq Latvjan soġġett għal-leġiżlazzjoni tal-Unjoni Ewropea direttament applikabbli dwar ir-rikonoxximent reċiproku tal-merkanzija.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Referenzi għad-Direttiva tal-Unjoni Ewropea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Id-dispożizzjonijiet legali ġew miftiehma mal-Kummissjoni Ewropea u mal-Istati Membri tal-Unjoni Ewropea skont id-Direttiva (UE) 2015/1535 tal-Parlament Ewropew u tal-Kunsill tad-9 ta’ Settembru 2015 li tistabbilixxi proċedura għall-għoti ta’ informazzjoni fil-qasam tar-regolamenti tekniċi u tas-servizzi tas-Soċjetà tal-Informazzjoni.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rFonts w:ascii="Times New Roman" w:hAnsi="Times New Roman"/>
        </w:rPr>
        <w:t xml:space="preserve">Il-Prim Ministru</w:t>
      </w:r>
      <w:r>
        <w:rPr>
          <w:sz w:val="28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Ministru tal-Agrikoltura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Anness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għar-Regolament tal-Kabinett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Nru 19 ta’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 ta’ Jannar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Pjanti u partijiet ta’ pjanti pprojbiti għall-użu fl-ikel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Nru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L-isem tal-pjanta bil-Malti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L-isem tal-pjanta bil-Latin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Pjanta jew parti minn pjanta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Għajn is-serduk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Palmi Areca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Il-pjanta kollha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Aristolokja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montana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Il-pjanta kollha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Dysphania anthelmintica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Bittersweet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Deadly nightshade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color w:val="000000" w:themeColor="text1"/>
              </w:rPr>
              <w:t xml:space="preserve">Atropa </w:t>
            </w:r>
            <w:r>
              <w:rPr>
                <w:sz w:val="24"/>
                <w:i/>
              </w:rPr>
              <w:t xml:space="preserve">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Il-pjanta kollha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Herb-Paris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Tengħud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Dieffenbachia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Henbane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Ephedra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Angel’s trumpet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Eagle fern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Ħaxix Amaranta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Fritillaries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Heliotropium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Ipekakwana tan-Nikaragwa, Ipekakwana tal-Panama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 Kuntze, </w:t>
            </w:r>
            <w:r>
              <w:rPr>
                <w:color w:val="000000" w:themeColor="text1"/>
                <w:sz w:val="24"/>
                <w:i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L-għeruq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Ipekakwana ta’ Rio, Ipekakwana Brażiljana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 syn. </w:t>
            </w:r>
            <w:r>
              <w:rPr>
                <w:color w:val="000000" w:themeColor="text1"/>
                <w:sz w:val="24"/>
                <w:i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L-għeruq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Komuni</w:t>
            </w:r>
            <w:r>
              <w:rPr>
                <w:color w:val="000000" w:themeColor="text1"/>
                <w:sz w:val="24"/>
              </w:rPr>
              <w:br/>
            </w:r>
            <w:r>
              <w:rPr>
                <w:color w:val="000000" w:themeColor="text1"/>
                <w:sz w:val="24"/>
              </w:rPr>
              <w:t xml:space="preserve">ballut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Il-weraq, il-frotta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Yohimbe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</w:rPr>
              <w:t xml:space="preserve">Pausinystalia yohimbe</w:t>
            </w:r>
            <w:r>
              <w:rPr>
                <w:color w:val="000000" w:themeColor="text1"/>
                <w:sz w:val="24"/>
                <w:i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Il-qoxra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Periwinkle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Periwinkle ta’ Madagascar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Ġilju tal-widien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Kubrita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Ġinġer selvaġġ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Il-pjanta kollha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Wolf’s bane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Lobelias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Mandrake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Moonseed Kanadiża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Il-frotta, l-għeruq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Solomon’s seal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Velvet bean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Għeneb id-dib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Olijandru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Common columbine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Il-pjanta kollha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Basal tad-duda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Fishpoison tree ta’ Florida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Siġra ta’ Strychnine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Strophanthus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Blue cohosh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Għażiż ħażin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Widnet il-għomor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Drimia maritima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Il-basal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Diġitalis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Patata bix-xewk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False hellebores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Colchicum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Anemone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February daphne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Golden chain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Il-pjanta kollha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Ministru tal-Agrikoltura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