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B6D3F" w14:textId="230B48A7" w:rsidR="00037899" w:rsidRPr="00037899" w:rsidRDefault="00037899" w:rsidP="00037899">
      <w:pPr>
        <w:rPr>
          <w:rFonts w:ascii="Courier New" w:hAnsi="Courier New" w:cs="Courier New"/>
        </w:rPr>
      </w:pPr>
      <w:bookmarkStart w:id="0" w:name="_GoBack"/>
      <w:bookmarkEnd w:id="0"/>
      <w:r>
        <w:rPr>
          <w:rFonts w:ascii="Courier New" w:hAnsi="Courier New"/>
        </w:rPr>
        <w:t>1. ------IND- 2020 0482 NL- EN- ------ 20200803 --- --- PROJET</w:t>
      </w:r>
    </w:p>
    <w:p w14:paraId="3B017F30" w14:textId="1E33DB97" w:rsidR="00073874" w:rsidRDefault="00073874" w:rsidP="00073874">
      <w:pPr>
        <w:rPr>
          <w:rFonts w:ascii="Verdana" w:hAnsi="Verdana"/>
          <w:sz w:val="18"/>
          <w:szCs w:val="18"/>
        </w:rPr>
      </w:pPr>
      <w:r>
        <w:rPr>
          <w:rFonts w:ascii="Verdana" w:hAnsi="Verdana"/>
          <w:sz w:val="18"/>
          <w:szCs w:val="18"/>
        </w:rPr>
        <w:t xml:space="preserve">Decree from the Minister for Medical Care of ... containing rules on foods based on (cow or goat milk) protein, to which at least one or more vitamins, minerals or other substances have been added, and which are intended to be used as a drink for young children between the ages of one and three years (Commodities Act Decree on </w:t>
      </w:r>
      <w:r w:rsidR="00CD3CED">
        <w:rPr>
          <w:rFonts w:ascii="Verdana" w:hAnsi="Verdana"/>
          <w:sz w:val="18"/>
          <w:szCs w:val="18"/>
        </w:rPr>
        <w:t>toddler drinks</w:t>
      </w:r>
      <w:r>
        <w:rPr>
          <w:rFonts w:ascii="Verdana" w:hAnsi="Verdana"/>
          <w:sz w:val="18"/>
          <w:szCs w:val="18"/>
        </w:rPr>
        <w:t xml:space="preserve"> and toddler milk)</w:t>
      </w:r>
    </w:p>
    <w:p w14:paraId="437932D9" w14:textId="77777777" w:rsidR="00073874" w:rsidRDefault="00073874" w:rsidP="00073874">
      <w:pPr>
        <w:rPr>
          <w:rFonts w:ascii="Verdana" w:hAnsi="Verdana"/>
          <w:sz w:val="18"/>
          <w:szCs w:val="18"/>
        </w:rPr>
      </w:pPr>
    </w:p>
    <w:p w14:paraId="1BA08394" w14:textId="77777777" w:rsidR="00073874" w:rsidRDefault="00073874" w:rsidP="00073874">
      <w:pPr>
        <w:rPr>
          <w:rFonts w:ascii="Verdana" w:hAnsi="Verdana"/>
          <w:sz w:val="18"/>
          <w:szCs w:val="18"/>
        </w:rPr>
      </w:pPr>
    </w:p>
    <w:p w14:paraId="77E488F3" w14:textId="77777777" w:rsidR="00073874" w:rsidRDefault="00073874" w:rsidP="00073874">
      <w:pPr>
        <w:rPr>
          <w:rFonts w:ascii="Verdana" w:hAnsi="Verdana"/>
          <w:sz w:val="18"/>
          <w:szCs w:val="18"/>
        </w:rPr>
      </w:pPr>
    </w:p>
    <w:p w14:paraId="1566B75C" w14:textId="77777777" w:rsidR="00073874" w:rsidRDefault="00073874" w:rsidP="00073874">
      <w:pPr>
        <w:rPr>
          <w:rFonts w:ascii="Verdana" w:hAnsi="Verdana"/>
          <w:sz w:val="18"/>
          <w:szCs w:val="18"/>
        </w:rPr>
      </w:pPr>
    </w:p>
    <w:p w14:paraId="2094F940" w14:textId="77777777" w:rsidR="00073874" w:rsidRDefault="00073874" w:rsidP="00073874">
      <w:pPr>
        <w:rPr>
          <w:rFonts w:ascii="Verdana" w:hAnsi="Verdana"/>
          <w:sz w:val="18"/>
          <w:szCs w:val="18"/>
        </w:rPr>
      </w:pPr>
    </w:p>
    <w:p w14:paraId="0E2AC1E7" w14:textId="35D373B2" w:rsidR="00073874" w:rsidRPr="005931DF" w:rsidRDefault="00073874" w:rsidP="00073874">
      <w:pPr>
        <w:rPr>
          <w:rFonts w:ascii="Verdana" w:hAnsi="Verdana"/>
          <w:sz w:val="18"/>
          <w:szCs w:val="18"/>
        </w:rPr>
      </w:pPr>
      <w:r>
        <w:rPr>
          <w:rFonts w:ascii="Verdana" w:hAnsi="Verdana"/>
          <w:sz w:val="18"/>
          <w:szCs w:val="18"/>
        </w:rPr>
        <w:t>At the proposal of Our Minister for Medical Care of... 2020, reference -WJZ;</w:t>
      </w:r>
    </w:p>
    <w:p w14:paraId="195D707F" w14:textId="77777777" w:rsidR="00073874" w:rsidRDefault="00073874" w:rsidP="00073874">
      <w:pPr>
        <w:rPr>
          <w:rFonts w:ascii="Verdana" w:hAnsi="Verdana"/>
          <w:sz w:val="18"/>
          <w:szCs w:val="18"/>
        </w:rPr>
      </w:pPr>
    </w:p>
    <w:p w14:paraId="58E25089" w14:textId="007B3731" w:rsidR="00073874" w:rsidRPr="00834842" w:rsidRDefault="00834842" w:rsidP="00834842">
      <w:pPr>
        <w:rPr>
          <w:rFonts w:ascii="Verdana" w:hAnsi="Verdana"/>
          <w:sz w:val="18"/>
          <w:szCs w:val="18"/>
        </w:rPr>
      </w:pPr>
      <w:r>
        <w:rPr>
          <w:rFonts w:ascii="Verdana" w:hAnsi="Verdana"/>
          <w:sz w:val="18"/>
          <w:szCs w:val="18"/>
        </w:rPr>
        <w:t>Having regard to Articles 4(1), 5(1), 8(1)(a), (b), (c) and (f), and 32b of the Commodities Act;</w:t>
      </w:r>
    </w:p>
    <w:p w14:paraId="7D388C48" w14:textId="77777777" w:rsidR="00073874" w:rsidRPr="005931DF" w:rsidRDefault="00073874" w:rsidP="00073874">
      <w:pPr>
        <w:rPr>
          <w:rFonts w:ascii="Verdana" w:hAnsi="Verdana"/>
          <w:sz w:val="18"/>
          <w:szCs w:val="18"/>
        </w:rPr>
      </w:pPr>
    </w:p>
    <w:p w14:paraId="7D6A914D" w14:textId="3827A31D" w:rsidR="00073874" w:rsidRPr="005931DF" w:rsidRDefault="00073874" w:rsidP="00073874">
      <w:pPr>
        <w:rPr>
          <w:rFonts w:ascii="Verdana" w:hAnsi="Verdana"/>
          <w:sz w:val="18"/>
          <w:szCs w:val="18"/>
        </w:rPr>
      </w:pPr>
      <w:r>
        <w:rPr>
          <w:rFonts w:ascii="Verdana" w:hAnsi="Verdana"/>
          <w:sz w:val="18"/>
          <w:szCs w:val="18"/>
        </w:rPr>
        <w:t>Having heard from the Advisory Division of the Council of State (opinion of [insert date of opinion]</w:t>
      </w:r>
      <w:proofErr w:type="gramStart"/>
      <w:r>
        <w:rPr>
          <w:rFonts w:ascii="Verdana" w:hAnsi="Verdana"/>
          <w:sz w:val="18"/>
          <w:szCs w:val="18"/>
        </w:rPr>
        <w:t>, ,</w:t>
      </w:r>
      <w:proofErr w:type="gramEnd"/>
      <w:r>
        <w:rPr>
          <w:rFonts w:ascii="Verdana" w:hAnsi="Verdana"/>
          <w:sz w:val="18"/>
          <w:szCs w:val="18"/>
        </w:rPr>
        <w:t xml:space="preserve"> No [insert number of opinion]);</w:t>
      </w:r>
    </w:p>
    <w:p w14:paraId="7C552D95" w14:textId="77777777" w:rsidR="00073874" w:rsidRPr="005931DF" w:rsidRDefault="00073874" w:rsidP="00073874">
      <w:pPr>
        <w:rPr>
          <w:rFonts w:ascii="Verdana" w:hAnsi="Verdana"/>
          <w:sz w:val="18"/>
          <w:szCs w:val="18"/>
        </w:rPr>
      </w:pPr>
    </w:p>
    <w:p w14:paraId="6AC29BA5" w14:textId="624D8AC7" w:rsidR="00073874" w:rsidRPr="005931DF" w:rsidRDefault="00073874" w:rsidP="00073874">
      <w:pPr>
        <w:rPr>
          <w:rFonts w:ascii="Verdana" w:hAnsi="Verdana"/>
          <w:sz w:val="18"/>
          <w:szCs w:val="18"/>
        </w:rPr>
      </w:pPr>
      <w:r>
        <w:rPr>
          <w:rFonts w:ascii="Verdana" w:hAnsi="Verdana"/>
          <w:sz w:val="18"/>
          <w:szCs w:val="18"/>
        </w:rPr>
        <w:t>In light of the detailed report of Our Minister for Medical Care of [insert date of detailed report], [insert reference of detailed report];</w:t>
      </w:r>
    </w:p>
    <w:p w14:paraId="46DA0626" w14:textId="77777777" w:rsidR="00073874" w:rsidRPr="006B7C86" w:rsidRDefault="00073874" w:rsidP="00073874">
      <w:pPr>
        <w:rPr>
          <w:rFonts w:ascii="Verdana" w:hAnsi="Verdana"/>
          <w:sz w:val="18"/>
          <w:szCs w:val="18"/>
        </w:rPr>
      </w:pPr>
    </w:p>
    <w:p w14:paraId="352AA74A" w14:textId="77777777" w:rsidR="00073874" w:rsidRPr="006B7C86" w:rsidRDefault="00073874" w:rsidP="00073874">
      <w:pPr>
        <w:rPr>
          <w:rFonts w:ascii="Verdana" w:hAnsi="Verdana"/>
          <w:sz w:val="18"/>
          <w:szCs w:val="18"/>
        </w:rPr>
      </w:pPr>
      <w:r>
        <w:rPr>
          <w:rFonts w:ascii="Verdana" w:hAnsi="Verdana"/>
          <w:sz w:val="18"/>
          <w:szCs w:val="18"/>
        </w:rPr>
        <w:t>Have approved and hereby decree the following:</w:t>
      </w:r>
    </w:p>
    <w:p w14:paraId="4060804C" w14:textId="77777777" w:rsidR="00073874" w:rsidRPr="006B7C86" w:rsidRDefault="00073874" w:rsidP="00073874">
      <w:pPr>
        <w:rPr>
          <w:rFonts w:ascii="Verdana" w:hAnsi="Verdana"/>
          <w:sz w:val="18"/>
          <w:szCs w:val="18"/>
        </w:rPr>
      </w:pPr>
    </w:p>
    <w:p w14:paraId="5126C936" w14:textId="77777777" w:rsidR="00073874" w:rsidRPr="006B7C86" w:rsidRDefault="00073874" w:rsidP="00037899">
      <w:pPr>
        <w:keepNext/>
        <w:keepLines/>
        <w:rPr>
          <w:rFonts w:ascii="Verdana" w:hAnsi="Verdana"/>
          <w:b/>
          <w:sz w:val="18"/>
          <w:szCs w:val="18"/>
        </w:rPr>
      </w:pPr>
      <w:r>
        <w:rPr>
          <w:rFonts w:ascii="Verdana" w:hAnsi="Verdana"/>
          <w:b/>
          <w:sz w:val="18"/>
          <w:szCs w:val="18"/>
        </w:rPr>
        <w:t>§ 1. General provisions</w:t>
      </w:r>
    </w:p>
    <w:p w14:paraId="58020225" w14:textId="77777777" w:rsidR="00073874" w:rsidRPr="006B7C86" w:rsidRDefault="00073874" w:rsidP="00037899">
      <w:pPr>
        <w:keepNext/>
        <w:keepLines/>
        <w:rPr>
          <w:rFonts w:ascii="Verdana" w:hAnsi="Verdana"/>
          <w:kern w:val="2"/>
          <w:sz w:val="18"/>
          <w:szCs w:val="18"/>
        </w:rPr>
      </w:pPr>
    </w:p>
    <w:p w14:paraId="60192400" w14:textId="4D83A80C" w:rsidR="00073874" w:rsidRPr="006B7C86" w:rsidRDefault="00073874" w:rsidP="00037899">
      <w:pPr>
        <w:keepNext/>
        <w:keepLines/>
        <w:rPr>
          <w:rFonts w:ascii="Verdana" w:hAnsi="Verdana"/>
          <w:b/>
          <w:kern w:val="2"/>
          <w:sz w:val="18"/>
          <w:szCs w:val="18"/>
        </w:rPr>
      </w:pPr>
      <w:r>
        <w:rPr>
          <w:rFonts w:ascii="Verdana" w:hAnsi="Verdana"/>
          <w:b/>
          <w:sz w:val="18"/>
          <w:szCs w:val="18"/>
        </w:rPr>
        <w:t>Article 1</w:t>
      </w:r>
    </w:p>
    <w:p w14:paraId="3F86F6AE" w14:textId="77777777" w:rsidR="00073874" w:rsidRDefault="00073874" w:rsidP="00037899">
      <w:pPr>
        <w:keepNext/>
        <w:keepLines/>
        <w:rPr>
          <w:rFonts w:ascii="Verdana" w:hAnsi="Verdana"/>
          <w:b/>
          <w:kern w:val="2"/>
          <w:sz w:val="18"/>
          <w:szCs w:val="18"/>
        </w:rPr>
      </w:pPr>
    </w:p>
    <w:p w14:paraId="37B25385" w14:textId="4B8B5911" w:rsidR="00073874" w:rsidRDefault="00073874" w:rsidP="00037899">
      <w:pPr>
        <w:keepNext/>
        <w:keepLines/>
        <w:rPr>
          <w:rFonts w:ascii="Verdana" w:hAnsi="Verdana"/>
          <w:kern w:val="2"/>
          <w:sz w:val="18"/>
          <w:szCs w:val="18"/>
        </w:rPr>
      </w:pPr>
      <w:r>
        <w:rPr>
          <w:rFonts w:ascii="Verdana" w:hAnsi="Verdana"/>
          <w:sz w:val="18"/>
          <w:szCs w:val="18"/>
        </w:rPr>
        <w:t xml:space="preserve">For the purposes of this Decree: </w:t>
      </w:r>
    </w:p>
    <w:p w14:paraId="4F3AD4C8" w14:textId="77777777" w:rsidR="00073874" w:rsidRPr="000678FD" w:rsidRDefault="00073874" w:rsidP="00037899">
      <w:pPr>
        <w:keepNext/>
        <w:keepLines/>
        <w:rPr>
          <w:rFonts w:ascii="Verdana" w:hAnsi="Verdana"/>
          <w:kern w:val="2"/>
          <w:sz w:val="18"/>
          <w:szCs w:val="18"/>
        </w:rPr>
      </w:pPr>
    </w:p>
    <w:p w14:paraId="7056BAF2" w14:textId="0E814BB6" w:rsidR="0059594E" w:rsidRPr="001E7E1A" w:rsidRDefault="00073874" w:rsidP="00073874">
      <w:pPr>
        <w:rPr>
          <w:rFonts w:ascii="Verdana" w:eastAsiaTheme="minorHAnsi" w:hAnsi="Verdana" w:cs="Segoe UI"/>
          <w:color w:val="000000"/>
          <w:sz w:val="18"/>
          <w:szCs w:val="18"/>
        </w:rPr>
      </w:pPr>
      <w:r>
        <w:rPr>
          <w:rFonts w:ascii="Verdana" w:hAnsi="Verdana"/>
          <w:sz w:val="18"/>
          <w:szCs w:val="18"/>
        </w:rPr>
        <w:t xml:space="preserve">a. </w:t>
      </w:r>
      <w:r>
        <w:rPr>
          <w:rFonts w:ascii="Verdana" w:hAnsi="Verdana"/>
          <w:i/>
          <w:iCs/>
          <w:sz w:val="18"/>
          <w:szCs w:val="18"/>
        </w:rPr>
        <w:t>other substance</w:t>
      </w:r>
      <w:r>
        <w:rPr>
          <w:rFonts w:ascii="Verdana" w:hAnsi="Verdana"/>
          <w:sz w:val="18"/>
          <w:szCs w:val="18"/>
        </w:rPr>
        <w:t>: a substance as referred to in Article 2(2) of Regulation (EC) No 1925/2006.</w:t>
      </w:r>
    </w:p>
    <w:p w14:paraId="1F01D0BA" w14:textId="10F2BBF5" w:rsidR="00073874" w:rsidRPr="009B071A" w:rsidRDefault="0059594E" w:rsidP="00073874">
      <w:pPr>
        <w:rPr>
          <w:rFonts w:ascii="Verdana" w:hAnsi="Verdana"/>
          <w:kern w:val="2"/>
          <w:sz w:val="18"/>
          <w:szCs w:val="18"/>
        </w:rPr>
      </w:pPr>
      <w:r>
        <w:rPr>
          <w:rFonts w:ascii="Verdana" w:hAnsi="Verdana"/>
          <w:sz w:val="18"/>
          <w:szCs w:val="18"/>
        </w:rPr>
        <w:t xml:space="preserve">b. </w:t>
      </w:r>
      <w:r>
        <w:rPr>
          <w:rFonts w:ascii="Verdana" w:hAnsi="Verdana"/>
          <w:i/>
          <w:iCs/>
          <w:sz w:val="18"/>
          <w:szCs w:val="18"/>
        </w:rPr>
        <w:t>follow-on formula</w:t>
      </w:r>
      <w:r>
        <w:rPr>
          <w:rFonts w:ascii="Verdana" w:hAnsi="Verdana"/>
          <w:sz w:val="18"/>
          <w:szCs w:val="18"/>
        </w:rPr>
        <w:t>: a food as referred to Article 2(2)(d) of Regulation (EU) 609/2013;</w:t>
      </w:r>
    </w:p>
    <w:p w14:paraId="23B141C5" w14:textId="467BE547" w:rsidR="00073874" w:rsidRDefault="0059594E" w:rsidP="00073874">
      <w:pPr>
        <w:rPr>
          <w:rFonts w:ascii="Verdana" w:hAnsi="Verdana"/>
          <w:kern w:val="2"/>
          <w:sz w:val="18"/>
          <w:szCs w:val="18"/>
        </w:rPr>
      </w:pPr>
      <w:r>
        <w:rPr>
          <w:rFonts w:ascii="Verdana" w:hAnsi="Verdana"/>
          <w:sz w:val="18"/>
          <w:szCs w:val="18"/>
        </w:rPr>
        <w:t xml:space="preserve">c. </w:t>
      </w:r>
      <w:r w:rsidR="00CD3CED">
        <w:rPr>
          <w:rFonts w:ascii="Verdana" w:hAnsi="Verdana"/>
          <w:i/>
          <w:iCs/>
          <w:sz w:val="18"/>
          <w:szCs w:val="18"/>
        </w:rPr>
        <w:t>toddler drink</w:t>
      </w:r>
      <w:r>
        <w:rPr>
          <w:rFonts w:ascii="Verdana" w:hAnsi="Verdana"/>
          <w:sz w:val="18"/>
          <w:szCs w:val="18"/>
        </w:rPr>
        <w:t>: a food based on protein, to which at least one or more vitamins, minerals or other substances have been added, and which is intended to be used as a drink for young children between the ages of one and three years;</w:t>
      </w:r>
    </w:p>
    <w:p w14:paraId="6234E001" w14:textId="2D403FED" w:rsidR="00073874" w:rsidRPr="007926FF" w:rsidRDefault="0059594E" w:rsidP="00073874">
      <w:pPr>
        <w:rPr>
          <w:rFonts w:ascii="Verdana" w:hAnsi="Verdana"/>
          <w:kern w:val="2"/>
          <w:sz w:val="18"/>
          <w:szCs w:val="18"/>
        </w:rPr>
      </w:pPr>
      <w:r>
        <w:rPr>
          <w:rFonts w:ascii="Verdana" w:hAnsi="Verdana"/>
          <w:sz w:val="18"/>
          <w:szCs w:val="18"/>
        </w:rPr>
        <w:t xml:space="preserve">d. </w:t>
      </w:r>
      <w:r>
        <w:rPr>
          <w:rFonts w:ascii="Verdana" w:hAnsi="Verdana"/>
          <w:i/>
          <w:iCs/>
          <w:sz w:val="18"/>
          <w:szCs w:val="18"/>
        </w:rPr>
        <w:t>toddler milk</w:t>
      </w:r>
      <w:r>
        <w:rPr>
          <w:rFonts w:ascii="Verdana" w:hAnsi="Verdana"/>
          <w:sz w:val="18"/>
          <w:szCs w:val="18"/>
        </w:rPr>
        <w:t>: a drink intended for toddlers that is based exclusively on cow or goat milk protein;</w:t>
      </w:r>
    </w:p>
    <w:p w14:paraId="50055EC1" w14:textId="1B766070" w:rsidR="00073874" w:rsidRPr="001E7E1A" w:rsidRDefault="0059594E" w:rsidP="00073874">
      <w:pPr>
        <w:rPr>
          <w:rFonts w:ascii="Verdana" w:hAnsi="Verdana"/>
          <w:kern w:val="2"/>
          <w:sz w:val="18"/>
          <w:szCs w:val="18"/>
        </w:rPr>
      </w:pPr>
      <w:r>
        <w:rPr>
          <w:rFonts w:ascii="Verdana" w:hAnsi="Verdana"/>
          <w:sz w:val="18"/>
          <w:szCs w:val="18"/>
        </w:rPr>
        <w:t xml:space="preserve">e. </w:t>
      </w:r>
      <w:r>
        <w:rPr>
          <w:rFonts w:ascii="Verdana" w:hAnsi="Verdana"/>
          <w:i/>
          <w:iCs/>
          <w:sz w:val="18"/>
          <w:szCs w:val="18"/>
        </w:rPr>
        <w:t>Regulation (EU) 2016/127</w:t>
      </w:r>
      <w:r>
        <w:rPr>
          <w:rFonts w:ascii="Verdana" w:hAnsi="Verdana"/>
          <w:sz w:val="18"/>
          <w:szCs w:val="18"/>
        </w:rPr>
        <w:t>:</w:t>
      </w:r>
      <w:r>
        <w:rPr>
          <w:rFonts w:ascii="Verdana" w:hAnsi="Verdana"/>
          <w:i/>
          <w:sz w:val="18"/>
          <w:szCs w:val="18"/>
        </w:rPr>
        <w:t xml:space="preserve"> </w:t>
      </w:r>
      <w:r>
        <w:rPr>
          <w:rFonts w:ascii="Verdana" w:hAnsi="Verdana"/>
          <w:sz w:val="18"/>
          <w:szCs w:val="18"/>
        </w:rPr>
        <w:t>Commission Delegated Regulation (EU) 2016/127 of 25 September 2015 supplementing Regulation (EU) No 609/2013 of the European Parliament and of the Council as regards the specific compositional and information requirements for infant formula and follow-on formula and as regards requirements on information relating to infant and young child feeding (OJ L 25, </w:t>
      </w:r>
      <w:r>
        <w:rPr>
          <w:rFonts w:ascii="Verdana" w:hAnsi="Verdana"/>
          <w:sz w:val="18"/>
          <w:szCs w:val="18"/>
        </w:rPr>
        <w:tab/>
        <w:t>2016);</w:t>
      </w:r>
    </w:p>
    <w:p w14:paraId="7910F3BE" w14:textId="495ABFB2" w:rsidR="00073874" w:rsidRPr="00F43194" w:rsidRDefault="0059594E" w:rsidP="00073874">
      <w:pPr>
        <w:rPr>
          <w:rFonts w:ascii="Verdana" w:hAnsi="Verdana"/>
          <w:sz w:val="18"/>
          <w:szCs w:val="18"/>
        </w:rPr>
      </w:pPr>
      <w:r>
        <w:rPr>
          <w:rFonts w:ascii="Verdana" w:hAnsi="Verdana"/>
          <w:sz w:val="18"/>
          <w:szCs w:val="18"/>
        </w:rPr>
        <w:t>f.</w:t>
      </w:r>
      <w:r>
        <w:rPr>
          <w:rFonts w:ascii="Verdana" w:hAnsi="Verdana"/>
          <w:i/>
          <w:sz w:val="18"/>
          <w:szCs w:val="18"/>
        </w:rPr>
        <w:t xml:space="preserve"> </w:t>
      </w:r>
      <w:r>
        <w:rPr>
          <w:rStyle w:val="Emphasis"/>
          <w:rFonts w:ascii="Verdana" w:hAnsi="Verdana"/>
          <w:sz w:val="18"/>
          <w:szCs w:val="18"/>
        </w:rPr>
        <w:t>Regulation (EU) 609/2013:</w:t>
      </w:r>
      <w:r>
        <w:rPr>
          <w:rFonts w:ascii="Verdana" w:hAnsi="Verdana"/>
          <w:sz w:val="18"/>
          <w:szCs w:val="18"/>
        </w:rPr>
        <w:t xml:space="preserve">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 (OJ L 181, 2013);</w:t>
      </w:r>
    </w:p>
    <w:p w14:paraId="1A63B3DD" w14:textId="275E762A" w:rsidR="00073874" w:rsidRPr="00325747" w:rsidRDefault="0059594E" w:rsidP="00073874">
      <w:pPr>
        <w:rPr>
          <w:rFonts w:ascii="Verdana" w:hAnsi="Verdana"/>
          <w:sz w:val="18"/>
          <w:szCs w:val="18"/>
        </w:rPr>
      </w:pPr>
      <w:r>
        <w:rPr>
          <w:rFonts w:ascii="Verdana" w:hAnsi="Verdana"/>
          <w:sz w:val="18"/>
          <w:szCs w:val="18"/>
        </w:rPr>
        <w:t xml:space="preserve">g. </w:t>
      </w:r>
      <w:r>
        <w:rPr>
          <w:rFonts w:ascii="Verdana" w:hAnsi="Verdana"/>
          <w:i/>
          <w:iCs/>
          <w:sz w:val="18"/>
          <w:szCs w:val="18"/>
        </w:rPr>
        <w:t>Regulation (EU) 1169/2011:</w:t>
      </w:r>
      <w:r>
        <w:rPr>
          <w:rFonts w:ascii="Verdana" w:hAnsi="Verdana"/>
          <w:i/>
          <w:sz w:val="18"/>
          <w:szCs w:val="18"/>
        </w:rPr>
        <w:t xml:space="preserve"> </w:t>
      </w:r>
      <w:r>
        <w:rPr>
          <w:rFonts w:ascii="Verdana" w:hAnsi="Verdana"/>
          <w:sz w:val="18"/>
          <w:szCs w:val="18"/>
        </w:rPr>
        <w: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2011);</w:t>
      </w:r>
    </w:p>
    <w:p w14:paraId="127A09E5" w14:textId="6DE7FC0D" w:rsidR="00DA004C" w:rsidRPr="001E7E1A" w:rsidRDefault="0059594E" w:rsidP="00073874">
      <w:pPr>
        <w:rPr>
          <w:rFonts w:ascii="Verdana" w:hAnsi="Verdana"/>
          <w:sz w:val="18"/>
          <w:szCs w:val="18"/>
        </w:rPr>
      </w:pPr>
      <w:r>
        <w:rPr>
          <w:rFonts w:ascii="Verdana" w:hAnsi="Verdana"/>
          <w:sz w:val="18"/>
          <w:szCs w:val="18"/>
        </w:rPr>
        <w:lastRenderedPageBreak/>
        <w:t xml:space="preserve">h. </w:t>
      </w:r>
      <w:r>
        <w:rPr>
          <w:rFonts w:ascii="Verdana" w:hAnsi="Verdana"/>
          <w:i/>
          <w:iCs/>
          <w:sz w:val="18"/>
          <w:szCs w:val="18"/>
        </w:rPr>
        <w:t>Regulation (EC) 1925/2006:</w:t>
      </w:r>
      <w:r>
        <w:rPr>
          <w:rFonts w:ascii="Verdana" w:hAnsi="Verdana"/>
          <w:i/>
          <w:sz w:val="18"/>
          <w:szCs w:val="18"/>
        </w:rPr>
        <w:t xml:space="preserve"> </w:t>
      </w:r>
      <w:r>
        <w:rPr>
          <w:rFonts w:ascii="Verdana" w:hAnsi="Verdana"/>
          <w:sz w:val="18"/>
          <w:szCs w:val="18"/>
        </w:rPr>
        <w:t>Regulation (EC) No 1925/2006 of the European Parliament and of the Council of 20 December 2006 on the addition of vitamins and minerals and of certain other substances to foods (OJ L 404, 2006).</w:t>
      </w:r>
    </w:p>
    <w:p w14:paraId="2CFACC32" w14:textId="72F7DD4B" w:rsidR="00073874" w:rsidRDefault="0059594E" w:rsidP="00073874">
      <w:pPr>
        <w:rPr>
          <w:rFonts w:ascii="Verdana" w:hAnsi="Verdana"/>
          <w:sz w:val="18"/>
          <w:szCs w:val="18"/>
        </w:rPr>
      </w:pPr>
      <w:r>
        <w:rPr>
          <w:rFonts w:ascii="Verdana" w:hAnsi="Verdana"/>
          <w:sz w:val="18"/>
          <w:szCs w:val="18"/>
        </w:rPr>
        <w:t xml:space="preserve">i. </w:t>
      </w:r>
      <w:r>
        <w:rPr>
          <w:rFonts w:ascii="Verdana" w:hAnsi="Verdana"/>
          <w:i/>
          <w:iCs/>
          <w:sz w:val="18"/>
          <w:szCs w:val="18"/>
        </w:rPr>
        <w:t>infant formula</w:t>
      </w:r>
      <w:r>
        <w:rPr>
          <w:rFonts w:ascii="Verdana" w:hAnsi="Verdana"/>
          <w:sz w:val="18"/>
          <w:szCs w:val="18"/>
        </w:rPr>
        <w:t xml:space="preserve">: a food as referred to in Article 2(2)(c) of Regulation (EU) 609/2013; </w:t>
      </w:r>
    </w:p>
    <w:p w14:paraId="29F16D6D" w14:textId="77777777" w:rsidR="00532AC5" w:rsidRDefault="00532AC5" w:rsidP="00073874">
      <w:pPr>
        <w:rPr>
          <w:rFonts w:ascii="Verdana" w:hAnsi="Verdana"/>
          <w:sz w:val="18"/>
          <w:szCs w:val="18"/>
        </w:rPr>
      </w:pPr>
    </w:p>
    <w:p w14:paraId="2C786F36" w14:textId="5D9F90D2" w:rsidR="00073874" w:rsidRDefault="00073874" w:rsidP="00037899">
      <w:pPr>
        <w:keepNext/>
        <w:keepLines/>
        <w:rPr>
          <w:rFonts w:ascii="Verdana" w:hAnsi="Verdana"/>
          <w:b/>
          <w:sz w:val="18"/>
          <w:szCs w:val="18"/>
        </w:rPr>
      </w:pPr>
      <w:r>
        <w:rPr>
          <w:rFonts w:ascii="Verdana" w:hAnsi="Verdana"/>
          <w:b/>
          <w:sz w:val="18"/>
          <w:szCs w:val="18"/>
        </w:rPr>
        <w:t>Article 2</w:t>
      </w:r>
    </w:p>
    <w:p w14:paraId="234F2450" w14:textId="1A17C231" w:rsidR="00073874" w:rsidRDefault="00073874" w:rsidP="00073874">
      <w:pPr>
        <w:rPr>
          <w:rFonts w:ascii="Verdana" w:hAnsi="Verdana"/>
          <w:sz w:val="18"/>
          <w:szCs w:val="18"/>
        </w:rPr>
      </w:pPr>
      <w:r>
        <w:rPr>
          <w:rFonts w:ascii="Verdana" w:hAnsi="Verdana"/>
          <w:sz w:val="18"/>
          <w:szCs w:val="18"/>
        </w:rPr>
        <w:t xml:space="preserve">It is prohibited to prepare or market </w:t>
      </w:r>
      <w:r w:rsidR="00CD3CED">
        <w:rPr>
          <w:rFonts w:ascii="Verdana" w:hAnsi="Verdana"/>
          <w:sz w:val="18"/>
          <w:szCs w:val="18"/>
        </w:rPr>
        <w:t>toddler drinks</w:t>
      </w:r>
      <w:r>
        <w:rPr>
          <w:rFonts w:ascii="Verdana" w:hAnsi="Verdana"/>
          <w:sz w:val="18"/>
          <w:szCs w:val="18"/>
        </w:rPr>
        <w:t xml:space="preserve"> and toddler milk in any manner other than in accordance with the rules laid down in this Decree. </w:t>
      </w:r>
    </w:p>
    <w:p w14:paraId="2E30E5A8" w14:textId="77777777" w:rsidR="00073874" w:rsidRPr="00884D19" w:rsidRDefault="00073874" w:rsidP="00073874">
      <w:pPr>
        <w:rPr>
          <w:rFonts w:ascii="Verdana" w:hAnsi="Verdana"/>
          <w:sz w:val="18"/>
          <w:szCs w:val="18"/>
        </w:rPr>
      </w:pPr>
    </w:p>
    <w:p w14:paraId="24E73AA5" w14:textId="15D41956" w:rsidR="00073874" w:rsidRDefault="00073874" w:rsidP="00037899">
      <w:pPr>
        <w:keepNext/>
        <w:keepLines/>
        <w:rPr>
          <w:rFonts w:ascii="Verdana" w:hAnsi="Verdana"/>
          <w:kern w:val="2"/>
          <w:sz w:val="18"/>
          <w:szCs w:val="18"/>
        </w:rPr>
      </w:pPr>
      <w:r>
        <w:rPr>
          <w:rFonts w:ascii="Verdana" w:hAnsi="Verdana"/>
          <w:b/>
          <w:sz w:val="18"/>
          <w:szCs w:val="18"/>
        </w:rPr>
        <w:t xml:space="preserve">§ 2. Requirements with regard to composition and the addition of vitamins, minerals and other substances </w:t>
      </w:r>
    </w:p>
    <w:p w14:paraId="55C192E6" w14:textId="77777777" w:rsidR="00073874" w:rsidRDefault="00073874" w:rsidP="00037899">
      <w:pPr>
        <w:keepNext/>
        <w:keepLines/>
        <w:rPr>
          <w:rFonts w:ascii="Verdana" w:hAnsi="Verdana"/>
          <w:kern w:val="2"/>
          <w:sz w:val="18"/>
          <w:szCs w:val="18"/>
        </w:rPr>
      </w:pPr>
    </w:p>
    <w:p w14:paraId="7E2D5BEA" w14:textId="64C7BCB6" w:rsidR="00073874" w:rsidRPr="00884D19" w:rsidRDefault="00073874" w:rsidP="00037899">
      <w:pPr>
        <w:keepNext/>
        <w:keepLines/>
        <w:rPr>
          <w:rFonts w:ascii="Verdana" w:hAnsi="Verdana"/>
          <w:b/>
          <w:kern w:val="2"/>
          <w:sz w:val="18"/>
          <w:szCs w:val="18"/>
        </w:rPr>
      </w:pPr>
      <w:r>
        <w:rPr>
          <w:rFonts w:ascii="Verdana" w:hAnsi="Verdana"/>
          <w:b/>
          <w:sz w:val="18"/>
          <w:szCs w:val="18"/>
        </w:rPr>
        <w:t>Article 3</w:t>
      </w:r>
    </w:p>
    <w:p w14:paraId="2D2C2276" w14:textId="1C818CC6" w:rsidR="00073874" w:rsidRDefault="00073874" w:rsidP="00073874">
      <w:pPr>
        <w:rPr>
          <w:rFonts w:ascii="Verdana" w:hAnsi="Verdana"/>
          <w:kern w:val="2"/>
          <w:sz w:val="18"/>
          <w:szCs w:val="18"/>
        </w:rPr>
      </w:pPr>
      <w:r>
        <w:rPr>
          <w:rFonts w:ascii="Verdana" w:hAnsi="Verdana"/>
          <w:sz w:val="18"/>
          <w:szCs w:val="18"/>
        </w:rPr>
        <w:t xml:space="preserve">1. At a minimum, </w:t>
      </w:r>
      <w:r w:rsidR="00CD3CED">
        <w:rPr>
          <w:rFonts w:ascii="Verdana" w:hAnsi="Verdana"/>
          <w:sz w:val="18"/>
          <w:szCs w:val="18"/>
        </w:rPr>
        <w:t>toddler drinks</w:t>
      </w:r>
      <w:r>
        <w:rPr>
          <w:rFonts w:ascii="Verdana" w:hAnsi="Verdana"/>
          <w:sz w:val="18"/>
          <w:szCs w:val="18"/>
        </w:rPr>
        <w:t xml:space="preserve"> and toddler milk comply with the requirements regarding composition set out in Annex II, points 2, 2.1, 2.2, 2.3, 2.4, 4, 4.1, 4.2, 4.3, 6, 6.1, 6.2, 6.3, 6.4 and 6.5 of Regulation (EU) 2016/127. </w:t>
      </w:r>
    </w:p>
    <w:p w14:paraId="1132C57D" w14:textId="6936D1CF" w:rsidR="00073874" w:rsidRDefault="00073874" w:rsidP="00073874">
      <w:pPr>
        <w:rPr>
          <w:rFonts w:ascii="Verdana" w:hAnsi="Verdana"/>
          <w:kern w:val="2"/>
          <w:sz w:val="18"/>
          <w:szCs w:val="18"/>
        </w:rPr>
      </w:pPr>
      <w:r>
        <w:rPr>
          <w:rFonts w:ascii="Verdana" w:hAnsi="Verdana"/>
          <w:sz w:val="18"/>
          <w:szCs w:val="18"/>
        </w:rPr>
        <w:t xml:space="preserve">2. By way of derogation from paragraph 1, the requirements relating to Section A of Annex III, as listed in Annex </w:t>
      </w:r>
      <w:proofErr w:type="gramStart"/>
      <w:r>
        <w:rPr>
          <w:rFonts w:ascii="Verdana" w:hAnsi="Verdana"/>
          <w:sz w:val="18"/>
          <w:szCs w:val="18"/>
        </w:rPr>
        <w:t>II(</w:t>
      </w:r>
      <w:proofErr w:type="gramEnd"/>
      <w:r>
        <w:rPr>
          <w:rFonts w:ascii="Verdana" w:hAnsi="Verdana"/>
          <w:sz w:val="18"/>
          <w:szCs w:val="18"/>
        </w:rPr>
        <w:t xml:space="preserve">2.1) and (2.2) to Regulation (EU) 2016/127, shall not apply. </w:t>
      </w:r>
    </w:p>
    <w:p w14:paraId="771BEBE1" w14:textId="31023989" w:rsidR="00E85F3B" w:rsidRDefault="00876EE8" w:rsidP="00073874">
      <w:pPr>
        <w:rPr>
          <w:rFonts w:ascii="Verdana" w:hAnsi="Verdana"/>
          <w:kern w:val="2"/>
          <w:sz w:val="18"/>
          <w:szCs w:val="18"/>
        </w:rPr>
      </w:pPr>
      <w:r>
        <w:rPr>
          <w:rFonts w:ascii="Verdana" w:hAnsi="Verdana"/>
          <w:sz w:val="18"/>
          <w:szCs w:val="18"/>
        </w:rPr>
        <w:t>3. By way of derogation from paragraph 1 and Annex </w:t>
      </w:r>
      <w:proofErr w:type="gramStart"/>
      <w:r>
        <w:rPr>
          <w:rFonts w:ascii="Verdana" w:hAnsi="Verdana"/>
          <w:sz w:val="18"/>
          <w:szCs w:val="18"/>
        </w:rPr>
        <w:t>II(</w:t>
      </w:r>
      <w:proofErr w:type="gramEnd"/>
      <w:r>
        <w:rPr>
          <w:rFonts w:ascii="Verdana" w:hAnsi="Verdana"/>
          <w:sz w:val="18"/>
          <w:szCs w:val="18"/>
        </w:rPr>
        <w:t xml:space="preserve">4) to Regulation (EU) 2016/127, no minimum content shall apply to the addition of fats to </w:t>
      </w:r>
      <w:r w:rsidR="00CD3CED">
        <w:rPr>
          <w:rFonts w:ascii="Verdana" w:hAnsi="Verdana"/>
          <w:sz w:val="18"/>
          <w:szCs w:val="18"/>
        </w:rPr>
        <w:t>toddler drinks</w:t>
      </w:r>
      <w:r>
        <w:rPr>
          <w:rFonts w:ascii="Verdana" w:hAnsi="Verdana"/>
          <w:sz w:val="18"/>
          <w:szCs w:val="18"/>
        </w:rPr>
        <w:t xml:space="preserve"> and toddler milk. </w:t>
      </w:r>
    </w:p>
    <w:p w14:paraId="71BE61C4" w14:textId="3D65F9B0" w:rsidR="00037899" w:rsidRDefault="00876EE8" w:rsidP="00073874">
      <w:pPr>
        <w:rPr>
          <w:rFonts w:ascii="Verdana" w:hAnsi="Verdana"/>
          <w:kern w:val="2"/>
          <w:sz w:val="18"/>
          <w:szCs w:val="18"/>
        </w:rPr>
      </w:pPr>
      <w:r>
        <w:rPr>
          <w:rFonts w:ascii="Verdana" w:hAnsi="Verdana"/>
          <w:sz w:val="18"/>
          <w:szCs w:val="18"/>
        </w:rPr>
        <w:t xml:space="preserve">4. The energy values in </w:t>
      </w:r>
      <w:r w:rsidR="00CD3CED">
        <w:rPr>
          <w:rFonts w:ascii="Verdana" w:hAnsi="Verdana"/>
          <w:sz w:val="18"/>
          <w:szCs w:val="18"/>
        </w:rPr>
        <w:t>toddler drinks</w:t>
      </w:r>
      <w:r>
        <w:rPr>
          <w:rFonts w:ascii="Verdana" w:hAnsi="Verdana"/>
          <w:sz w:val="18"/>
          <w:szCs w:val="18"/>
        </w:rPr>
        <w:t xml:space="preserve"> and toddler milk shall be a minimum of 45 kilocalories per 100 millilitres and a maximum of 65 kilocalories per 100 millilitres. </w:t>
      </w:r>
    </w:p>
    <w:p w14:paraId="63CEFDDC" w14:textId="63A95212" w:rsidR="00073874" w:rsidRDefault="00073874" w:rsidP="00073874">
      <w:pPr>
        <w:rPr>
          <w:rFonts w:ascii="Verdana" w:hAnsi="Verdana"/>
          <w:kern w:val="2"/>
          <w:sz w:val="18"/>
          <w:szCs w:val="18"/>
        </w:rPr>
      </w:pPr>
    </w:p>
    <w:p w14:paraId="7B39DB90" w14:textId="262B4376" w:rsidR="00037899" w:rsidRDefault="00073874" w:rsidP="00037899">
      <w:pPr>
        <w:keepNext/>
        <w:keepLines/>
        <w:rPr>
          <w:rFonts w:ascii="Verdana" w:hAnsi="Verdana"/>
          <w:b/>
          <w:kern w:val="2"/>
          <w:sz w:val="18"/>
          <w:szCs w:val="18"/>
        </w:rPr>
      </w:pPr>
      <w:r>
        <w:rPr>
          <w:rFonts w:ascii="Verdana" w:hAnsi="Verdana"/>
          <w:b/>
          <w:sz w:val="18"/>
          <w:szCs w:val="18"/>
        </w:rPr>
        <w:t>Article 4</w:t>
      </w:r>
    </w:p>
    <w:p w14:paraId="3E35E20F" w14:textId="0C28A244" w:rsidR="00073874" w:rsidRPr="00532AC5" w:rsidRDefault="00073874" w:rsidP="00073874">
      <w:pPr>
        <w:rPr>
          <w:rFonts w:ascii="Verdana" w:hAnsi="Verdana"/>
          <w:b/>
          <w:kern w:val="2"/>
          <w:sz w:val="18"/>
          <w:szCs w:val="18"/>
        </w:rPr>
      </w:pPr>
      <w:r>
        <w:rPr>
          <w:rFonts w:ascii="Verdana" w:hAnsi="Verdana"/>
          <w:sz w:val="18"/>
          <w:szCs w:val="18"/>
        </w:rPr>
        <w:t xml:space="preserve">1. Vitamins, minerals or other substances specified in points 3, 4.4, 4.5, 4.6, 4.7, 5, 7, 8, 8.1, 8.2, 9 and 10 of Annex II to Regulation (EU) No 2016/127 may only be added to </w:t>
      </w:r>
      <w:r w:rsidR="00CD3CED">
        <w:rPr>
          <w:rFonts w:ascii="Verdana" w:hAnsi="Verdana"/>
          <w:sz w:val="18"/>
          <w:szCs w:val="18"/>
        </w:rPr>
        <w:t>toddler drinks</w:t>
      </w:r>
      <w:r>
        <w:rPr>
          <w:rFonts w:ascii="Verdana" w:hAnsi="Verdana"/>
          <w:sz w:val="18"/>
          <w:szCs w:val="18"/>
        </w:rPr>
        <w:t xml:space="preserve"> and toddler milk in accordance with the rules regarding composition indicated therein.</w:t>
      </w:r>
    </w:p>
    <w:p w14:paraId="6830D50F" w14:textId="0DE5CF91" w:rsidR="00073874" w:rsidRDefault="00454516" w:rsidP="00073874">
      <w:pPr>
        <w:rPr>
          <w:rFonts w:ascii="Verdana" w:hAnsi="Verdana"/>
          <w:kern w:val="2"/>
          <w:sz w:val="18"/>
          <w:szCs w:val="18"/>
        </w:rPr>
      </w:pPr>
      <w:r>
        <w:rPr>
          <w:rFonts w:ascii="Verdana" w:hAnsi="Verdana"/>
          <w:sz w:val="18"/>
          <w:szCs w:val="18"/>
        </w:rPr>
        <w:t>2. By way of derogation from paragraph 1 and Annex </w:t>
      </w:r>
      <w:proofErr w:type="gramStart"/>
      <w:r>
        <w:rPr>
          <w:rFonts w:ascii="Verdana" w:hAnsi="Verdana"/>
          <w:sz w:val="18"/>
          <w:szCs w:val="18"/>
        </w:rPr>
        <w:t>II(</w:t>
      </w:r>
      <w:proofErr w:type="gramEnd"/>
      <w:r>
        <w:rPr>
          <w:rFonts w:ascii="Verdana" w:hAnsi="Verdana"/>
          <w:sz w:val="18"/>
          <w:szCs w:val="18"/>
        </w:rPr>
        <w:t xml:space="preserve">8.1) to Regulation (EU) 2016/127, no minimum content shall apply to the addition of sodium to </w:t>
      </w:r>
      <w:r w:rsidR="00CD3CED">
        <w:rPr>
          <w:rFonts w:ascii="Verdana" w:hAnsi="Verdana"/>
          <w:sz w:val="18"/>
          <w:szCs w:val="18"/>
        </w:rPr>
        <w:t>toddler drinks</w:t>
      </w:r>
      <w:r>
        <w:rPr>
          <w:rFonts w:ascii="Verdana" w:hAnsi="Verdana"/>
          <w:sz w:val="18"/>
          <w:szCs w:val="18"/>
        </w:rPr>
        <w:t xml:space="preserve"> and toddler milk. </w:t>
      </w:r>
    </w:p>
    <w:p w14:paraId="346A7FAF" w14:textId="77777777" w:rsidR="00073874" w:rsidRDefault="00073874" w:rsidP="00073874">
      <w:pPr>
        <w:rPr>
          <w:rFonts w:ascii="Verdana" w:hAnsi="Verdana"/>
          <w:kern w:val="2"/>
          <w:sz w:val="18"/>
          <w:szCs w:val="18"/>
        </w:rPr>
      </w:pPr>
    </w:p>
    <w:p w14:paraId="72268EE8" w14:textId="1A6169F9" w:rsidR="00037899" w:rsidRDefault="00073874" w:rsidP="00037899">
      <w:pPr>
        <w:keepNext/>
        <w:keepLines/>
        <w:rPr>
          <w:rFonts w:ascii="Verdana" w:hAnsi="Verdana"/>
          <w:kern w:val="2"/>
          <w:sz w:val="18"/>
          <w:szCs w:val="18"/>
        </w:rPr>
      </w:pPr>
      <w:r>
        <w:rPr>
          <w:rFonts w:ascii="Verdana" w:hAnsi="Verdana"/>
          <w:b/>
          <w:sz w:val="18"/>
          <w:szCs w:val="18"/>
        </w:rPr>
        <w:t>Article 5</w:t>
      </w:r>
    </w:p>
    <w:p w14:paraId="74B1313E" w14:textId="44589E61" w:rsidR="00073874" w:rsidRPr="00211395" w:rsidRDefault="00DA004C" w:rsidP="00073874">
      <w:pPr>
        <w:rPr>
          <w:rFonts w:ascii="Verdana" w:hAnsi="Verdana"/>
          <w:kern w:val="2"/>
          <w:sz w:val="18"/>
          <w:szCs w:val="18"/>
        </w:rPr>
      </w:pPr>
      <w:r>
        <w:rPr>
          <w:rFonts w:ascii="Verdana" w:hAnsi="Verdana"/>
          <w:sz w:val="18"/>
          <w:szCs w:val="18"/>
        </w:rPr>
        <w:t xml:space="preserve">Article 2(2), to the extent that it relates to Articles 3(1) and 6(1) and (6) of Regulation (EC) No 1925/2006, as well as Articles 5 and 6 of the Commodities Act Decree on the addition of micronutrients to foods, shall not apply to </w:t>
      </w:r>
      <w:r w:rsidR="00CD3CED">
        <w:rPr>
          <w:rFonts w:ascii="Verdana" w:hAnsi="Verdana"/>
          <w:sz w:val="18"/>
          <w:szCs w:val="18"/>
        </w:rPr>
        <w:t>toddler drinks</w:t>
      </w:r>
      <w:r>
        <w:rPr>
          <w:rFonts w:ascii="Verdana" w:hAnsi="Verdana"/>
          <w:sz w:val="18"/>
          <w:szCs w:val="18"/>
        </w:rPr>
        <w:t xml:space="preserve"> and toddler milk.</w:t>
      </w:r>
    </w:p>
    <w:p w14:paraId="4912BEAB" w14:textId="77777777" w:rsidR="00073874" w:rsidRDefault="00073874" w:rsidP="00073874">
      <w:pPr>
        <w:rPr>
          <w:rFonts w:ascii="Verdana" w:hAnsi="Verdana"/>
          <w:kern w:val="2"/>
          <w:sz w:val="18"/>
          <w:szCs w:val="18"/>
        </w:rPr>
      </w:pPr>
    </w:p>
    <w:p w14:paraId="6F2974DE" w14:textId="77777777" w:rsidR="00073874" w:rsidRDefault="00073874" w:rsidP="00037899">
      <w:pPr>
        <w:keepNext/>
        <w:keepLines/>
        <w:rPr>
          <w:rFonts w:ascii="Verdana" w:hAnsi="Verdana"/>
          <w:kern w:val="2"/>
          <w:sz w:val="18"/>
          <w:szCs w:val="18"/>
        </w:rPr>
      </w:pPr>
      <w:r>
        <w:rPr>
          <w:rFonts w:ascii="Verdana" w:hAnsi="Verdana"/>
          <w:b/>
          <w:sz w:val="18"/>
          <w:szCs w:val="18"/>
        </w:rPr>
        <w:t>§ 3. Designations, declarations and presentation</w:t>
      </w:r>
    </w:p>
    <w:p w14:paraId="2475652E" w14:textId="77777777" w:rsidR="00073874" w:rsidRDefault="00073874" w:rsidP="00037899">
      <w:pPr>
        <w:keepNext/>
        <w:keepLines/>
        <w:rPr>
          <w:rFonts w:ascii="Verdana" w:hAnsi="Verdana"/>
          <w:kern w:val="2"/>
          <w:sz w:val="18"/>
          <w:szCs w:val="18"/>
        </w:rPr>
      </w:pPr>
    </w:p>
    <w:p w14:paraId="46B76B5B" w14:textId="20807AA9" w:rsidR="00073874" w:rsidRDefault="00073874" w:rsidP="00037899">
      <w:pPr>
        <w:keepNext/>
        <w:keepLines/>
        <w:rPr>
          <w:rFonts w:ascii="Verdana" w:hAnsi="Verdana"/>
          <w:b/>
          <w:kern w:val="2"/>
          <w:sz w:val="18"/>
          <w:szCs w:val="18"/>
        </w:rPr>
      </w:pPr>
      <w:r>
        <w:rPr>
          <w:rFonts w:ascii="Verdana" w:hAnsi="Verdana"/>
          <w:b/>
          <w:sz w:val="18"/>
          <w:szCs w:val="18"/>
        </w:rPr>
        <w:t>Article 6</w:t>
      </w:r>
    </w:p>
    <w:p w14:paraId="059E4D24" w14:textId="7D509189" w:rsidR="00073874" w:rsidRDefault="00073874" w:rsidP="00073874">
      <w:pPr>
        <w:rPr>
          <w:rFonts w:ascii="Verdana" w:hAnsi="Verdana"/>
          <w:kern w:val="2"/>
          <w:sz w:val="18"/>
          <w:szCs w:val="18"/>
        </w:rPr>
      </w:pPr>
      <w:r>
        <w:rPr>
          <w:rFonts w:ascii="Verdana" w:hAnsi="Verdana"/>
          <w:sz w:val="18"/>
          <w:szCs w:val="18"/>
        </w:rPr>
        <w:t xml:space="preserve">1. The designation </w:t>
      </w:r>
      <w:r w:rsidR="00CD3CED">
        <w:rPr>
          <w:rFonts w:ascii="Verdana" w:hAnsi="Verdana"/>
          <w:i/>
          <w:iCs/>
          <w:sz w:val="18"/>
          <w:szCs w:val="18"/>
        </w:rPr>
        <w:t>toddler drink</w:t>
      </w:r>
      <w:r>
        <w:rPr>
          <w:rFonts w:ascii="Verdana" w:hAnsi="Verdana"/>
          <w:sz w:val="18"/>
          <w:szCs w:val="18"/>
        </w:rPr>
        <w:t xml:space="preserve"> may and must only be used for </w:t>
      </w:r>
      <w:r w:rsidR="00CD3CED">
        <w:rPr>
          <w:rFonts w:ascii="Verdana" w:hAnsi="Verdana"/>
          <w:sz w:val="18"/>
          <w:szCs w:val="18"/>
        </w:rPr>
        <w:t>a toddler drink</w:t>
      </w:r>
      <w:r>
        <w:rPr>
          <w:rFonts w:ascii="Verdana" w:hAnsi="Verdana"/>
          <w:sz w:val="18"/>
          <w:szCs w:val="18"/>
        </w:rPr>
        <w:t xml:space="preserve"> that is not based exclusively on cow or goat milk protein. </w:t>
      </w:r>
    </w:p>
    <w:p w14:paraId="250211B5" w14:textId="77777777" w:rsidR="00073874" w:rsidRDefault="00073874" w:rsidP="00073874">
      <w:pPr>
        <w:rPr>
          <w:rFonts w:ascii="Verdana" w:hAnsi="Verdana"/>
          <w:kern w:val="2"/>
          <w:sz w:val="18"/>
          <w:szCs w:val="18"/>
        </w:rPr>
      </w:pPr>
      <w:r>
        <w:rPr>
          <w:rFonts w:ascii="Verdana" w:hAnsi="Verdana"/>
          <w:sz w:val="18"/>
          <w:szCs w:val="18"/>
        </w:rPr>
        <w:t xml:space="preserve">2. The designation </w:t>
      </w:r>
      <w:r>
        <w:rPr>
          <w:rFonts w:ascii="Verdana" w:hAnsi="Verdana"/>
          <w:i/>
          <w:iCs/>
          <w:sz w:val="18"/>
          <w:szCs w:val="18"/>
        </w:rPr>
        <w:t>toddler milk</w:t>
      </w:r>
      <w:r>
        <w:rPr>
          <w:rFonts w:ascii="Verdana" w:hAnsi="Verdana"/>
          <w:sz w:val="18"/>
          <w:szCs w:val="18"/>
        </w:rPr>
        <w:t xml:space="preserve"> may and must only be used for toddler milk.</w:t>
      </w:r>
    </w:p>
    <w:p w14:paraId="5B6E05FF" w14:textId="77777777" w:rsidR="00073874" w:rsidRDefault="00073874" w:rsidP="00073874">
      <w:pPr>
        <w:rPr>
          <w:rFonts w:ascii="Verdana" w:hAnsi="Verdana"/>
          <w:kern w:val="2"/>
          <w:sz w:val="18"/>
          <w:szCs w:val="18"/>
        </w:rPr>
      </w:pPr>
    </w:p>
    <w:p w14:paraId="26E8FF26" w14:textId="046956F1" w:rsidR="00073874" w:rsidRDefault="0059594E" w:rsidP="00037899">
      <w:pPr>
        <w:keepNext/>
        <w:keepLines/>
        <w:rPr>
          <w:rFonts w:ascii="Verdana" w:hAnsi="Verdana"/>
          <w:b/>
          <w:kern w:val="2"/>
          <w:sz w:val="18"/>
          <w:szCs w:val="18"/>
        </w:rPr>
      </w:pPr>
      <w:r>
        <w:rPr>
          <w:rFonts w:ascii="Verdana" w:hAnsi="Verdana"/>
          <w:b/>
          <w:sz w:val="18"/>
          <w:szCs w:val="18"/>
        </w:rPr>
        <w:t>Article 7</w:t>
      </w:r>
    </w:p>
    <w:p w14:paraId="539123C7" w14:textId="16EC41DD" w:rsidR="00073874" w:rsidRDefault="00073874" w:rsidP="00037899">
      <w:pPr>
        <w:keepNext/>
        <w:keepLines/>
        <w:rPr>
          <w:rFonts w:ascii="Verdana" w:hAnsi="Verdana"/>
          <w:kern w:val="2"/>
          <w:sz w:val="18"/>
          <w:szCs w:val="18"/>
        </w:rPr>
      </w:pPr>
      <w:r>
        <w:rPr>
          <w:rFonts w:ascii="Verdana" w:hAnsi="Verdana"/>
          <w:sz w:val="18"/>
          <w:szCs w:val="18"/>
        </w:rPr>
        <w:t xml:space="preserve">The following declarations shall be used for the marketing of </w:t>
      </w:r>
      <w:r w:rsidR="00CD3CED">
        <w:rPr>
          <w:rFonts w:ascii="Verdana" w:hAnsi="Verdana"/>
          <w:sz w:val="18"/>
          <w:szCs w:val="18"/>
        </w:rPr>
        <w:t>toddler drinks</w:t>
      </w:r>
      <w:r>
        <w:rPr>
          <w:rFonts w:ascii="Verdana" w:hAnsi="Verdana"/>
          <w:sz w:val="18"/>
          <w:szCs w:val="18"/>
        </w:rPr>
        <w:t xml:space="preserve"> and toddler milk: </w:t>
      </w:r>
    </w:p>
    <w:p w14:paraId="0216745F" w14:textId="77777777" w:rsidR="00073874" w:rsidRDefault="00073874" w:rsidP="00073874">
      <w:pPr>
        <w:rPr>
          <w:rFonts w:ascii="Verdana" w:hAnsi="Verdana"/>
          <w:kern w:val="2"/>
          <w:sz w:val="18"/>
          <w:szCs w:val="18"/>
        </w:rPr>
      </w:pPr>
      <w:r>
        <w:rPr>
          <w:rFonts w:ascii="Verdana" w:hAnsi="Verdana"/>
          <w:sz w:val="18"/>
          <w:szCs w:val="18"/>
        </w:rPr>
        <w:t>a. the age category between one and three years for which it is intended;</w:t>
      </w:r>
    </w:p>
    <w:p w14:paraId="327B0348" w14:textId="77777777" w:rsidR="00073874" w:rsidRDefault="00073874" w:rsidP="00073874">
      <w:pPr>
        <w:rPr>
          <w:rFonts w:ascii="Verdana" w:hAnsi="Verdana"/>
          <w:kern w:val="2"/>
          <w:sz w:val="18"/>
          <w:szCs w:val="18"/>
        </w:rPr>
      </w:pPr>
      <w:r>
        <w:rPr>
          <w:rFonts w:ascii="Verdana" w:hAnsi="Verdana"/>
          <w:sz w:val="18"/>
          <w:szCs w:val="18"/>
        </w:rPr>
        <w:t xml:space="preserve">b. a declaration that the product is not a substitute for a balanced diet; </w:t>
      </w:r>
    </w:p>
    <w:p w14:paraId="34399F6D" w14:textId="58BDC858" w:rsidR="00073874" w:rsidRPr="00E06905" w:rsidRDefault="00073874" w:rsidP="00073874">
      <w:pPr>
        <w:rPr>
          <w:rFonts w:ascii="Verdana" w:hAnsi="Verdana"/>
          <w:kern w:val="2"/>
          <w:sz w:val="18"/>
          <w:szCs w:val="18"/>
        </w:rPr>
      </w:pPr>
      <w:r>
        <w:rPr>
          <w:rFonts w:ascii="Verdana" w:hAnsi="Verdana"/>
          <w:sz w:val="18"/>
          <w:szCs w:val="18"/>
        </w:rPr>
        <w:t xml:space="preserve">c. a declaration that the product is not a substitute for vitamin D supplements; and </w:t>
      </w:r>
    </w:p>
    <w:p w14:paraId="21A5E0E8" w14:textId="77777777" w:rsidR="00073874" w:rsidRPr="00E06905" w:rsidRDefault="00073874" w:rsidP="00073874">
      <w:pPr>
        <w:rPr>
          <w:rFonts w:ascii="Verdana" w:hAnsi="Verdana"/>
          <w:kern w:val="2"/>
          <w:sz w:val="18"/>
          <w:szCs w:val="18"/>
        </w:rPr>
      </w:pPr>
      <w:r>
        <w:rPr>
          <w:rFonts w:ascii="Verdana" w:hAnsi="Verdana"/>
          <w:sz w:val="18"/>
          <w:szCs w:val="18"/>
        </w:rPr>
        <w:t>d. a declaration that the product is not a substitute for breast milk.</w:t>
      </w:r>
    </w:p>
    <w:p w14:paraId="73B1E29E" w14:textId="77777777" w:rsidR="00073874" w:rsidRDefault="00073874" w:rsidP="00073874">
      <w:pPr>
        <w:rPr>
          <w:rFonts w:ascii="Verdana" w:hAnsi="Verdana"/>
          <w:kern w:val="2"/>
          <w:sz w:val="18"/>
          <w:szCs w:val="18"/>
        </w:rPr>
      </w:pPr>
    </w:p>
    <w:p w14:paraId="0A4FCC66" w14:textId="55362CCC" w:rsidR="00073874" w:rsidRDefault="0059594E" w:rsidP="00037899">
      <w:pPr>
        <w:keepNext/>
        <w:keepLines/>
        <w:rPr>
          <w:rFonts w:ascii="Verdana" w:hAnsi="Verdana"/>
          <w:b/>
          <w:kern w:val="2"/>
          <w:sz w:val="18"/>
          <w:szCs w:val="18"/>
        </w:rPr>
      </w:pPr>
      <w:r>
        <w:rPr>
          <w:rFonts w:ascii="Verdana" w:hAnsi="Verdana"/>
          <w:b/>
          <w:sz w:val="18"/>
          <w:szCs w:val="18"/>
        </w:rPr>
        <w:t>Article 8</w:t>
      </w:r>
    </w:p>
    <w:p w14:paraId="3261286B" w14:textId="00A76FF7" w:rsidR="00073874" w:rsidRDefault="00073874" w:rsidP="00380913">
      <w:pPr>
        <w:rPr>
          <w:rFonts w:ascii="Verdana" w:hAnsi="Verdana"/>
          <w:kern w:val="2"/>
          <w:sz w:val="18"/>
          <w:szCs w:val="18"/>
        </w:rPr>
      </w:pPr>
      <w:r>
        <w:rPr>
          <w:rFonts w:ascii="Verdana" w:hAnsi="Verdana"/>
          <w:sz w:val="18"/>
          <w:szCs w:val="18"/>
        </w:rPr>
        <w:t xml:space="preserve">With regard to the text, pictures and colours used, the labelling and presentation of </w:t>
      </w:r>
      <w:r w:rsidR="00CD3CED">
        <w:rPr>
          <w:rFonts w:ascii="Verdana" w:hAnsi="Verdana"/>
          <w:sz w:val="18"/>
          <w:szCs w:val="18"/>
        </w:rPr>
        <w:t>toddler drinks</w:t>
      </w:r>
      <w:r>
        <w:rPr>
          <w:rFonts w:ascii="Verdana" w:hAnsi="Verdana"/>
          <w:sz w:val="18"/>
          <w:szCs w:val="18"/>
        </w:rPr>
        <w:t xml:space="preserve"> and toddler milk shall be carried out in such a way as to not be presented as a follow-on product to infant formula or follow-on formula.</w:t>
      </w:r>
    </w:p>
    <w:p w14:paraId="54584FA9" w14:textId="7987D654" w:rsidR="00073874" w:rsidRDefault="00073874" w:rsidP="00073874">
      <w:pPr>
        <w:rPr>
          <w:rFonts w:ascii="Verdana" w:hAnsi="Verdana"/>
          <w:kern w:val="2"/>
          <w:sz w:val="18"/>
          <w:szCs w:val="18"/>
        </w:rPr>
      </w:pPr>
    </w:p>
    <w:p w14:paraId="5AF4E879" w14:textId="76FCD6BC" w:rsidR="00073874" w:rsidRDefault="0059594E" w:rsidP="00037899">
      <w:pPr>
        <w:keepNext/>
        <w:keepLines/>
        <w:rPr>
          <w:rFonts w:ascii="Verdana" w:hAnsi="Verdana"/>
          <w:b/>
          <w:kern w:val="2"/>
          <w:sz w:val="18"/>
          <w:szCs w:val="18"/>
        </w:rPr>
      </w:pPr>
      <w:r>
        <w:rPr>
          <w:rFonts w:ascii="Verdana" w:hAnsi="Verdana"/>
          <w:b/>
          <w:sz w:val="18"/>
          <w:szCs w:val="18"/>
        </w:rPr>
        <w:t>Article 9</w:t>
      </w:r>
    </w:p>
    <w:p w14:paraId="0087613F" w14:textId="327EFE72" w:rsidR="00073874" w:rsidRDefault="00073874" w:rsidP="00073874">
      <w:pPr>
        <w:rPr>
          <w:rFonts w:ascii="Verdana" w:hAnsi="Verdana"/>
          <w:kern w:val="2"/>
          <w:sz w:val="18"/>
          <w:szCs w:val="18"/>
        </w:rPr>
      </w:pPr>
      <w:r>
        <w:rPr>
          <w:rFonts w:ascii="Verdana" w:hAnsi="Verdana"/>
          <w:sz w:val="18"/>
          <w:szCs w:val="18"/>
        </w:rPr>
        <w:t xml:space="preserve">1. By way of derogation from Articles 31(3), 32(2) and 33(1) of Regulation (EU) No 1169/2011, the energy value and the nutrient content of </w:t>
      </w:r>
      <w:r w:rsidR="00CD3CED">
        <w:rPr>
          <w:rFonts w:ascii="Verdana" w:hAnsi="Verdana"/>
          <w:sz w:val="18"/>
          <w:szCs w:val="18"/>
        </w:rPr>
        <w:t>toddler drinks</w:t>
      </w:r>
      <w:r>
        <w:rPr>
          <w:rFonts w:ascii="Verdana" w:hAnsi="Verdana"/>
          <w:sz w:val="18"/>
          <w:szCs w:val="18"/>
        </w:rPr>
        <w:t xml:space="preserve"> and toddler milk shall be expressed per 100 millilitres of the ready-to-use food as prepared according to the instructions from the manufacturer. </w:t>
      </w:r>
    </w:p>
    <w:p w14:paraId="64AA67F4" w14:textId="68DE9A1D" w:rsidR="00073874" w:rsidRPr="00732DAA" w:rsidRDefault="00073874" w:rsidP="00073874">
      <w:pPr>
        <w:rPr>
          <w:rFonts w:ascii="Verdana" w:hAnsi="Verdana"/>
          <w:kern w:val="2"/>
          <w:sz w:val="18"/>
          <w:szCs w:val="18"/>
        </w:rPr>
      </w:pPr>
      <w:r>
        <w:rPr>
          <w:rFonts w:ascii="Verdana" w:hAnsi="Verdana"/>
          <w:sz w:val="18"/>
          <w:szCs w:val="18"/>
        </w:rPr>
        <w:t>2. If appropriate, the information may also be expressed per 100 grams of the food as sold.</w:t>
      </w:r>
    </w:p>
    <w:p w14:paraId="7862F313" w14:textId="77777777" w:rsidR="00073874" w:rsidRDefault="00073874" w:rsidP="00073874">
      <w:pPr>
        <w:rPr>
          <w:rFonts w:ascii="Verdana" w:hAnsi="Verdana"/>
          <w:b/>
          <w:kern w:val="2"/>
          <w:sz w:val="18"/>
          <w:szCs w:val="18"/>
        </w:rPr>
      </w:pPr>
    </w:p>
    <w:p w14:paraId="1820C1AA" w14:textId="5CC6E46E" w:rsidR="00037899" w:rsidRDefault="00073874" w:rsidP="00037899">
      <w:pPr>
        <w:keepNext/>
        <w:keepLines/>
        <w:rPr>
          <w:rFonts w:ascii="Verdana" w:hAnsi="Verdana"/>
          <w:b/>
          <w:kern w:val="2"/>
          <w:sz w:val="18"/>
          <w:szCs w:val="18"/>
        </w:rPr>
      </w:pPr>
      <w:r>
        <w:rPr>
          <w:rFonts w:ascii="Verdana" w:hAnsi="Verdana"/>
          <w:b/>
          <w:sz w:val="18"/>
          <w:szCs w:val="18"/>
        </w:rPr>
        <w:t>Article 10</w:t>
      </w:r>
    </w:p>
    <w:p w14:paraId="292C28A0" w14:textId="4CF4193B" w:rsidR="00073874" w:rsidRDefault="00073874" w:rsidP="00073874">
      <w:pPr>
        <w:rPr>
          <w:rFonts w:ascii="Verdana" w:hAnsi="Verdana"/>
          <w:kern w:val="2"/>
          <w:sz w:val="18"/>
          <w:szCs w:val="18"/>
        </w:rPr>
      </w:pPr>
      <w:r>
        <w:rPr>
          <w:rFonts w:ascii="Verdana" w:hAnsi="Verdana"/>
          <w:sz w:val="18"/>
          <w:szCs w:val="18"/>
        </w:rPr>
        <w:t xml:space="preserve">By way of derogation from Article 32(3) and (4) of Regulation (EU) 1169/2011, any declaration of the nutrient content in </w:t>
      </w:r>
      <w:r w:rsidR="00CD3CED">
        <w:rPr>
          <w:rFonts w:ascii="Verdana" w:hAnsi="Verdana"/>
          <w:sz w:val="18"/>
          <w:szCs w:val="18"/>
        </w:rPr>
        <w:t>toddler drinks</w:t>
      </w:r>
      <w:r>
        <w:rPr>
          <w:rFonts w:ascii="Verdana" w:hAnsi="Verdana"/>
          <w:sz w:val="18"/>
          <w:szCs w:val="18"/>
        </w:rPr>
        <w:t xml:space="preserve"> and toddler milk shall be expressed as a percentage of the reference intakes as set out in Annex VII to Regulation (EU) 2016/127 per 100 millilitres of the ready-to-use food as prepared according to the instructions from the manufacturer. </w:t>
      </w:r>
    </w:p>
    <w:p w14:paraId="45D2EEF8" w14:textId="77777777" w:rsidR="00896EB5" w:rsidRDefault="00896EB5" w:rsidP="00073874">
      <w:pPr>
        <w:rPr>
          <w:rFonts w:ascii="Verdana" w:hAnsi="Verdana"/>
          <w:b/>
          <w:kern w:val="2"/>
          <w:sz w:val="18"/>
          <w:szCs w:val="18"/>
        </w:rPr>
      </w:pPr>
    </w:p>
    <w:p w14:paraId="6CBE7FC7" w14:textId="77777777" w:rsidR="00073874" w:rsidRPr="00377F95" w:rsidRDefault="00073874" w:rsidP="00037899">
      <w:pPr>
        <w:keepNext/>
        <w:keepLines/>
        <w:rPr>
          <w:rFonts w:ascii="Verdana" w:hAnsi="Verdana"/>
          <w:kern w:val="2"/>
          <w:sz w:val="18"/>
          <w:szCs w:val="18"/>
        </w:rPr>
      </w:pPr>
      <w:r>
        <w:rPr>
          <w:rFonts w:ascii="Verdana" w:hAnsi="Verdana"/>
          <w:b/>
          <w:sz w:val="18"/>
          <w:szCs w:val="18"/>
        </w:rPr>
        <w:t>§ 4. Final provisions</w:t>
      </w:r>
    </w:p>
    <w:p w14:paraId="6338F9B0" w14:textId="77777777" w:rsidR="00073874" w:rsidRDefault="00073874" w:rsidP="00037899">
      <w:pPr>
        <w:keepNext/>
        <w:keepLines/>
        <w:rPr>
          <w:rFonts w:ascii="Verdana" w:hAnsi="Verdana"/>
          <w:kern w:val="2"/>
          <w:sz w:val="18"/>
          <w:szCs w:val="18"/>
        </w:rPr>
      </w:pPr>
    </w:p>
    <w:p w14:paraId="0EF71A57" w14:textId="5ABBF041" w:rsidR="00073874" w:rsidRDefault="00545ABF" w:rsidP="00037899">
      <w:pPr>
        <w:keepNext/>
        <w:keepLines/>
        <w:rPr>
          <w:rFonts w:ascii="Verdana" w:hAnsi="Verdana"/>
          <w:b/>
          <w:kern w:val="2"/>
          <w:sz w:val="18"/>
          <w:szCs w:val="18"/>
        </w:rPr>
      </w:pPr>
      <w:r>
        <w:rPr>
          <w:rFonts w:ascii="Verdana" w:hAnsi="Verdana"/>
          <w:b/>
          <w:sz w:val="18"/>
          <w:szCs w:val="18"/>
        </w:rPr>
        <w:t>Article 11</w:t>
      </w:r>
    </w:p>
    <w:p w14:paraId="38BA3454" w14:textId="77777777" w:rsidR="00073874" w:rsidRDefault="00073874" w:rsidP="00037899">
      <w:pPr>
        <w:keepNext/>
        <w:keepLines/>
        <w:rPr>
          <w:rFonts w:ascii="Verdana" w:hAnsi="Verdana"/>
          <w:kern w:val="2"/>
          <w:sz w:val="18"/>
          <w:szCs w:val="18"/>
        </w:rPr>
      </w:pPr>
      <w:r>
        <w:rPr>
          <w:rFonts w:ascii="Verdana" w:hAnsi="Verdana"/>
          <w:sz w:val="18"/>
          <w:szCs w:val="18"/>
        </w:rPr>
        <w:t>The Commodities Act Decree on the addition of micronutrients to foods [</w:t>
      </w:r>
      <w:proofErr w:type="spellStart"/>
      <w:r>
        <w:rPr>
          <w:rFonts w:ascii="Verdana" w:hAnsi="Verdana"/>
          <w:sz w:val="18"/>
          <w:szCs w:val="18"/>
        </w:rPr>
        <w:t>Warenwetbesluit</w:t>
      </w:r>
      <w:proofErr w:type="spellEnd"/>
      <w:r>
        <w:rPr>
          <w:rFonts w:ascii="Verdana" w:hAnsi="Verdana"/>
          <w:sz w:val="18"/>
          <w:szCs w:val="18"/>
        </w:rPr>
        <w:t xml:space="preserve"> </w:t>
      </w:r>
      <w:proofErr w:type="spellStart"/>
      <w:r>
        <w:rPr>
          <w:rFonts w:ascii="Verdana" w:hAnsi="Verdana"/>
          <w:sz w:val="18"/>
          <w:szCs w:val="18"/>
        </w:rPr>
        <w:t>Toevoeging</w:t>
      </w:r>
      <w:proofErr w:type="spellEnd"/>
      <w:r>
        <w:rPr>
          <w:rFonts w:ascii="Verdana" w:hAnsi="Verdana"/>
          <w:sz w:val="18"/>
          <w:szCs w:val="18"/>
        </w:rPr>
        <w:t xml:space="preserve"> micro-</w:t>
      </w:r>
      <w:proofErr w:type="spellStart"/>
      <w:r>
        <w:rPr>
          <w:rFonts w:ascii="Verdana" w:hAnsi="Verdana"/>
          <w:sz w:val="18"/>
          <w:szCs w:val="18"/>
        </w:rPr>
        <w:t>voedingsstoffen</w:t>
      </w:r>
      <w:proofErr w:type="spellEnd"/>
      <w:r>
        <w:rPr>
          <w:rFonts w:ascii="Verdana" w:hAnsi="Verdana"/>
          <w:sz w:val="18"/>
          <w:szCs w:val="18"/>
        </w:rPr>
        <w:t xml:space="preserve"> </w:t>
      </w:r>
      <w:proofErr w:type="spellStart"/>
      <w:r>
        <w:rPr>
          <w:rFonts w:ascii="Verdana" w:hAnsi="Verdana"/>
          <w:sz w:val="18"/>
          <w:szCs w:val="18"/>
        </w:rPr>
        <w:t>aan</w:t>
      </w:r>
      <w:proofErr w:type="spellEnd"/>
      <w:r>
        <w:rPr>
          <w:rFonts w:ascii="Verdana" w:hAnsi="Verdana"/>
          <w:sz w:val="18"/>
          <w:szCs w:val="18"/>
        </w:rPr>
        <w:t xml:space="preserve"> </w:t>
      </w:r>
      <w:proofErr w:type="spellStart"/>
      <w:r>
        <w:rPr>
          <w:rFonts w:ascii="Verdana" w:hAnsi="Verdana"/>
          <w:sz w:val="18"/>
          <w:szCs w:val="18"/>
        </w:rPr>
        <w:t>levensmiddelen</w:t>
      </w:r>
      <w:proofErr w:type="spellEnd"/>
      <w:r>
        <w:rPr>
          <w:rFonts w:ascii="Verdana" w:hAnsi="Verdana"/>
          <w:sz w:val="18"/>
          <w:szCs w:val="18"/>
        </w:rPr>
        <w:t>] shall be amended as follows:</w:t>
      </w:r>
    </w:p>
    <w:p w14:paraId="5A76413F" w14:textId="77777777" w:rsidR="00073874" w:rsidRDefault="00073874" w:rsidP="00037899">
      <w:pPr>
        <w:keepNext/>
        <w:keepLines/>
        <w:rPr>
          <w:rFonts w:ascii="Verdana" w:hAnsi="Verdana"/>
          <w:kern w:val="2"/>
          <w:sz w:val="18"/>
          <w:szCs w:val="18"/>
        </w:rPr>
      </w:pPr>
    </w:p>
    <w:p w14:paraId="05B1F9B6" w14:textId="77777777" w:rsidR="00073874" w:rsidRDefault="00073874" w:rsidP="00037899">
      <w:pPr>
        <w:keepNext/>
        <w:keepLines/>
        <w:rPr>
          <w:rFonts w:ascii="Verdana" w:hAnsi="Verdana"/>
          <w:kern w:val="2"/>
          <w:sz w:val="18"/>
          <w:szCs w:val="18"/>
        </w:rPr>
      </w:pPr>
      <w:r>
        <w:rPr>
          <w:rFonts w:ascii="Verdana" w:hAnsi="Verdana"/>
          <w:sz w:val="18"/>
          <w:szCs w:val="18"/>
        </w:rPr>
        <w:t>A</w:t>
      </w:r>
    </w:p>
    <w:p w14:paraId="17C57D35" w14:textId="77777777" w:rsidR="00073874" w:rsidRDefault="00073874" w:rsidP="00037899">
      <w:pPr>
        <w:keepNext/>
        <w:keepLines/>
        <w:rPr>
          <w:rFonts w:ascii="Verdana" w:hAnsi="Verdana"/>
          <w:kern w:val="2"/>
          <w:sz w:val="18"/>
          <w:szCs w:val="18"/>
        </w:rPr>
      </w:pPr>
    </w:p>
    <w:p w14:paraId="0E6115AD" w14:textId="5EA7AABF" w:rsidR="00073874" w:rsidRDefault="00073874" w:rsidP="00073874">
      <w:pPr>
        <w:rPr>
          <w:rFonts w:ascii="Verdana" w:hAnsi="Verdana"/>
          <w:kern w:val="2"/>
          <w:sz w:val="18"/>
          <w:szCs w:val="18"/>
        </w:rPr>
      </w:pPr>
      <w:r>
        <w:rPr>
          <w:rFonts w:ascii="Verdana" w:hAnsi="Verdana"/>
          <w:sz w:val="18"/>
          <w:szCs w:val="18"/>
        </w:rPr>
        <w:t>In Article 1(1)(e), ‘recommended daily allowance’ is replaced by ‘reference intakes’.</w:t>
      </w:r>
    </w:p>
    <w:p w14:paraId="3D8942E6" w14:textId="77777777" w:rsidR="00073874" w:rsidRPr="00EC6A3C" w:rsidRDefault="00073874" w:rsidP="00073874">
      <w:pPr>
        <w:rPr>
          <w:rFonts w:ascii="Verdana" w:hAnsi="Verdana"/>
          <w:kern w:val="2"/>
          <w:sz w:val="18"/>
          <w:szCs w:val="18"/>
        </w:rPr>
      </w:pPr>
    </w:p>
    <w:p w14:paraId="55D83C1B" w14:textId="77777777" w:rsidR="00073874" w:rsidRDefault="00073874" w:rsidP="00037899">
      <w:pPr>
        <w:keepNext/>
        <w:keepLines/>
        <w:rPr>
          <w:rFonts w:ascii="Verdana" w:hAnsi="Verdana"/>
          <w:kern w:val="2"/>
          <w:sz w:val="18"/>
          <w:szCs w:val="18"/>
        </w:rPr>
      </w:pPr>
      <w:r>
        <w:rPr>
          <w:rFonts w:ascii="Verdana" w:hAnsi="Verdana"/>
          <w:sz w:val="18"/>
          <w:szCs w:val="18"/>
        </w:rPr>
        <w:t>B</w:t>
      </w:r>
    </w:p>
    <w:p w14:paraId="6386CDBE" w14:textId="77777777" w:rsidR="00073874" w:rsidRDefault="00073874" w:rsidP="00037899">
      <w:pPr>
        <w:keepNext/>
        <w:keepLines/>
        <w:rPr>
          <w:rFonts w:ascii="Verdana" w:hAnsi="Verdana"/>
          <w:kern w:val="2"/>
          <w:sz w:val="18"/>
          <w:szCs w:val="18"/>
        </w:rPr>
      </w:pPr>
    </w:p>
    <w:p w14:paraId="458FEE7B" w14:textId="77777777" w:rsidR="00073874" w:rsidRDefault="00073874" w:rsidP="00073874">
      <w:pPr>
        <w:rPr>
          <w:rFonts w:ascii="Verdana" w:hAnsi="Verdana"/>
          <w:kern w:val="2"/>
          <w:sz w:val="18"/>
          <w:szCs w:val="18"/>
        </w:rPr>
      </w:pPr>
      <w:r>
        <w:rPr>
          <w:rFonts w:ascii="Verdana" w:hAnsi="Verdana"/>
          <w:sz w:val="18"/>
          <w:szCs w:val="18"/>
        </w:rPr>
        <w:t>In Article 6(1), ‘recommended daily allowance’ is replaced by ‘reference intakes’.</w:t>
      </w:r>
    </w:p>
    <w:p w14:paraId="3DBCB335" w14:textId="77777777" w:rsidR="00073874" w:rsidRDefault="00073874" w:rsidP="00073874">
      <w:pPr>
        <w:rPr>
          <w:rFonts w:ascii="Verdana" w:hAnsi="Verdana"/>
          <w:kern w:val="2"/>
          <w:sz w:val="18"/>
          <w:szCs w:val="18"/>
        </w:rPr>
      </w:pPr>
    </w:p>
    <w:p w14:paraId="0B33DFE2" w14:textId="77777777" w:rsidR="00073874" w:rsidRDefault="00073874" w:rsidP="00073874">
      <w:pPr>
        <w:rPr>
          <w:rFonts w:ascii="Verdana" w:hAnsi="Verdana"/>
          <w:kern w:val="2"/>
          <w:sz w:val="18"/>
          <w:szCs w:val="18"/>
        </w:rPr>
      </w:pPr>
      <w:r>
        <w:rPr>
          <w:rFonts w:ascii="Verdana" w:hAnsi="Verdana"/>
          <w:sz w:val="18"/>
          <w:szCs w:val="18"/>
        </w:rPr>
        <w:t>C</w:t>
      </w:r>
    </w:p>
    <w:p w14:paraId="60209C98" w14:textId="77777777" w:rsidR="00073874" w:rsidRDefault="00073874" w:rsidP="00073874">
      <w:pPr>
        <w:rPr>
          <w:rFonts w:ascii="Verdana" w:hAnsi="Verdana"/>
          <w:kern w:val="2"/>
          <w:sz w:val="18"/>
          <w:szCs w:val="18"/>
        </w:rPr>
      </w:pPr>
    </w:p>
    <w:p w14:paraId="5E245599" w14:textId="77777777" w:rsidR="00073874" w:rsidRDefault="00073874" w:rsidP="00073874">
      <w:pPr>
        <w:rPr>
          <w:rFonts w:ascii="Verdana" w:hAnsi="Verdana"/>
          <w:kern w:val="2"/>
          <w:sz w:val="18"/>
          <w:szCs w:val="18"/>
        </w:rPr>
      </w:pPr>
      <w:r>
        <w:rPr>
          <w:rFonts w:ascii="Verdana" w:hAnsi="Verdana"/>
          <w:sz w:val="18"/>
          <w:szCs w:val="18"/>
        </w:rPr>
        <w:t>In Annex 2, ‘recommended daily allowance’ is replaced by ‘reference intakes’.</w:t>
      </w:r>
    </w:p>
    <w:p w14:paraId="32F4BB61" w14:textId="77777777" w:rsidR="00073874" w:rsidRDefault="00073874" w:rsidP="00073874">
      <w:pPr>
        <w:rPr>
          <w:rFonts w:ascii="Verdana" w:hAnsi="Verdana"/>
          <w:kern w:val="2"/>
          <w:sz w:val="18"/>
          <w:szCs w:val="18"/>
        </w:rPr>
      </w:pPr>
    </w:p>
    <w:p w14:paraId="71C5482F" w14:textId="77777777" w:rsidR="00073874" w:rsidRDefault="00073874" w:rsidP="00037899">
      <w:pPr>
        <w:keepNext/>
        <w:keepLines/>
        <w:rPr>
          <w:rFonts w:ascii="Verdana" w:hAnsi="Verdana"/>
          <w:kern w:val="2"/>
          <w:sz w:val="18"/>
          <w:szCs w:val="18"/>
        </w:rPr>
      </w:pPr>
      <w:r>
        <w:rPr>
          <w:rFonts w:ascii="Verdana" w:hAnsi="Verdana"/>
          <w:sz w:val="18"/>
          <w:szCs w:val="18"/>
        </w:rPr>
        <w:t>D</w:t>
      </w:r>
    </w:p>
    <w:p w14:paraId="386F2C02" w14:textId="77777777" w:rsidR="00073874" w:rsidRDefault="00073874" w:rsidP="00037899">
      <w:pPr>
        <w:keepNext/>
        <w:keepLines/>
        <w:rPr>
          <w:rFonts w:ascii="Verdana" w:hAnsi="Verdana"/>
          <w:kern w:val="2"/>
          <w:sz w:val="18"/>
          <w:szCs w:val="18"/>
        </w:rPr>
      </w:pPr>
    </w:p>
    <w:p w14:paraId="1BF82929" w14:textId="77777777" w:rsidR="00073874" w:rsidRPr="00081924" w:rsidRDefault="00073874" w:rsidP="00073874">
      <w:pPr>
        <w:rPr>
          <w:rFonts w:ascii="Verdana" w:hAnsi="Verdana"/>
          <w:kern w:val="2"/>
          <w:sz w:val="18"/>
          <w:szCs w:val="18"/>
        </w:rPr>
      </w:pPr>
      <w:r>
        <w:rPr>
          <w:rFonts w:ascii="Verdana" w:hAnsi="Verdana"/>
          <w:sz w:val="18"/>
          <w:szCs w:val="18"/>
        </w:rPr>
        <w:t>In Annex 3, ‘recommended daily allowance’ is replaced by ‘reference intakes’.</w:t>
      </w:r>
    </w:p>
    <w:p w14:paraId="1A4FDAF8" w14:textId="77777777" w:rsidR="00073874" w:rsidRDefault="00073874" w:rsidP="00073874">
      <w:pPr>
        <w:rPr>
          <w:rFonts w:ascii="Verdana" w:hAnsi="Verdana"/>
          <w:b/>
          <w:kern w:val="2"/>
          <w:sz w:val="18"/>
          <w:szCs w:val="18"/>
        </w:rPr>
      </w:pPr>
    </w:p>
    <w:p w14:paraId="28C5C247" w14:textId="718F8801" w:rsidR="00073874" w:rsidRDefault="00545ABF" w:rsidP="00037899">
      <w:pPr>
        <w:keepNext/>
        <w:keepLines/>
        <w:rPr>
          <w:rFonts w:ascii="Verdana" w:hAnsi="Verdana"/>
          <w:b/>
          <w:kern w:val="2"/>
          <w:sz w:val="18"/>
          <w:szCs w:val="18"/>
        </w:rPr>
      </w:pPr>
      <w:r>
        <w:rPr>
          <w:rFonts w:ascii="Verdana" w:hAnsi="Verdana"/>
          <w:b/>
          <w:sz w:val="18"/>
          <w:szCs w:val="18"/>
        </w:rPr>
        <w:t>Article 12</w:t>
      </w:r>
    </w:p>
    <w:p w14:paraId="45BAE68C" w14:textId="77777777" w:rsidR="00073874" w:rsidRPr="00CB0DBC" w:rsidRDefault="00073874" w:rsidP="00037899">
      <w:pPr>
        <w:keepNext/>
        <w:keepLines/>
        <w:rPr>
          <w:rFonts w:ascii="Verdana" w:hAnsi="Verdana"/>
          <w:b/>
          <w:kern w:val="2"/>
          <w:sz w:val="18"/>
          <w:szCs w:val="18"/>
        </w:rPr>
      </w:pPr>
      <w:r>
        <w:rPr>
          <w:rFonts w:ascii="Verdana" w:hAnsi="Verdana"/>
          <w:sz w:val="18"/>
          <w:szCs w:val="18"/>
        </w:rPr>
        <w:t>The Annex to the Commodities Act Decree on administrative penalties [</w:t>
      </w:r>
      <w:proofErr w:type="spellStart"/>
      <w:r>
        <w:rPr>
          <w:rFonts w:ascii="Verdana" w:hAnsi="Verdana"/>
          <w:sz w:val="18"/>
          <w:szCs w:val="18"/>
        </w:rPr>
        <w:t>Warenwetbesluit</w:t>
      </w:r>
      <w:proofErr w:type="spellEnd"/>
      <w:r>
        <w:rPr>
          <w:rFonts w:ascii="Verdana" w:hAnsi="Verdana"/>
          <w:sz w:val="18"/>
          <w:szCs w:val="18"/>
        </w:rPr>
        <w:t xml:space="preserve"> </w:t>
      </w:r>
      <w:proofErr w:type="spellStart"/>
      <w:r>
        <w:rPr>
          <w:rFonts w:ascii="Verdana" w:hAnsi="Verdana"/>
          <w:sz w:val="18"/>
          <w:szCs w:val="18"/>
        </w:rPr>
        <w:t>bestuurlijke</w:t>
      </w:r>
      <w:proofErr w:type="spellEnd"/>
      <w:r>
        <w:rPr>
          <w:rFonts w:ascii="Verdana" w:hAnsi="Verdana"/>
          <w:sz w:val="18"/>
          <w:szCs w:val="18"/>
        </w:rPr>
        <w:t xml:space="preserve"> </w:t>
      </w:r>
      <w:proofErr w:type="spellStart"/>
      <w:r>
        <w:rPr>
          <w:rFonts w:ascii="Verdana" w:hAnsi="Verdana"/>
          <w:sz w:val="18"/>
          <w:szCs w:val="18"/>
        </w:rPr>
        <w:t>boeten</w:t>
      </w:r>
      <w:proofErr w:type="spellEnd"/>
      <w:r>
        <w:rPr>
          <w:rFonts w:ascii="Verdana" w:hAnsi="Verdana"/>
          <w:sz w:val="18"/>
          <w:szCs w:val="18"/>
        </w:rPr>
        <w:t xml:space="preserve">] is amended as follows: </w:t>
      </w:r>
    </w:p>
    <w:p w14:paraId="2E2B7103" w14:textId="77777777" w:rsidR="00073874" w:rsidRDefault="00073874" w:rsidP="00037899">
      <w:pPr>
        <w:keepNext/>
        <w:keepLines/>
        <w:rPr>
          <w:rFonts w:ascii="Verdana" w:hAnsi="Verdana"/>
          <w:kern w:val="2"/>
          <w:sz w:val="18"/>
          <w:szCs w:val="18"/>
        </w:rPr>
      </w:pPr>
    </w:p>
    <w:p w14:paraId="539B45FF" w14:textId="77777777" w:rsidR="00073874" w:rsidRPr="00927D2F" w:rsidRDefault="00073874" w:rsidP="00037899">
      <w:pPr>
        <w:keepNext/>
        <w:keepLines/>
        <w:rPr>
          <w:rFonts w:ascii="Verdana" w:hAnsi="Verdana"/>
          <w:kern w:val="2"/>
          <w:sz w:val="18"/>
          <w:szCs w:val="18"/>
        </w:rPr>
      </w:pPr>
      <w:r>
        <w:rPr>
          <w:rFonts w:ascii="Verdana" w:hAnsi="Verdana"/>
          <w:sz w:val="18"/>
          <w:szCs w:val="18"/>
        </w:rPr>
        <w:t xml:space="preserve">1. In the Table of Contents, a point is inserted after point C-29 with the following text: </w:t>
      </w:r>
    </w:p>
    <w:p w14:paraId="06D9338A" w14:textId="77777777" w:rsidR="00073874" w:rsidRDefault="00073874" w:rsidP="00037899">
      <w:pPr>
        <w:keepNext/>
        <w:keepLines/>
        <w:rPr>
          <w:rFonts w:ascii="Verdana" w:hAnsi="Verdana"/>
          <w:kern w:val="2"/>
          <w:sz w:val="18"/>
          <w:szCs w:val="18"/>
        </w:rPr>
      </w:pPr>
    </w:p>
    <w:p w14:paraId="559AD7D3" w14:textId="4B78CC27" w:rsidR="00073874" w:rsidRDefault="00073874" w:rsidP="00073874">
      <w:pPr>
        <w:rPr>
          <w:rFonts w:ascii="Verdana" w:hAnsi="Verdana"/>
          <w:kern w:val="2"/>
          <w:sz w:val="18"/>
          <w:szCs w:val="18"/>
        </w:rPr>
      </w:pPr>
      <w:r>
        <w:rPr>
          <w:rFonts w:ascii="Verdana" w:hAnsi="Verdana"/>
          <w:sz w:val="18"/>
          <w:szCs w:val="18"/>
        </w:rPr>
        <w:t xml:space="preserve">C-30 Commodities Act Decree on </w:t>
      </w:r>
      <w:r w:rsidR="00CD3CED">
        <w:rPr>
          <w:rFonts w:ascii="Verdana" w:hAnsi="Verdana"/>
          <w:sz w:val="18"/>
          <w:szCs w:val="18"/>
        </w:rPr>
        <w:t>toddler drinks</w:t>
      </w:r>
      <w:r>
        <w:rPr>
          <w:rFonts w:ascii="Verdana" w:hAnsi="Verdana"/>
          <w:sz w:val="18"/>
          <w:szCs w:val="18"/>
        </w:rPr>
        <w:t xml:space="preserve"> and toddler milk</w:t>
      </w:r>
    </w:p>
    <w:p w14:paraId="30569750" w14:textId="77777777" w:rsidR="00073874" w:rsidRDefault="00073874" w:rsidP="00073874">
      <w:pPr>
        <w:rPr>
          <w:rFonts w:ascii="Verdana" w:hAnsi="Verdana"/>
          <w:kern w:val="2"/>
          <w:sz w:val="18"/>
          <w:szCs w:val="18"/>
        </w:rPr>
      </w:pPr>
    </w:p>
    <w:p w14:paraId="04F7B3DB" w14:textId="77777777" w:rsidR="00073874" w:rsidRDefault="00073874" w:rsidP="00037899">
      <w:pPr>
        <w:keepNext/>
        <w:keepLines/>
        <w:rPr>
          <w:rFonts w:ascii="Verdana" w:hAnsi="Verdana"/>
          <w:kern w:val="2"/>
          <w:sz w:val="18"/>
          <w:szCs w:val="18"/>
        </w:rPr>
      </w:pPr>
      <w:r>
        <w:rPr>
          <w:rFonts w:ascii="Verdana" w:hAnsi="Verdana"/>
          <w:sz w:val="18"/>
          <w:szCs w:val="18"/>
        </w:rPr>
        <w:t>2. After heading C-29, a new heading is inserted with the following text:</w:t>
      </w:r>
    </w:p>
    <w:p w14:paraId="2DBB793B" w14:textId="77777777" w:rsidR="00073874" w:rsidRDefault="00073874" w:rsidP="00037899">
      <w:pPr>
        <w:keepNext/>
        <w:keepLines/>
        <w:rPr>
          <w:rFonts w:ascii="Verdana" w:hAnsi="Verdana"/>
          <w:kern w:val="2"/>
          <w:sz w:val="18"/>
          <w:szCs w:val="18"/>
        </w:rPr>
      </w:pPr>
    </w:p>
    <w:p w14:paraId="0C268768" w14:textId="743CE2E9" w:rsidR="00073874" w:rsidRPr="00927D2F" w:rsidRDefault="00073874" w:rsidP="00037899">
      <w:pPr>
        <w:keepNext/>
        <w:keepLines/>
        <w:rPr>
          <w:rFonts w:ascii="Verdana" w:hAnsi="Verdana"/>
          <w:kern w:val="2"/>
          <w:sz w:val="18"/>
          <w:szCs w:val="18"/>
        </w:rPr>
      </w:pPr>
      <w:r>
        <w:rPr>
          <w:rFonts w:ascii="Verdana" w:hAnsi="Verdana"/>
          <w:sz w:val="18"/>
          <w:szCs w:val="18"/>
        </w:rPr>
        <w:t xml:space="preserve">C-30 Commodities Act Decree on </w:t>
      </w:r>
      <w:r w:rsidR="00CD3CED">
        <w:rPr>
          <w:rFonts w:ascii="Verdana" w:hAnsi="Verdana"/>
          <w:sz w:val="18"/>
          <w:szCs w:val="18"/>
        </w:rPr>
        <w:t>toddler drinks</w:t>
      </w:r>
      <w:r>
        <w:rPr>
          <w:rFonts w:ascii="Verdana" w:hAnsi="Verdana"/>
          <w:sz w:val="18"/>
          <w:szCs w:val="18"/>
        </w:rPr>
        <w:t xml:space="preserve"> and toddler milk </w:t>
      </w:r>
    </w:p>
    <w:p w14:paraId="3D255262" w14:textId="77777777" w:rsidR="00073874" w:rsidRDefault="00073874" w:rsidP="00037899">
      <w:pPr>
        <w:keepNext/>
        <w:keepLines/>
        <w:spacing w:line="240" w:lineRule="exact"/>
        <w:rPr>
          <w:rFonts w:ascii="Verdana" w:hAnsi="Verdana"/>
          <w:sz w:val="18"/>
          <w:szCs w:val="18"/>
        </w:rPr>
      </w:pPr>
    </w:p>
    <w:tbl>
      <w:tblPr>
        <w:tblStyle w:val="TableGrid"/>
        <w:tblW w:w="8261" w:type="dxa"/>
        <w:tblInd w:w="-5" w:type="dxa"/>
        <w:tblLook w:val="04A0" w:firstRow="1" w:lastRow="0" w:firstColumn="1" w:lastColumn="0" w:noHBand="0" w:noVBand="1"/>
      </w:tblPr>
      <w:tblGrid>
        <w:gridCol w:w="1156"/>
        <w:gridCol w:w="4488"/>
        <w:gridCol w:w="994"/>
        <w:gridCol w:w="1172"/>
        <w:gridCol w:w="451"/>
      </w:tblGrid>
      <w:tr w:rsidR="00073874" w14:paraId="52311ED4" w14:textId="77777777" w:rsidTr="006C4BDA">
        <w:tc>
          <w:tcPr>
            <w:tcW w:w="1170" w:type="dxa"/>
          </w:tcPr>
          <w:p w14:paraId="5BD65CE1" w14:textId="77777777" w:rsidR="00073874" w:rsidRDefault="00073874" w:rsidP="006C4BDA">
            <w:pPr>
              <w:spacing w:line="240" w:lineRule="exact"/>
              <w:rPr>
                <w:rFonts w:ascii="Verdana" w:hAnsi="Verdana"/>
                <w:sz w:val="18"/>
                <w:szCs w:val="18"/>
              </w:rPr>
            </w:pPr>
            <w:r>
              <w:rPr>
                <w:rFonts w:ascii="Verdana" w:hAnsi="Verdana"/>
                <w:sz w:val="18"/>
                <w:szCs w:val="18"/>
              </w:rPr>
              <w:t>C-30</w:t>
            </w:r>
          </w:p>
        </w:tc>
        <w:tc>
          <w:tcPr>
            <w:tcW w:w="4585" w:type="dxa"/>
          </w:tcPr>
          <w:p w14:paraId="49B6176D" w14:textId="5ED9F051" w:rsidR="00073874" w:rsidRDefault="00073874" w:rsidP="006C4BDA">
            <w:pPr>
              <w:spacing w:line="240" w:lineRule="exact"/>
              <w:rPr>
                <w:rFonts w:ascii="Verdana" w:hAnsi="Verdana"/>
                <w:sz w:val="18"/>
                <w:szCs w:val="18"/>
              </w:rPr>
            </w:pPr>
            <w:r>
              <w:rPr>
                <w:rFonts w:ascii="Verdana" w:hAnsi="Verdana"/>
                <w:sz w:val="18"/>
                <w:szCs w:val="18"/>
              </w:rPr>
              <w:t xml:space="preserve">Commodities Act Decree on </w:t>
            </w:r>
            <w:r w:rsidR="00CD3CED">
              <w:rPr>
                <w:rFonts w:ascii="Verdana" w:hAnsi="Verdana"/>
                <w:sz w:val="18"/>
                <w:szCs w:val="18"/>
              </w:rPr>
              <w:t>toddler drinks</w:t>
            </w:r>
            <w:r>
              <w:rPr>
                <w:rFonts w:ascii="Verdana" w:hAnsi="Verdana"/>
                <w:sz w:val="18"/>
                <w:szCs w:val="18"/>
              </w:rPr>
              <w:t xml:space="preserve"> and toddler milk</w:t>
            </w:r>
          </w:p>
        </w:tc>
        <w:tc>
          <w:tcPr>
            <w:tcW w:w="936" w:type="dxa"/>
          </w:tcPr>
          <w:p w14:paraId="69AD9BD1" w14:textId="77777777" w:rsidR="00073874" w:rsidRDefault="00073874" w:rsidP="006C4BDA">
            <w:pPr>
              <w:spacing w:line="240" w:lineRule="exact"/>
              <w:rPr>
                <w:rFonts w:ascii="Verdana" w:hAnsi="Verdana"/>
                <w:sz w:val="18"/>
                <w:szCs w:val="18"/>
              </w:rPr>
            </w:pPr>
          </w:p>
        </w:tc>
        <w:tc>
          <w:tcPr>
            <w:tcW w:w="1116" w:type="dxa"/>
          </w:tcPr>
          <w:p w14:paraId="443F9E5B" w14:textId="77777777" w:rsidR="00073874" w:rsidRDefault="00073874" w:rsidP="006C4BDA">
            <w:pPr>
              <w:spacing w:line="240" w:lineRule="exact"/>
              <w:rPr>
                <w:rFonts w:ascii="Verdana" w:hAnsi="Verdana"/>
                <w:sz w:val="18"/>
                <w:szCs w:val="18"/>
              </w:rPr>
            </w:pPr>
          </w:p>
        </w:tc>
        <w:tc>
          <w:tcPr>
            <w:tcW w:w="454" w:type="dxa"/>
          </w:tcPr>
          <w:p w14:paraId="57AAE572" w14:textId="77777777" w:rsidR="00073874" w:rsidRDefault="00073874" w:rsidP="006C4BDA">
            <w:pPr>
              <w:spacing w:line="240" w:lineRule="exact"/>
              <w:rPr>
                <w:rFonts w:ascii="Verdana" w:hAnsi="Verdana"/>
                <w:sz w:val="18"/>
                <w:szCs w:val="18"/>
              </w:rPr>
            </w:pPr>
          </w:p>
        </w:tc>
      </w:tr>
      <w:tr w:rsidR="00073874" w14:paraId="080EBBAA" w14:textId="77777777" w:rsidTr="006C4BDA">
        <w:tc>
          <w:tcPr>
            <w:tcW w:w="1170" w:type="dxa"/>
          </w:tcPr>
          <w:p w14:paraId="417891BE" w14:textId="77777777" w:rsidR="00073874" w:rsidRDefault="00073874" w:rsidP="006C4BDA">
            <w:pPr>
              <w:spacing w:line="240" w:lineRule="exact"/>
              <w:rPr>
                <w:rFonts w:ascii="Verdana" w:hAnsi="Verdana"/>
                <w:sz w:val="18"/>
                <w:szCs w:val="18"/>
              </w:rPr>
            </w:pPr>
            <w:r>
              <w:rPr>
                <w:rFonts w:ascii="Verdana" w:hAnsi="Verdana"/>
                <w:sz w:val="18"/>
                <w:szCs w:val="18"/>
              </w:rPr>
              <w:t>C-30.1</w:t>
            </w:r>
          </w:p>
        </w:tc>
        <w:tc>
          <w:tcPr>
            <w:tcW w:w="4585" w:type="dxa"/>
          </w:tcPr>
          <w:p w14:paraId="497C00FC" w14:textId="77777777" w:rsidR="00073874" w:rsidRDefault="00073874" w:rsidP="006C4BDA">
            <w:pPr>
              <w:spacing w:line="240" w:lineRule="exact"/>
              <w:rPr>
                <w:rFonts w:ascii="Verdana" w:hAnsi="Verdana"/>
                <w:sz w:val="18"/>
                <w:szCs w:val="18"/>
              </w:rPr>
            </w:pPr>
            <w:r>
              <w:rPr>
                <w:rFonts w:ascii="Verdana" w:hAnsi="Verdana"/>
                <w:sz w:val="18"/>
                <w:szCs w:val="18"/>
              </w:rPr>
              <w:t>Article 2 in conjunction with Article 3(1)</w:t>
            </w:r>
            <w:r>
              <w:rPr>
                <w:rFonts w:ascii="Verdana" w:hAnsi="Verdana"/>
                <w:sz w:val="18"/>
                <w:szCs w:val="18"/>
              </w:rPr>
              <w:tab/>
            </w:r>
          </w:p>
        </w:tc>
        <w:tc>
          <w:tcPr>
            <w:tcW w:w="936" w:type="dxa"/>
          </w:tcPr>
          <w:p w14:paraId="353EB105" w14:textId="77777777" w:rsidR="00073874" w:rsidRDefault="00073874" w:rsidP="006C4BDA">
            <w:pPr>
              <w:spacing w:line="240" w:lineRule="exact"/>
              <w:rPr>
                <w:rFonts w:ascii="Verdana" w:hAnsi="Verdana"/>
                <w:sz w:val="18"/>
                <w:szCs w:val="18"/>
              </w:rPr>
            </w:pPr>
            <w:r>
              <w:rPr>
                <w:rFonts w:ascii="Verdana" w:hAnsi="Verdana"/>
                <w:sz w:val="18"/>
                <w:szCs w:val="18"/>
              </w:rPr>
              <w:t>EUR 525</w:t>
            </w:r>
          </w:p>
        </w:tc>
        <w:tc>
          <w:tcPr>
            <w:tcW w:w="1116" w:type="dxa"/>
          </w:tcPr>
          <w:p w14:paraId="4119CEC1" w14:textId="77777777" w:rsidR="00073874" w:rsidRDefault="00073874" w:rsidP="006C4BDA">
            <w:pPr>
              <w:spacing w:line="240" w:lineRule="exact"/>
              <w:rPr>
                <w:rFonts w:ascii="Verdana" w:hAnsi="Verdana"/>
                <w:sz w:val="18"/>
                <w:szCs w:val="18"/>
              </w:rPr>
            </w:pPr>
            <w:r>
              <w:rPr>
                <w:rFonts w:ascii="Verdana" w:hAnsi="Verdana"/>
                <w:sz w:val="18"/>
                <w:szCs w:val="18"/>
              </w:rPr>
              <w:t>EUR 1 050</w:t>
            </w:r>
          </w:p>
        </w:tc>
        <w:tc>
          <w:tcPr>
            <w:tcW w:w="454" w:type="dxa"/>
          </w:tcPr>
          <w:p w14:paraId="161D95F6" w14:textId="77777777" w:rsidR="00073874" w:rsidRDefault="00073874" w:rsidP="006C4BDA">
            <w:pPr>
              <w:spacing w:line="240" w:lineRule="exact"/>
              <w:rPr>
                <w:rFonts w:ascii="Verdana" w:hAnsi="Verdana"/>
                <w:sz w:val="18"/>
                <w:szCs w:val="18"/>
              </w:rPr>
            </w:pPr>
            <w:r>
              <w:rPr>
                <w:rFonts w:ascii="Verdana" w:hAnsi="Verdana"/>
                <w:sz w:val="18"/>
                <w:szCs w:val="18"/>
              </w:rPr>
              <w:t>X</w:t>
            </w:r>
          </w:p>
        </w:tc>
      </w:tr>
      <w:tr w:rsidR="00073874" w14:paraId="66983A92" w14:textId="77777777" w:rsidTr="006C4BDA">
        <w:tc>
          <w:tcPr>
            <w:tcW w:w="1170" w:type="dxa"/>
          </w:tcPr>
          <w:p w14:paraId="38420C33" w14:textId="2628389C" w:rsidR="00073874" w:rsidRDefault="00073874" w:rsidP="006C4BDA">
            <w:pPr>
              <w:spacing w:line="240" w:lineRule="exact"/>
              <w:rPr>
                <w:rFonts w:ascii="Verdana" w:hAnsi="Verdana"/>
                <w:sz w:val="18"/>
                <w:szCs w:val="18"/>
              </w:rPr>
            </w:pPr>
            <w:r>
              <w:rPr>
                <w:rFonts w:ascii="Verdana" w:hAnsi="Verdana"/>
                <w:sz w:val="18"/>
                <w:szCs w:val="18"/>
              </w:rPr>
              <w:t>C-30.2</w:t>
            </w:r>
          </w:p>
        </w:tc>
        <w:tc>
          <w:tcPr>
            <w:tcW w:w="4585" w:type="dxa"/>
          </w:tcPr>
          <w:p w14:paraId="58DAD725" w14:textId="5DF1C541" w:rsidR="00073874" w:rsidRDefault="00073874" w:rsidP="00DC7D23">
            <w:pPr>
              <w:spacing w:line="240" w:lineRule="exact"/>
              <w:rPr>
                <w:rFonts w:ascii="Verdana" w:hAnsi="Verdana"/>
                <w:sz w:val="18"/>
                <w:szCs w:val="18"/>
              </w:rPr>
            </w:pPr>
            <w:r>
              <w:rPr>
                <w:rFonts w:ascii="Verdana" w:hAnsi="Verdana"/>
                <w:sz w:val="18"/>
                <w:szCs w:val="18"/>
              </w:rPr>
              <w:t>Article 2 in conjunction with Article 3(4)</w:t>
            </w:r>
          </w:p>
        </w:tc>
        <w:tc>
          <w:tcPr>
            <w:tcW w:w="936" w:type="dxa"/>
          </w:tcPr>
          <w:p w14:paraId="5E7C7F61" w14:textId="77777777" w:rsidR="00073874" w:rsidRDefault="00073874" w:rsidP="006C4BDA">
            <w:pPr>
              <w:spacing w:line="240" w:lineRule="exact"/>
              <w:rPr>
                <w:rFonts w:ascii="Verdana" w:hAnsi="Verdana"/>
                <w:sz w:val="18"/>
                <w:szCs w:val="18"/>
              </w:rPr>
            </w:pPr>
            <w:r>
              <w:rPr>
                <w:rFonts w:ascii="Verdana" w:hAnsi="Verdana"/>
                <w:sz w:val="18"/>
                <w:szCs w:val="18"/>
              </w:rPr>
              <w:t>EUR 525</w:t>
            </w:r>
          </w:p>
        </w:tc>
        <w:tc>
          <w:tcPr>
            <w:tcW w:w="1116" w:type="dxa"/>
          </w:tcPr>
          <w:p w14:paraId="692F9D61" w14:textId="77777777" w:rsidR="00073874" w:rsidRDefault="00073874" w:rsidP="006C4BDA">
            <w:pPr>
              <w:spacing w:line="240" w:lineRule="exact"/>
              <w:rPr>
                <w:rFonts w:ascii="Verdana" w:hAnsi="Verdana"/>
                <w:sz w:val="18"/>
                <w:szCs w:val="18"/>
              </w:rPr>
            </w:pPr>
            <w:r>
              <w:rPr>
                <w:rFonts w:ascii="Verdana" w:hAnsi="Verdana"/>
                <w:sz w:val="18"/>
                <w:szCs w:val="18"/>
              </w:rPr>
              <w:t>EUR 1 050</w:t>
            </w:r>
          </w:p>
        </w:tc>
        <w:tc>
          <w:tcPr>
            <w:tcW w:w="454" w:type="dxa"/>
          </w:tcPr>
          <w:p w14:paraId="62B576B7" w14:textId="77777777" w:rsidR="00073874" w:rsidRDefault="00073874" w:rsidP="006C4BDA">
            <w:pPr>
              <w:spacing w:line="240" w:lineRule="exact"/>
              <w:rPr>
                <w:rFonts w:ascii="Verdana" w:hAnsi="Verdana"/>
                <w:sz w:val="18"/>
                <w:szCs w:val="18"/>
              </w:rPr>
            </w:pPr>
            <w:r>
              <w:rPr>
                <w:rFonts w:ascii="Verdana" w:hAnsi="Verdana"/>
                <w:sz w:val="18"/>
                <w:szCs w:val="18"/>
              </w:rPr>
              <w:t>X</w:t>
            </w:r>
          </w:p>
        </w:tc>
      </w:tr>
      <w:tr w:rsidR="00073874" w14:paraId="5676C288" w14:textId="77777777" w:rsidTr="006C4BDA">
        <w:tc>
          <w:tcPr>
            <w:tcW w:w="1170" w:type="dxa"/>
          </w:tcPr>
          <w:p w14:paraId="790BE90C" w14:textId="77777777" w:rsidR="00073874" w:rsidRDefault="00073874" w:rsidP="006C4BDA">
            <w:pPr>
              <w:spacing w:line="240" w:lineRule="exact"/>
              <w:rPr>
                <w:rFonts w:ascii="Verdana" w:hAnsi="Verdana"/>
                <w:sz w:val="18"/>
                <w:szCs w:val="18"/>
              </w:rPr>
            </w:pPr>
            <w:r>
              <w:rPr>
                <w:rFonts w:ascii="Verdana" w:hAnsi="Verdana"/>
                <w:sz w:val="18"/>
                <w:szCs w:val="18"/>
              </w:rPr>
              <w:t>C-30.3</w:t>
            </w:r>
          </w:p>
        </w:tc>
        <w:tc>
          <w:tcPr>
            <w:tcW w:w="4585" w:type="dxa"/>
          </w:tcPr>
          <w:p w14:paraId="58F874C8" w14:textId="0C3C4B39" w:rsidR="00073874" w:rsidRDefault="00073874" w:rsidP="006C4BDA">
            <w:pPr>
              <w:spacing w:line="240" w:lineRule="exact"/>
              <w:rPr>
                <w:rFonts w:ascii="Verdana" w:hAnsi="Verdana"/>
                <w:sz w:val="18"/>
                <w:szCs w:val="18"/>
              </w:rPr>
            </w:pPr>
            <w:r>
              <w:rPr>
                <w:rFonts w:ascii="Verdana" w:hAnsi="Verdana"/>
                <w:sz w:val="18"/>
                <w:szCs w:val="18"/>
              </w:rPr>
              <w:t>Article 2 in conjunction with Article 4(1)</w:t>
            </w:r>
          </w:p>
        </w:tc>
        <w:tc>
          <w:tcPr>
            <w:tcW w:w="936" w:type="dxa"/>
          </w:tcPr>
          <w:p w14:paraId="4EA50D93" w14:textId="573277CE" w:rsidR="00073874" w:rsidRDefault="00073874" w:rsidP="006C4BDA">
            <w:pPr>
              <w:spacing w:line="240" w:lineRule="exact"/>
              <w:rPr>
                <w:rFonts w:ascii="Verdana" w:hAnsi="Verdana"/>
                <w:sz w:val="18"/>
                <w:szCs w:val="18"/>
              </w:rPr>
            </w:pPr>
            <w:r>
              <w:rPr>
                <w:rFonts w:ascii="Verdana" w:hAnsi="Verdana"/>
                <w:sz w:val="18"/>
                <w:szCs w:val="18"/>
              </w:rPr>
              <w:t>EUR 525</w:t>
            </w:r>
          </w:p>
        </w:tc>
        <w:tc>
          <w:tcPr>
            <w:tcW w:w="1116" w:type="dxa"/>
          </w:tcPr>
          <w:p w14:paraId="2D068FFA" w14:textId="6E7D47A5" w:rsidR="00073874" w:rsidRDefault="00073874" w:rsidP="006C4BDA">
            <w:pPr>
              <w:spacing w:line="240" w:lineRule="exact"/>
              <w:rPr>
                <w:rFonts w:ascii="Verdana" w:hAnsi="Verdana"/>
                <w:sz w:val="18"/>
                <w:szCs w:val="18"/>
              </w:rPr>
            </w:pPr>
            <w:r>
              <w:rPr>
                <w:rFonts w:ascii="Verdana" w:hAnsi="Verdana"/>
                <w:sz w:val="18"/>
                <w:szCs w:val="18"/>
              </w:rPr>
              <w:t>EUR 1 050</w:t>
            </w:r>
          </w:p>
        </w:tc>
        <w:tc>
          <w:tcPr>
            <w:tcW w:w="454" w:type="dxa"/>
          </w:tcPr>
          <w:p w14:paraId="6FCE3FE9" w14:textId="77777777" w:rsidR="00073874" w:rsidRDefault="00073874" w:rsidP="006C4BDA">
            <w:pPr>
              <w:spacing w:line="240" w:lineRule="exact"/>
              <w:rPr>
                <w:rFonts w:ascii="Verdana" w:hAnsi="Verdana"/>
                <w:sz w:val="18"/>
                <w:szCs w:val="18"/>
              </w:rPr>
            </w:pPr>
            <w:r>
              <w:rPr>
                <w:rFonts w:ascii="Verdana" w:hAnsi="Verdana"/>
                <w:sz w:val="18"/>
                <w:szCs w:val="18"/>
              </w:rPr>
              <w:t>X</w:t>
            </w:r>
          </w:p>
        </w:tc>
      </w:tr>
      <w:tr w:rsidR="00DC7D23" w:rsidDel="00DC7D23" w14:paraId="24E42793" w14:textId="77777777" w:rsidTr="006C4BDA">
        <w:tc>
          <w:tcPr>
            <w:tcW w:w="1170" w:type="dxa"/>
          </w:tcPr>
          <w:p w14:paraId="12819E85" w14:textId="4D4D18DB" w:rsidR="00DC7D23" w:rsidDel="00DC7D23" w:rsidRDefault="00DC7D23" w:rsidP="00DC7D23">
            <w:pPr>
              <w:spacing w:line="240" w:lineRule="exact"/>
              <w:rPr>
                <w:rFonts w:ascii="Verdana" w:hAnsi="Verdana"/>
                <w:sz w:val="18"/>
                <w:szCs w:val="18"/>
              </w:rPr>
            </w:pPr>
            <w:r>
              <w:rPr>
                <w:rFonts w:ascii="Verdana" w:hAnsi="Verdana"/>
                <w:sz w:val="18"/>
                <w:szCs w:val="18"/>
              </w:rPr>
              <w:lastRenderedPageBreak/>
              <w:t>C-30.4</w:t>
            </w:r>
          </w:p>
        </w:tc>
        <w:tc>
          <w:tcPr>
            <w:tcW w:w="4585" w:type="dxa"/>
          </w:tcPr>
          <w:p w14:paraId="11AB05FF" w14:textId="3C553F38" w:rsidR="00DC7D23" w:rsidDel="00DC7D23" w:rsidRDefault="00DC7D23" w:rsidP="00DC7D23">
            <w:pPr>
              <w:spacing w:line="240" w:lineRule="exact"/>
              <w:rPr>
                <w:rFonts w:ascii="Verdana" w:hAnsi="Verdana"/>
                <w:sz w:val="18"/>
                <w:szCs w:val="18"/>
              </w:rPr>
            </w:pPr>
            <w:r>
              <w:rPr>
                <w:rFonts w:ascii="Verdana" w:hAnsi="Verdana"/>
                <w:sz w:val="18"/>
                <w:szCs w:val="18"/>
              </w:rPr>
              <w:t>Article 2 in conjunction with Article 6(1)</w:t>
            </w:r>
          </w:p>
        </w:tc>
        <w:tc>
          <w:tcPr>
            <w:tcW w:w="936" w:type="dxa"/>
          </w:tcPr>
          <w:p w14:paraId="6911CB85" w14:textId="7B10AB2C" w:rsidR="00DC7D23" w:rsidDel="00DC7D23" w:rsidRDefault="00DC7D23" w:rsidP="00DC7D23">
            <w:pPr>
              <w:spacing w:line="240" w:lineRule="exact"/>
              <w:rPr>
                <w:rFonts w:ascii="Verdana" w:hAnsi="Verdana"/>
                <w:sz w:val="18"/>
                <w:szCs w:val="18"/>
              </w:rPr>
            </w:pPr>
            <w:r>
              <w:rPr>
                <w:rFonts w:ascii="Verdana" w:hAnsi="Verdana"/>
                <w:sz w:val="18"/>
                <w:szCs w:val="18"/>
              </w:rPr>
              <w:t>EUR 525</w:t>
            </w:r>
          </w:p>
        </w:tc>
        <w:tc>
          <w:tcPr>
            <w:tcW w:w="1116" w:type="dxa"/>
          </w:tcPr>
          <w:p w14:paraId="6AB99CE2" w14:textId="4983AB7F" w:rsidR="00DC7D23" w:rsidDel="00DC7D23" w:rsidRDefault="00DC7D23" w:rsidP="00DC7D23">
            <w:pPr>
              <w:spacing w:line="240" w:lineRule="exact"/>
              <w:rPr>
                <w:rFonts w:ascii="Verdana" w:hAnsi="Verdana"/>
                <w:sz w:val="18"/>
                <w:szCs w:val="18"/>
              </w:rPr>
            </w:pPr>
            <w:r>
              <w:rPr>
                <w:rFonts w:ascii="Verdana" w:hAnsi="Verdana"/>
                <w:sz w:val="18"/>
                <w:szCs w:val="18"/>
              </w:rPr>
              <w:t>EUR 1 050</w:t>
            </w:r>
          </w:p>
        </w:tc>
        <w:tc>
          <w:tcPr>
            <w:tcW w:w="454" w:type="dxa"/>
          </w:tcPr>
          <w:p w14:paraId="6DC475B2" w14:textId="5B57125C" w:rsidR="00DC7D23" w:rsidDel="00DC7D23" w:rsidRDefault="00DC7D23" w:rsidP="00DC7D23">
            <w:pPr>
              <w:spacing w:line="240" w:lineRule="exact"/>
              <w:rPr>
                <w:rFonts w:ascii="Verdana" w:hAnsi="Verdana"/>
                <w:sz w:val="18"/>
                <w:szCs w:val="18"/>
              </w:rPr>
            </w:pPr>
            <w:r>
              <w:rPr>
                <w:rFonts w:ascii="Verdana" w:hAnsi="Verdana"/>
                <w:sz w:val="18"/>
                <w:szCs w:val="18"/>
              </w:rPr>
              <w:t>X</w:t>
            </w:r>
          </w:p>
        </w:tc>
      </w:tr>
      <w:tr w:rsidR="00DC7D23" w14:paraId="431BB114" w14:textId="77777777" w:rsidTr="006C4BDA">
        <w:tc>
          <w:tcPr>
            <w:tcW w:w="1170" w:type="dxa"/>
          </w:tcPr>
          <w:p w14:paraId="6CF0162A" w14:textId="70834A9F" w:rsidR="00DC7D23" w:rsidRDefault="00DC7D23" w:rsidP="00DC7D23">
            <w:pPr>
              <w:spacing w:line="240" w:lineRule="exact"/>
              <w:rPr>
                <w:rFonts w:ascii="Verdana" w:hAnsi="Verdana"/>
                <w:sz w:val="18"/>
                <w:szCs w:val="18"/>
              </w:rPr>
            </w:pPr>
            <w:r>
              <w:rPr>
                <w:rFonts w:ascii="Verdana" w:hAnsi="Verdana"/>
                <w:sz w:val="18"/>
                <w:szCs w:val="18"/>
              </w:rPr>
              <w:t>C-30.5</w:t>
            </w:r>
          </w:p>
        </w:tc>
        <w:tc>
          <w:tcPr>
            <w:tcW w:w="4585" w:type="dxa"/>
          </w:tcPr>
          <w:p w14:paraId="518F41F7" w14:textId="161CAA92" w:rsidR="00DC7D23" w:rsidRDefault="00DC7D23" w:rsidP="00DC7D23">
            <w:pPr>
              <w:spacing w:line="240" w:lineRule="exact"/>
              <w:rPr>
                <w:rFonts w:ascii="Verdana" w:hAnsi="Verdana"/>
                <w:sz w:val="18"/>
                <w:szCs w:val="18"/>
              </w:rPr>
            </w:pPr>
            <w:r>
              <w:rPr>
                <w:rFonts w:ascii="Verdana" w:hAnsi="Verdana"/>
                <w:sz w:val="18"/>
                <w:szCs w:val="18"/>
              </w:rPr>
              <w:t>Article 2 in conjunction with Article 6(2)</w:t>
            </w:r>
          </w:p>
        </w:tc>
        <w:tc>
          <w:tcPr>
            <w:tcW w:w="936" w:type="dxa"/>
          </w:tcPr>
          <w:p w14:paraId="7FE2928B" w14:textId="123816BF" w:rsidR="00DC7D23" w:rsidRDefault="00DC7D23" w:rsidP="00DC7D23">
            <w:pPr>
              <w:spacing w:line="240" w:lineRule="exact"/>
              <w:rPr>
                <w:rFonts w:ascii="Verdana" w:hAnsi="Verdana"/>
                <w:sz w:val="18"/>
                <w:szCs w:val="18"/>
              </w:rPr>
            </w:pPr>
            <w:r>
              <w:rPr>
                <w:rFonts w:ascii="Verdana" w:hAnsi="Verdana"/>
                <w:sz w:val="18"/>
                <w:szCs w:val="18"/>
              </w:rPr>
              <w:t>EUR 525</w:t>
            </w:r>
          </w:p>
        </w:tc>
        <w:tc>
          <w:tcPr>
            <w:tcW w:w="1116" w:type="dxa"/>
          </w:tcPr>
          <w:p w14:paraId="321CDB54" w14:textId="0CCD647F" w:rsidR="00DC7D23" w:rsidRDefault="00DC7D23" w:rsidP="00DC7D23">
            <w:pPr>
              <w:spacing w:line="240" w:lineRule="exact"/>
              <w:rPr>
                <w:rFonts w:ascii="Verdana" w:hAnsi="Verdana"/>
                <w:sz w:val="18"/>
                <w:szCs w:val="18"/>
              </w:rPr>
            </w:pPr>
            <w:r>
              <w:rPr>
                <w:rFonts w:ascii="Verdana" w:hAnsi="Verdana"/>
                <w:sz w:val="18"/>
                <w:szCs w:val="18"/>
              </w:rPr>
              <w:t>EUR 1 050</w:t>
            </w:r>
          </w:p>
        </w:tc>
        <w:tc>
          <w:tcPr>
            <w:tcW w:w="454" w:type="dxa"/>
          </w:tcPr>
          <w:p w14:paraId="1816F0AC" w14:textId="3E951E13" w:rsidR="00DC7D23" w:rsidRDefault="00DC7D23" w:rsidP="00DC7D23">
            <w:pPr>
              <w:spacing w:line="240" w:lineRule="exact"/>
              <w:rPr>
                <w:rFonts w:ascii="Verdana" w:hAnsi="Verdana"/>
                <w:sz w:val="18"/>
                <w:szCs w:val="18"/>
              </w:rPr>
            </w:pPr>
            <w:r>
              <w:rPr>
                <w:rFonts w:ascii="Verdana" w:hAnsi="Verdana"/>
                <w:sz w:val="18"/>
                <w:szCs w:val="18"/>
              </w:rPr>
              <w:t>X</w:t>
            </w:r>
          </w:p>
        </w:tc>
      </w:tr>
      <w:tr w:rsidR="00DC7D23" w14:paraId="30AD45DE" w14:textId="77777777" w:rsidTr="006C4BDA">
        <w:tc>
          <w:tcPr>
            <w:tcW w:w="1170" w:type="dxa"/>
          </w:tcPr>
          <w:p w14:paraId="027607F9" w14:textId="5E53B43F" w:rsidR="00DC7D23" w:rsidRDefault="00DC7D23" w:rsidP="00DC7D23">
            <w:pPr>
              <w:spacing w:line="240" w:lineRule="exact"/>
              <w:rPr>
                <w:rFonts w:ascii="Verdana" w:hAnsi="Verdana"/>
                <w:sz w:val="18"/>
                <w:szCs w:val="18"/>
              </w:rPr>
            </w:pPr>
            <w:r>
              <w:rPr>
                <w:rFonts w:ascii="Verdana" w:hAnsi="Verdana"/>
                <w:sz w:val="18"/>
                <w:szCs w:val="18"/>
              </w:rPr>
              <w:t>C-30.6</w:t>
            </w:r>
          </w:p>
        </w:tc>
        <w:tc>
          <w:tcPr>
            <w:tcW w:w="4585" w:type="dxa"/>
          </w:tcPr>
          <w:p w14:paraId="051C862C" w14:textId="635C06F7" w:rsidR="00DC7D23" w:rsidRDefault="00DC7D23" w:rsidP="00DC7D23">
            <w:pPr>
              <w:spacing w:line="240" w:lineRule="exact"/>
              <w:rPr>
                <w:rFonts w:ascii="Verdana" w:hAnsi="Verdana"/>
                <w:sz w:val="18"/>
                <w:szCs w:val="18"/>
              </w:rPr>
            </w:pPr>
            <w:r>
              <w:rPr>
                <w:rFonts w:ascii="Verdana" w:hAnsi="Verdana"/>
                <w:sz w:val="18"/>
                <w:szCs w:val="18"/>
              </w:rPr>
              <w:t>Article 2 in conjunction with Article 7</w:t>
            </w:r>
          </w:p>
        </w:tc>
        <w:tc>
          <w:tcPr>
            <w:tcW w:w="936" w:type="dxa"/>
          </w:tcPr>
          <w:p w14:paraId="3253E7A1" w14:textId="77777777" w:rsidR="00DC7D23" w:rsidRDefault="00DC7D23" w:rsidP="00DC7D23">
            <w:pPr>
              <w:spacing w:line="240" w:lineRule="exact"/>
              <w:rPr>
                <w:rFonts w:ascii="Verdana" w:hAnsi="Verdana"/>
                <w:sz w:val="18"/>
                <w:szCs w:val="18"/>
              </w:rPr>
            </w:pPr>
            <w:r>
              <w:rPr>
                <w:rFonts w:ascii="Verdana" w:hAnsi="Verdana"/>
                <w:sz w:val="18"/>
                <w:szCs w:val="18"/>
              </w:rPr>
              <w:t>EUR 525</w:t>
            </w:r>
          </w:p>
        </w:tc>
        <w:tc>
          <w:tcPr>
            <w:tcW w:w="1116" w:type="dxa"/>
          </w:tcPr>
          <w:p w14:paraId="57E9EB50" w14:textId="77777777" w:rsidR="00DC7D23" w:rsidRDefault="00DC7D23" w:rsidP="00DC7D23">
            <w:pPr>
              <w:spacing w:line="240" w:lineRule="exact"/>
              <w:rPr>
                <w:rFonts w:ascii="Verdana" w:hAnsi="Verdana"/>
                <w:sz w:val="18"/>
                <w:szCs w:val="18"/>
              </w:rPr>
            </w:pPr>
            <w:r>
              <w:rPr>
                <w:rFonts w:ascii="Verdana" w:hAnsi="Verdana"/>
                <w:sz w:val="18"/>
                <w:szCs w:val="18"/>
              </w:rPr>
              <w:t>EUR 1 050</w:t>
            </w:r>
          </w:p>
        </w:tc>
        <w:tc>
          <w:tcPr>
            <w:tcW w:w="454" w:type="dxa"/>
          </w:tcPr>
          <w:p w14:paraId="43F532DE" w14:textId="77777777" w:rsidR="00DC7D23" w:rsidRDefault="00DC7D23" w:rsidP="00DC7D23">
            <w:pPr>
              <w:spacing w:line="240" w:lineRule="exact"/>
              <w:rPr>
                <w:rFonts w:ascii="Verdana" w:hAnsi="Verdana"/>
                <w:sz w:val="18"/>
                <w:szCs w:val="18"/>
              </w:rPr>
            </w:pPr>
            <w:r>
              <w:rPr>
                <w:rFonts w:ascii="Verdana" w:hAnsi="Verdana"/>
                <w:sz w:val="18"/>
                <w:szCs w:val="18"/>
              </w:rPr>
              <w:t>X</w:t>
            </w:r>
          </w:p>
        </w:tc>
      </w:tr>
      <w:tr w:rsidR="00DC7D23" w14:paraId="0F3DFAB6" w14:textId="77777777" w:rsidTr="006C4BDA">
        <w:tc>
          <w:tcPr>
            <w:tcW w:w="1170" w:type="dxa"/>
          </w:tcPr>
          <w:p w14:paraId="46653C9A" w14:textId="77777777" w:rsidR="00DC7D23" w:rsidRDefault="00DC7D23" w:rsidP="00DC7D23">
            <w:pPr>
              <w:spacing w:line="240" w:lineRule="exact"/>
              <w:rPr>
                <w:rFonts w:ascii="Verdana" w:hAnsi="Verdana"/>
                <w:sz w:val="18"/>
                <w:szCs w:val="18"/>
              </w:rPr>
            </w:pPr>
            <w:r>
              <w:rPr>
                <w:rFonts w:ascii="Verdana" w:hAnsi="Verdana"/>
                <w:sz w:val="18"/>
                <w:szCs w:val="18"/>
              </w:rPr>
              <w:t>C-30.7</w:t>
            </w:r>
          </w:p>
        </w:tc>
        <w:tc>
          <w:tcPr>
            <w:tcW w:w="4585" w:type="dxa"/>
          </w:tcPr>
          <w:p w14:paraId="34D2AE65" w14:textId="56D915F7" w:rsidR="00DC7D23" w:rsidRDefault="00DC7D23" w:rsidP="00DC7D23">
            <w:pPr>
              <w:spacing w:line="240" w:lineRule="exact"/>
              <w:rPr>
                <w:rFonts w:ascii="Verdana" w:hAnsi="Verdana"/>
                <w:sz w:val="18"/>
                <w:szCs w:val="18"/>
              </w:rPr>
            </w:pPr>
            <w:r>
              <w:rPr>
                <w:rFonts w:ascii="Verdana" w:hAnsi="Verdana"/>
                <w:sz w:val="18"/>
                <w:szCs w:val="18"/>
              </w:rPr>
              <w:t>Article 2 in conjunction with Article 8</w:t>
            </w:r>
          </w:p>
        </w:tc>
        <w:tc>
          <w:tcPr>
            <w:tcW w:w="936" w:type="dxa"/>
          </w:tcPr>
          <w:p w14:paraId="1179395A" w14:textId="77777777" w:rsidR="00DC7D23" w:rsidRDefault="00DC7D23" w:rsidP="00DC7D23">
            <w:pPr>
              <w:spacing w:line="240" w:lineRule="exact"/>
              <w:rPr>
                <w:rFonts w:ascii="Verdana" w:hAnsi="Verdana"/>
                <w:sz w:val="18"/>
                <w:szCs w:val="18"/>
              </w:rPr>
            </w:pPr>
            <w:r>
              <w:rPr>
                <w:rFonts w:ascii="Verdana" w:hAnsi="Verdana"/>
                <w:sz w:val="18"/>
                <w:szCs w:val="18"/>
              </w:rPr>
              <w:t>EUR 525</w:t>
            </w:r>
          </w:p>
        </w:tc>
        <w:tc>
          <w:tcPr>
            <w:tcW w:w="1116" w:type="dxa"/>
          </w:tcPr>
          <w:p w14:paraId="7299F14F" w14:textId="77777777" w:rsidR="00DC7D23" w:rsidRDefault="00DC7D23" w:rsidP="00DC7D23">
            <w:pPr>
              <w:spacing w:line="240" w:lineRule="exact"/>
              <w:rPr>
                <w:rFonts w:ascii="Verdana" w:hAnsi="Verdana"/>
                <w:sz w:val="18"/>
                <w:szCs w:val="18"/>
              </w:rPr>
            </w:pPr>
            <w:r>
              <w:rPr>
                <w:rFonts w:ascii="Verdana" w:hAnsi="Verdana"/>
                <w:sz w:val="18"/>
                <w:szCs w:val="18"/>
              </w:rPr>
              <w:t>EUR 1 050</w:t>
            </w:r>
          </w:p>
        </w:tc>
        <w:tc>
          <w:tcPr>
            <w:tcW w:w="454" w:type="dxa"/>
          </w:tcPr>
          <w:p w14:paraId="16CB45B5" w14:textId="77777777" w:rsidR="00DC7D23" w:rsidRDefault="00DC7D23" w:rsidP="00DC7D23">
            <w:pPr>
              <w:spacing w:line="240" w:lineRule="exact"/>
              <w:rPr>
                <w:rFonts w:ascii="Verdana" w:hAnsi="Verdana"/>
                <w:sz w:val="18"/>
                <w:szCs w:val="18"/>
              </w:rPr>
            </w:pPr>
            <w:r>
              <w:rPr>
                <w:rFonts w:ascii="Verdana" w:hAnsi="Verdana"/>
                <w:sz w:val="18"/>
                <w:szCs w:val="18"/>
              </w:rPr>
              <w:t>X</w:t>
            </w:r>
          </w:p>
        </w:tc>
      </w:tr>
      <w:tr w:rsidR="00DC7D23" w14:paraId="45467058" w14:textId="77777777" w:rsidTr="006C4BDA">
        <w:tc>
          <w:tcPr>
            <w:tcW w:w="1170" w:type="dxa"/>
          </w:tcPr>
          <w:p w14:paraId="57C7D64E" w14:textId="77777777" w:rsidR="00DC7D23" w:rsidRDefault="00DC7D23" w:rsidP="00DC7D23">
            <w:pPr>
              <w:spacing w:line="240" w:lineRule="exact"/>
              <w:rPr>
                <w:rFonts w:ascii="Verdana" w:hAnsi="Verdana"/>
                <w:sz w:val="18"/>
                <w:szCs w:val="18"/>
              </w:rPr>
            </w:pPr>
            <w:r>
              <w:rPr>
                <w:rFonts w:ascii="Verdana" w:hAnsi="Verdana"/>
                <w:sz w:val="18"/>
                <w:szCs w:val="18"/>
              </w:rPr>
              <w:t>C-30.8</w:t>
            </w:r>
          </w:p>
        </w:tc>
        <w:tc>
          <w:tcPr>
            <w:tcW w:w="4585" w:type="dxa"/>
          </w:tcPr>
          <w:p w14:paraId="28756566" w14:textId="0D4490D4" w:rsidR="00DC7D23" w:rsidRDefault="00DC7D23" w:rsidP="00DC7D23">
            <w:pPr>
              <w:spacing w:line="240" w:lineRule="exact"/>
              <w:rPr>
                <w:rFonts w:ascii="Verdana" w:hAnsi="Verdana"/>
                <w:sz w:val="18"/>
                <w:szCs w:val="18"/>
              </w:rPr>
            </w:pPr>
            <w:r>
              <w:rPr>
                <w:rFonts w:ascii="Verdana" w:hAnsi="Verdana"/>
                <w:sz w:val="18"/>
                <w:szCs w:val="18"/>
              </w:rPr>
              <w:t>Article 2 in conjunction with Article 9(1)</w:t>
            </w:r>
          </w:p>
        </w:tc>
        <w:tc>
          <w:tcPr>
            <w:tcW w:w="936" w:type="dxa"/>
          </w:tcPr>
          <w:p w14:paraId="3ABFC595" w14:textId="77777777" w:rsidR="00DC7D23" w:rsidRDefault="00DC7D23" w:rsidP="00DC7D23">
            <w:pPr>
              <w:spacing w:line="240" w:lineRule="exact"/>
              <w:rPr>
                <w:rFonts w:ascii="Verdana" w:hAnsi="Verdana"/>
                <w:sz w:val="18"/>
                <w:szCs w:val="18"/>
              </w:rPr>
            </w:pPr>
            <w:r>
              <w:rPr>
                <w:rFonts w:ascii="Verdana" w:hAnsi="Verdana"/>
                <w:sz w:val="18"/>
                <w:szCs w:val="18"/>
              </w:rPr>
              <w:t>EUR 525</w:t>
            </w:r>
          </w:p>
        </w:tc>
        <w:tc>
          <w:tcPr>
            <w:tcW w:w="1116" w:type="dxa"/>
          </w:tcPr>
          <w:p w14:paraId="6A0BC290" w14:textId="77777777" w:rsidR="00DC7D23" w:rsidRDefault="00DC7D23" w:rsidP="00DC7D23">
            <w:pPr>
              <w:spacing w:line="240" w:lineRule="exact"/>
              <w:rPr>
                <w:rFonts w:ascii="Verdana" w:hAnsi="Verdana"/>
                <w:sz w:val="18"/>
                <w:szCs w:val="18"/>
              </w:rPr>
            </w:pPr>
            <w:r>
              <w:rPr>
                <w:rFonts w:ascii="Verdana" w:hAnsi="Verdana"/>
                <w:sz w:val="18"/>
                <w:szCs w:val="18"/>
              </w:rPr>
              <w:t>EUR 1 050</w:t>
            </w:r>
          </w:p>
        </w:tc>
        <w:tc>
          <w:tcPr>
            <w:tcW w:w="454" w:type="dxa"/>
          </w:tcPr>
          <w:p w14:paraId="6033FB8E" w14:textId="77777777" w:rsidR="00DC7D23" w:rsidRDefault="00DC7D23" w:rsidP="00DC7D23">
            <w:pPr>
              <w:spacing w:line="240" w:lineRule="exact"/>
              <w:rPr>
                <w:rFonts w:ascii="Verdana" w:hAnsi="Verdana"/>
                <w:sz w:val="18"/>
                <w:szCs w:val="18"/>
              </w:rPr>
            </w:pPr>
            <w:r>
              <w:rPr>
                <w:rFonts w:ascii="Verdana" w:hAnsi="Verdana"/>
                <w:sz w:val="18"/>
                <w:szCs w:val="18"/>
              </w:rPr>
              <w:t>X</w:t>
            </w:r>
          </w:p>
        </w:tc>
      </w:tr>
      <w:tr w:rsidR="00DC7D23" w14:paraId="5C78BBCC" w14:textId="77777777" w:rsidTr="00576482">
        <w:tc>
          <w:tcPr>
            <w:tcW w:w="1170" w:type="dxa"/>
          </w:tcPr>
          <w:p w14:paraId="04B9FEBC" w14:textId="01A07084" w:rsidR="00DC7D23" w:rsidRDefault="00DC7D23" w:rsidP="00576482">
            <w:pPr>
              <w:spacing w:line="240" w:lineRule="exact"/>
              <w:rPr>
                <w:rFonts w:ascii="Verdana" w:hAnsi="Verdana"/>
                <w:sz w:val="18"/>
                <w:szCs w:val="18"/>
              </w:rPr>
            </w:pPr>
            <w:r>
              <w:rPr>
                <w:rFonts w:ascii="Verdana" w:hAnsi="Verdana"/>
                <w:sz w:val="18"/>
                <w:szCs w:val="18"/>
              </w:rPr>
              <w:t>C-30.9</w:t>
            </w:r>
          </w:p>
        </w:tc>
        <w:tc>
          <w:tcPr>
            <w:tcW w:w="4585" w:type="dxa"/>
          </w:tcPr>
          <w:p w14:paraId="6E6E319C" w14:textId="4234E061" w:rsidR="00DC7D23" w:rsidRDefault="00DC7D23" w:rsidP="00576482">
            <w:pPr>
              <w:spacing w:line="240" w:lineRule="exact"/>
              <w:rPr>
                <w:rFonts w:ascii="Verdana" w:hAnsi="Verdana"/>
                <w:sz w:val="18"/>
                <w:szCs w:val="18"/>
              </w:rPr>
            </w:pPr>
            <w:r>
              <w:rPr>
                <w:rFonts w:ascii="Verdana" w:hAnsi="Verdana"/>
                <w:sz w:val="18"/>
                <w:szCs w:val="18"/>
              </w:rPr>
              <w:t>Article 2 in conjunction with Article 9(2)</w:t>
            </w:r>
          </w:p>
        </w:tc>
        <w:tc>
          <w:tcPr>
            <w:tcW w:w="936" w:type="dxa"/>
          </w:tcPr>
          <w:p w14:paraId="14721A2C" w14:textId="77777777" w:rsidR="00DC7D23" w:rsidRDefault="00DC7D23" w:rsidP="00576482">
            <w:pPr>
              <w:spacing w:line="240" w:lineRule="exact"/>
              <w:rPr>
                <w:rFonts w:ascii="Verdana" w:hAnsi="Verdana"/>
                <w:sz w:val="18"/>
                <w:szCs w:val="18"/>
              </w:rPr>
            </w:pPr>
            <w:r>
              <w:rPr>
                <w:rFonts w:ascii="Verdana" w:hAnsi="Verdana"/>
                <w:sz w:val="18"/>
                <w:szCs w:val="18"/>
              </w:rPr>
              <w:t>EUR 525</w:t>
            </w:r>
          </w:p>
        </w:tc>
        <w:tc>
          <w:tcPr>
            <w:tcW w:w="1116" w:type="dxa"/>
          </w:tcPr>
          <w:p w14:paraId="7862BE0E" w14:textId="77777777" w:rsidR="00DC7D23" w:rsidRDefault="00DC7D23" w:rsidP="00576482">
            <w:pPr>
              <w:spacing w:line="240" w:lineRule="exact"/>
              <w:rPr>
                <w:rFonts w:ascii="Verdana" w:hAnsi="Verdana"/>
                <w:sz w:val="18"/>
                <w:szCs w:val="18"/>
              </w:rPr>
            </w:pPr>
            <w:r>
              <w:rPr>
                <w:rFonts w:ascii="Verdana" w:hAnsi="Verdana"/>
                <w:sz w:val="18"/>
                <w:szCs w:val="18"/>
              </w:rPr>
              <w:t>EUR 1 050</w:t>
            </w:r>
          </w:p>
        </w:tc>
        <w:tc>
          <w:tcPr>
            <w:tcW w:w="454" w:type="dxa"/>
          </w:tcPr>
          <w:p w14:paraId="7F222880" w14:textId="77777777" w:rsidR="00DC7D23" w:rsidRDefault="00DC7D23" w:rsidP="00576482">
            <w:pPr>
              <w:spacing w:line="240" w:lineRule="exact"/>
              <w:rPr>
                <w:rFonts w:ascii="Verdana" w:hAnsi="Verdana"/>
                <w:sz w:val="18"/>
                <w:szCs w:val="18"/>
              </w:rPr>
            </w:pPr>
            <w:r>
              <w:rPr>
                <w:rFonts w:ascii="Verdana" w:hAnsi="Verdana"/>
                <w:sz w:val="18"/>
                <w:szCs w:val="18"/>
              </w:rPr>
              <w:t>X</w:t>
            </w:r>
          </w:p>
        </w:tc>
      </w:tr>
      <w:tr w:rsidR="00DC7D23" w14:paraId="06324BC5" w14:textId="77777777" w:rsidTr="006C4BDA">
        <w:tc>
          <w:tcPr>
            <w:tcW w:w="1170" w:type="dxa"/>
          </w:tcPr>
          <w:p w14:paraId="3A50C02D" w14:textId="5C842D70" w:rsidR="00DC7D23" w:rsidRDefault="00DC7D23" w:rsidP="00DC7D23">
            <w:pPr>
              <w:spacing w:line="240" w:lineRule="exact"/>
              <w:rPr>
                <w:rFonts w:ascii="Verdana" w:hAnsi="Verdana"/>
                <w:sz w:val="18"/>
                <w:szCs w:val="18"/>
              </w:rPr>
            </w:pPr>
            <w:r>
              <w:rPr>
                <w:rFonts w:ascii="Verdana" w:hAnsi="Verdana"/>
                <w:sz w:val="18"/>
                <w:szCs w:val="18"/>
              </w:rPr>
              <w:t>C-30.10</w:t>
            </w:r>
          </w:p>
        </w:tc>
        <w:tc>
          <w:tcPr>
            <w:tcW w:w="4585" w:type="dxa"/>
          </w:tcPr>
          <w:p w14:paraId="46E960E1" w14:textId="01DF211B" w:rsidR="00DC7D23" w:rsidRDefault="00DC7D23" w:rsidP="00DC7D23">
            <w:pPr>
              <w:spacing w:line="240" w:lineRule="exact"/>
              <w:rPr>
                <w:rFonts w:ascii="Verdana" w:hAnsi="Verdana"/>
                <w:sz w:val="18"/>
                <w:szCs w:val="18"/>
              </w:rPr>
            </w:pPr>
            <w:r>
              <w:rPr>
                <w:rFonts w:ascii="Verdana" w:hAnsi="Verdana"/>
                <w:sz w:val="18"/>
                <w:szCs w:val="18"/>
              </w:rPr>
              <w:t>Article 2 in conjunction with Article 10</w:t>
            </w:r>
          </w:p>
        </w:tc>
        <w:tc>
          <w:tcPr>
            <w:tcW w:w="936" w:type="dxa"/>
          </w:tcPr>
          <w:p w14:paraId="02366C1D" w14:textId="77777777" w:rsidR="00DC7D23" w:rsidRDefault="00DC7D23" w:rsidP="00DC7D23">
            <w:pPr>
              <w:spacing w:line="240" w:lineRule="exact"/>
              <w:rPr>
                <w:rFonts w:ascii="Verdana" w:hAnsi="Verdana"/>
                <w:sz w:val="18"/>
                <w:szCs w:val="18"/>
              </w:rPr>
            </w:pPr>
            <w:r>
              <w:rPr>
                <w:rFonts w:ascii="Verdana" w:hAnsi="Verdana"/>
                <w:sz w:val="18"/>
                <w:szCs w:val="18"/>
              </w:rPr>
              <w:t>EUR 525</w:t>
            </w:r>
          </w:p>
        </w:tc>
        <w:tc>
          <w:tcPr>
            <w:tcW w:w="1116" w:type="dxa"/>
          </w:tcPr>
          <w:p w14:paraId="7CDE35E0" w14:textId="77777777" w:rsidR="00DC7D23" w:rsidRDefault="00DC7D23" w:rsidP="00DC7D23">
            <w:pPr>
              <w:spacing w:line="240" w:lineRule="exact"/>
              <w:rPr>
                <w:rFonts w:ascii="Verdana" w:hAnsi="Verdana"/>
                <w:sz w:val="18"/>
                <w:szCs w:val="18"/>
              </w:rPr>
            </w:pPr>
            <w:r>
              <w:rPr>
                <w:rFonts w:ascii="Verdana" w:hAnsi="Verdana"/>
                <w:sz w:val="18"/>
                <w:szCs w:val="18"/>
              </w:rPr>
              <w:t>EUR 1 050</w:t>
            </w:r>
          </w:p>
        </w:tc>
        <w:tc>
          <w:tcPr>
            <w:tcW w:w="454" w:type="dxa"/>
          </w:tcPr>
          <w:p w14:paraId="73C5CC0F" w14:textId="77777777" w:rsidR="00DC7D23" w:rsidRDefault="00DC7D23" w:rsidP="00DC7D23">
            <w:pPr>
              <w:spacing w:line="240" w:lineRule="exact"/>
              <w:rPr>
                <w:rFonts w:ascii="Verdana" w:hAnsi="Verdana"/>
                <w:sz w:val="18"/>
                <w:szCs w:val="18"/>
              </w:rPr>
            </w:pPr>
            <w:r>
              <w:rPr>
                <w:rFonts w:ascii="Verdana" w:hAnsi="Verdana"/>
                <w:sz w:val="18"/>
                <w:szCs w:val="18"/>
              </w:rPr>
              <w:t>X</w:t>
            </w:r>
          </w:p>
        </w:tc>
      </w:tr>
    </w:tbl>
    <w:p w14:paraId="2997E83F" w14:textId="77777777" w:rsidR="00073874" w:rsidRDefault="00073874" w:rsidP="00073874">
      <w:pPr>
        <w:rPr>
          <w:rFonts w:ascii="Verdana" w:hAnsi="Verdana"/>
          <w:b/>
          <w:kern w:val="2"/>
          <w:sz w:val="18"/>
          <w:szCs w:val="18"/>
        </w:rPr>
      </w:pPr>
    </w:p>
    <w:p w14:paraId="43B57AAD" w14:textId="378B2365" w:rsidR="00073874" w:rsidRDefault="00545ABF" w:rsidP="00037899">
      <w:pPr>
        <w:keepNext/>
        <w:keepLines/>
        <w:rPr>
          <w:rFonts w:ascii="Verdana" w:hAnsi="Verdana"/>
          <w:b/>
          <w:kern w:val="2"/>
          <w:sz w:val="18"/>
          <w:szCs w:val="18"/>
        </w:rPr>
      </w:pPr>
      <w:r>
        <w:rPr>
          <w:rFonts w:ascii="Verdana" w:hAnsi="Verdana"/>
          <w:b/>
          <w:sz w:val="18"/>
          <w:szCs w:val="18"/>
        </w:rPr>
        <w:t>Article 13</w:t>
      </w:r>
    </w:p>
    <w:p w14:paraId="243004C2" w14:textId="18231A16" w:rsidR="00073874" w:rsidRPr="008277F6" w:rsidRDefault="00CD3CED" w:rsidP="00073874">
      <w:pPr>
        <w:rPr>
          <w:rFonts w:ascii="Verdana" w:hAnsi="Verdana"/>
          <w:kern w:val="2"/>
          <w:sz w:val="18"/>
          <w:szCs w:val="18"/>
        </w:rPr>
      </w:pPr>
      <w:r>
        <w:rPr>
          <w:rFonts w:ascii="Verdana" w:hAnsi="Verdana"/>
          <w:sz w:val="18"/>
          <w:szCs w:val="18"/>
        </w:rPr>
        <w:t>Toddler drinks</w:t>
      </w:r>
      <w:r w:rsidR="00073874">
        <w:rPr>
          <w:rFonts w:ascii="Verdana" w:hAnsi="Verdana"/>
          <w:sz w:val="18"/>
          <w:szCs w:val="18"/>
        </w:rPr>
        <w:t xml:space="preserve"> and toddler milk that </w:t>
      </w:r>
      <w:r>
        <w:rPr>
          <w:rFonts w:ascii="Verdana" w:hAnsi="Verdana"/>
          <w:sz w:val="18"/>
          <w:szCs w:val="18"/>
        </w:rPr>
        <w:t xml:space="preserve">are </w:t>
      </w:r>
      <w:r w:rsidR="00073874">
        <w:rPr>
          <w:rFonts w:ascii="Verdana" w:hAnsi="Verdana"/>
          <w:sz w:val="18"/>
          <w:szCs w:val="18"/>
        </w:rPr>
        <w:t xml:space="preserve">placed on the market or labelled before 1 July 2024 may continue to be marketed after that date until stocks have been sold out. </w:t>
      </w:r>
    </w:p>
    <w:p w14:paraId="61334C02" w14:textId="77777777" w:rsidR="00073874" w:rsidRDefault="00073874" w:rsidP="00073874">
      <w:pPr>
        <w:rPr>
          <w:rFonts w:ascii="Verdana" w:hAnsi="Verdana"/>
          <w:b/>
          <w:kern w:val="2"/>
          <w:sz w:val="18"/>
          <w:szCs w:val="18"/>
        </w:rPr>
      </w:pPr>
    </w:p>
    <w:p w14:paraId="07F7D826" w14:textId="13D96285" w:rsidR="00073874" w:rsidRDefault="00545ABF" w:rsidP="00037899">
      <w:pPr>
        <w:keepNext/>
        <w:keepLines/>
        <w:rPr>
          <w:rFonts w:ascii="Verdana" w:hAnsi="Verdana"/>
          <w:b/>
          <w:kern w:val="2"/>
          <w:sz w:val="18"/>
          <w:szCs w:val="18"/>
        </w:rPr>
      </w:pPr>
      <w:r>
        <w:rPr>
          <w:rFonts w:ascii="Verdana" w:hAnsi="Verdana"/>
          <w:b/>
          <w:sz w:val="18"/>
          <w:szCs w:val="18"/>
        </w:rPr>
        <w:t>Article 14</w:t>
      </w:r>
    </w:p>
    <w:p w14:paraId="4A2BE11A" w14:textId="6E189D18" w:rsidR="00073874" w:rsidRDefault="00073874" w:rsidP="00073874">
      <w:pPr>
        <w:rPr>
          <w:rFonts w:ascii="Verdana" w:hAnsi="Verdana"/>
          <w:kern w:val="2"/>
          <w:sz w:val="18"/>
          <w:szCs w:val="18"/>
        </w:rPr>
      </w:pPr>
      <w:r>
        <w:rPr>
          <w:rFonts w:ascii="Verdana" w:hAnsi="Verdana"/>
          <w:sz w:val="18"/>
          <w:szCs w:val="18"/>
        </w:rPr>
        <w:t>This Decree shall enter into force on 1 July 2024.</w:t>
      </w:r>
    </w:p>
    <w:p w14:paraId="10677E3C" w14:textId="77777777" w:rsidR="00073874" w:rsidRDefault="00073874" w:rsidP="00073874">
      <w:pPr>
        <w:rPr>
          <w:rFonts w:ascii="Verdana" w:hAnsi="Verdana"/>
          <w:kern w:val="2"/>
          <w:sz w:val="18"/>
          <w:szCs w:val="18"/>
        </w:rPr>
      </w:pPr>
    </w:p>
    <w:p w14:paraId="6D628AD4" w14:textId="15A54649" w:rsidR="00073874" w:rsidRDefault="00545ABF" w:rsidP="00037899">
      <w:pPr>
        <w:keepNext/>
        <w:keepLines/>
        <w:rPr>
          <w:rFonts w:ascii="Verdana" w:hAnsi="Verdana"/>
          <w:b/>
          <w:kern w:val="2"/>
          <w:sz w:val="18"/>
          <w:szCs w:val="18"/>
        </w:rPr>
      </w:pPr>
      <w:r>
        <w:rPr>
          <w:rFonts w:ascii="Verdana" w:hAnsi="Verdana"/>
          <w:b/>
          <w:sz w:val="18"/>
          <w:szCs w:val="18"/>
        </w:rPr>
        <w:t>Article 15</w:t>
      </w:r>
    </w:p>
    <w:p w14:paraId="7874C858" w14:textId="15AC6E2D" w:rsidR="00073874" w:rsidRDefault="00073874" w:rsidP="00073874">
      <w:pPr>
        <w:rPr>
          <w:rFonts w:ascii="Verdana" w:hAnsi="Verdana"/>
          <w:kern w:val="2"/>
          <w:sz w:val="18"/>
          <w:szCs w:val="18"/>
        </w:rPr>
      </w:pPr>
      <w:r>
        <w:rPr>
          <w:rFonts w:ascii="Verdana" w:hAnsi="Verdana"/>
          <w:sz w:val="18"/>
          <w:szCs w:val="18"/>
        </w:rPr>
        <w:t xml:space="preserve">This Decree shall be cited as: Commodities Act Decree on </w:t>
      </w:r>
      <w:r w:rsidR="00CD3CED">
        <w:rPr>
          <w:rFonts w:ascii="Verdana" w:hAnsi="Verdana"/>
          <w:sz w:val="18"/>
          <w:szCs w:val="18"/>
        </w:rPr>
        <w:t>toddler drinks</w:t>
      </w:r>
      <w:r>
        <w:rPr>
          <w:rFonts w:ascii="Verdana" w:hAnsi="Verdana"/>
          <w:sz w:val="18"/>
          <w:szCs w:val="18"/>
        </w:rPr>
        <w:t xml:space="preserve"> and toddler milk [</w:t>
      </w:r>
      <w:proofErr w:type="spellStart"/>
      <w:r>
        <w:rPr>
          <w:rFonts w:ascii="Verdana" w:hAnsi="Verdana"/>
          <w:sz w:val="18"/>
          <w:szCs w:val="18"/>
        </w:rPr>
        <w:t>Warenwetbesluit</w:t>
      </w:r>
      <w:proofErr w:type="spellEnd"/>
      <w:r>
        <w:rPr>
          <w:rFonts w:ascii="Verdana" w:hAnsi="Verdana"/>
          <w:sz w:val="18"/>
          <w:szCs w:val="18"/>
        </w:rPr>
        <w:t xml:space="preserve"> </w:t>
      </w:r>
      <w:proofErr w:type="spellStart"/>
      <w:r>
        <w:rPr>
          <w:rFonts w:ascii="Verdana" w:hAnsi="Verdana"/>
          <w:sz w:val="18"/>
          <w:szCs w:val="18"/>
        </w:rPr>
        <w:t>peuterdrank</w:t>
      </w:r>
      <w:proofErr w:type="spellEnd"/>
      <w:r>
        <w:rPr>
          <w:rFonts w:ascii="Verdana" w:hAnsi="Verdana"/>
          <w:sz w:val="18"/>
          <w:szCs w:val="18"/>
        </w:rPr>
        <w:t xml:space="preserve"> </w:t>
      </w:r>
      <w:proofErr w:type="spellStart"/>
      <w:r>
        <w:rPr>
          <w:rFonts w:ascii="Verdana" w:hAnsi="Verdana"/>
          <w:sz w:val="18"/>
          <w:szCs w:val="18"/>
        </w:rPr>
        <w:t>en</w:t>
      </w:r>
      <w:proofErr w:type="spellEnd"/>
      <w:r>
        <w:rPr>
          <w:rFonts w:ascii="Verdana" w:hAnsi="Verdana"/>
          <w:sz w:val="18"/>
          <w:szCs w:val="18"/>
        </w:rPr>
        <w:t xml:space="preserve"> </w:t>
      </w:r>
      <w:proofErr w:type="spellStart"/>
      <w:r>
        <w:rPr>
          <w:rFonts w:ascii="Verdana" w:hAnsi="Verdana"/>
          <w:sz w:val="18"/>
          <w:szCs w:val="18"/>
        </w:rPr>
        <w:t>peutermelk</w:t>
      </w:r>
      <w:proofErr w:type="spellEnd"/>
      <w:r>
        <w:rPr>
          <w:rFonts w:ascii="Verdana" w:hAnsi="Verdana"/>
          <w:sz w:val="18"/>
          <w:szCs w:val="18"/>
        </w:rPr>
        <w:t>].</w:t>
      </w:r>
    </w:p>
    <w:p w14:paraId="3336D660" w14:textId="77777777" w:rsidR="00073874" w:rsidRDefault="00073874" w:rsidP="00073874">
      <w:pPr>
        <w:rPr>
          <w:rFonts w:ascii="Verdana" w:hAnsi="Verdana"/>
          <w:kern w:val="2"/>
          <w:sz w:val="18"/>
          <w:szCs w:val="18"/>
        </w:rPr>
      </w:pPr>
    </w:p>
    <w:p w14:paraId="59CAE4D5" w14:textId="77777777" w:rsidR="00073874" w:rsidRDefault="00073874" w:rsidP="00073874">
      <w:pPr>
        <w:rPr>
          <w:rFonts w:ascii="Verdana" w:hAnsi="Verdana"/>
          <w:kern w:val="2"/>
          <w:sz w:val="18"/>
          <w:szCs w:val="18"/>
        </w:rPr>
      </w:pPr>
    </w:p>
    <w:p w14:paraId="57B9B5EA" w14:textId="77777777" w:rsidR="00073874" w:rsidRPr="00CB0DBC" w:rsidRDefault="00073874" w:rsidP="00073874">
      <w:pPr>
        <w:rPr>
          <w:rFonts w:ascii="Verdana" w:hAnsi="Verdana"/>
          <w:snapToGrid w:val="0"/>
          <w:sz w:val="18"/>
          <w:szCs w:val="18"/>
        </w:rPr>
      </w:pPr>
      <w:r>
        <w:rPr>
          <w:rFonts w:ascii="Verdana" w:hAnsi="Verdana"/>
          <w:snapToGrid w:val="0"/>
          <w:sz w:val="18"/>
          <w:szCs w:val="18"/>
        </w:rPr>
        <w:t>We order this Decree to be published in the Government Gazette [</w:t>
      </w:r>
      <w:proofErr w:type="spellStart"/>
      <w:r>
        <w:rPr>
          <w:rFonts w:ascii="Verdana" w:hAnsi="Verdana"/>
          <w:snapToGrid w:val="0"/>
          <w:sz w:val="18"/>
          <w:szCs w:val="18"/>
        </w:rPr>
        <w:t>Staatsblad</w:t>
      </w:r>
      <w:proofErr w:type="spellEnd"/>
      <w:r>
        <w:rPr>
          <w:rFonts w:ascii="Verdana" w:hAnsi="Verdana"/>
          <w:snapToGrid w:val="0"/>
          <w:sz w:val="18"/>
          <w:szCs w:val="18"/>
        </w:rPr>
        <w:t>] together with its associated explanatory memorandum.</w:t>
      </w:r>
    </w:p>
    <w:p w14:paraId="0A84B97D" w14:textId="77777777" w:rsidR="00073874" w:rsidRPr="008E3BDA" w:rsidRDefault="00073874" w:rsidP="00073874">
      <w:pPr>
        <w:rPr>
          <w:rFonts w:ascii="Verdana" w:hAnsi="Verdana"/>
          <w:sz w:val="18"/>
          <w:szCs w:val="18"/>
        </w:rPr>
      </w:pPr>
    </w:p>
    <w:p w14:paraId="20CC9DF8" w14:textId="77777777" w:rsidR="00073874" w:rsidRPr="008E3BDA" w:rsidRDefault="00073874" w:rsidP="00073874">
      <w:pPr>
        <w:rPr>
          <w:rFonts w:ascii="Verdana" w:hAnsi="Verdana"/>
          <w:sz w:val="18"/>
          <w:szCs w:val="18"/>
        </w:rPr>
      </w:pPr>
      <w:r>
        <w:rPr>
          <w:rFonts w:ascii="Verdana" w:hAnsi="Verdana"/>
          <w:sz w:val="18"/>
          <w:szCs w:val="18"/>
        </w:rPr>
        <w:t>The Minister for Medical Care,</w:t>
      </w:r>
    </w:p>
    <w:p w14:paraId="64D4F75A" w14:textId="77777777" w:rsidR="00073874" w:rsidRPr="008E3BDA" w:rsidRDefault="00073874" w:rsidP="00073874">
      <w:pPr>
        <w:rPr>
          <w:rFonts w:ascii="Verdana" w:hAnsi="Verdana"/>
          <w:sz w:val="18"/>
          <w:szCs w:val="18"/>
        </w:rPr>
      </w:pPr>
    </w:p>
    <w:sectPr w:rsidR="00073874" w:rsidRPr="008E3BDA" w:rsidSect="001E6A24">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D829F" w14:textId="77777777" w:rsidR="00956955" w:rsidRDefault="00956955" w:rsidP="00073874">
      <w:pPr>
        <w:spacing w:line="240" w:lineRule="auto"/>
      </w:pPr>
      <w:r>
        <w:separator/>
      </w:r>
    </w:p>
  </w:endnote>
  <w:endnote w:type="continuationSeparator" w:id="0">
    <w:p w14:paraId="0257CE8D" w14:textId="77777777" w:rsidR="00956955" w:rsidRDefault="00956955" w:rsidP="00073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065913"/>
      <w:docPartObj>
        <w:docPartGallery w:val="Page Numbers (Bottom of Page)"/>
        <w:docPartUnique/>
      </w:docPartObj>
    </w:sdtPr>
    <w:sdtEndPr/>
    <w:sdtContent>
      <w:p w14:paraId="37526F64" w14:textId="607172AA" w:rsidR="00257DAB" w:rsidRDefault="00257DAB">
        <w:pPr>
          <w:pStyle w:val="Footer"/>
          <w:jc w:val="right"/>
        </w:pPr>
        <w:r>
          <w:fldChar w:fldCharType="begin"/>
        </w:r>
        <w:r>
          <w:instrText>PAGE   \* MERGEFORMAT</w:instrText>
        </w:r>
        <w:r>
          <w:fldChar w:fldCharType="separate"/>
        </w:r>
        <w:r w:rsidR="0025344E">
          <w:t>1</w:t>
        </w:r>
        <w:r>
          <w:fldChar w:fldCharType="end"/>
        </w:r>
      </w:p>
    </w:sdtContent>
  </w:sdt>
  <w:p w14:paraId="5BBA4C94" w14:textId="77777777" w:rsidR="00257DAB" w:rsidRDefault="0025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9E7E3" w14:textId="77777777" w:rsidR="00956955" w:rsidRDefault="00956955" w:rsidP="00073874">
      <w:pPr>
        <w:spacing w:line="240" w:lineRule="auto"/>
      </w:pPr>
      <w:r>
        <w:separator/>
      </w:r>
    </w:p>
  </w:footnote>
  <w:footnote w:type="continuationSeparator" w:id="0">
    <w:p w14:paraId="046A2BCC" w14:textId="77777777" w:rsidR="00956955" w:rsidRDefault="00956955" w:rsidP="000738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D20CD"/>
    <w:multiLevelType w:val="hybridMultilevel"/>
    <w:tmpl w:val="E81C314C"/>
    <w:lvl w:ilvl="0" w:tplc="7ACA22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604FCF"/>
    <w:multiLevelType w:val="hybridMultilevel"/>
    <w:tmpl w:val="1A069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74"/>
    <w:rsid w:val="00000E03"/>
    <w:rsid w:val="0002112D"/>
    <w:rsid w:val="0003013B"/>
    <w:rsid w:val="00031260"/>
    <w:rsid w:val="000375C7"/>
    <w:rsid w:val="00037899"/>
    <w:rsid w:val="0004633C"/>
    <w:rsid w:val="00047386"/>
    <w:rsid w:val="000546B4"/>
    <w:rsid w:val="0005538C"/>
    <w:rsid w:val="00073874"/>
    <w:rsid w:val="00095032"/>
    <w:rsid w:val="000A0F4A"/>
    <w:rsid w:val="000A198F"/>
    <w:rsid w:val="000A5D03"/>
    <w:rsid w:val="000B0ACB"/>
    <w:rsid w:val="000C009E"/>
    <w:rsid w:val="000D4E45"/>
    <w:rsid w:val="000D62C5"/>
    <w:rsid w:val="000E2585"/>
    <w:rsid w:val="000E2D0F"/>
    <w:rsid w:val="000E4D4F"/>
    <w:rsid w:val="000E4FFD"/>
    <w:rsid w:val="00100BB1"/>
    <w:rsid w:val="001124E1"/>
    <w:rsid w:val="001244A8"/>
    <w:rsid w:val="00154838"/>
    <w:rsid w:val="0016276C"/>
    <w:rsid w:val="00166C03"/>
    <w:rsid w:val="0017049C"/>
    <w:rsid w:val="00191C94"/>
    <w:rsid w:val="001A73D8"/>
    <w:rsid w:val="001B3D5C"/>
    <w:rsid w:val="001D379C"/>
    <w:rsid w:val="001E6A24"/>
    <w:rsid w:val="001E7E1A"/>
    <w:rsid w:val="00211C35"/>
    <w:rsid w:val="002203DD"/>
    <w:rsid w:val="00225C33"/>
    <w:rsid w:val="00234B63"/>
    <w:rsid w:val="00234D7C"/>
    <w:rsid w:val="0023526F"/>
    <w:rsid w:val="00237DA4"/>
    <w:rsid w:val="0024253C"/>
    <w:rsid w:val="002456DA"/>
    <w:rsid w:val="0025344E"/>
    <w:rsid w:val="002579E1"/>
    <w:rsid w:val="00257DAB"/>
    <w:rsid w:val="002621D1"/>
    <w:rsid w:val="00266767"/>
    <w:rsid w:val="0027028F"/>
    <w:rsid w:val="00270B6F"/>
    <w:rsid w:val="0027267D"/>
    <w:rsid w:val="002768BA"/>
    <w:rsid w:val="0028451C"/>
    <w:rsid w:val="00286416"/>
    <w:rsid w:val="00290255"/>
    <w:rsid w:val="002A37C3"/>
    <w:rsid w:val="002A6B53"/>
    <w:rsid w:val="002C5A51"/>
    <w:rsid w:val="002C6EFA"/>
    <w:rsid w:val="002F6BAD"/>
    <w:rsid w:val="003021DC"/>
    <w:rsid w:val="0031402C"/>
    <w:rsid w:val="00325747"/>
    <w:rsid w:val="00334A91"/>
    <w:rsid w:val="00371B72"/>
    <w:rsid w:val="003801DD"/>
    <w:rsid w:val="00380913"/>
    <w:rsid w:val="00392F3B"/>
    <w:rsid w:val="003B61C5"/>
    <w:rsid w:val="003C4B64"/>
    <w:rsid w:val="003E3E7E"/>
    <w:rsid w:val="00400B32"/>
    <w:rsid w:val="00400B7F"/>
    <w:rsid w:val="004141E8"/>
    <w:rsid w:val="00414875"/>
    <w:rsid w:val="00422163"/>
    <w:rsid w:val="004238EE"/>
    <w:rsid w:val="004329C1"/>
    <w:rsid w:val="0043686E"/>
    <w:rsid w:val="00454516"/>
    <w:rsid w:val="00457D0F"/>
    <w:rsid w:val="00462A18"/>
    <w:rsid w:val="00475347"/>
    <w:rsid w:val="004809C5"/>
    <w:rsid w:val="00482383"/>
    <w:rsid w:val="004A18E2"/>
    <w:rsid w:val="004B4EE4"/>
    <w:rsid w:val="004B593D"/>
    <w:rsid w:val="004D0283"/>
    <w:rsid w:val="004D7AA0"/>
    <w:rsid w:val="004F4889"/>
    <w:rsid w:val="004F5B65"/>
    <w:rsid w:val="005027EB"/>
    <w:rsid w:val="00505260"/>
    <w:rsid w:val="005072C3"/>
    <w:rsid w:val="0051441C"/>
    <w:rsid w:val="005151A1"/>
    <w:rsid w:val="00521A04"/>
    <w:rsid w:val="005303EC"/>
    <w:rsid w:val="00532AC5"/>
    <w:rsid w:val="00540C1F"/>
    <w:rsid w:val="00545ABF"/>
    <w:rsid w:val="00565299"/>
    <w:rsid w:val="00577318"/>
    <w:rsid w:val="00581300"/>
    <w:rsid w:val="00584CAA"/>
    <w:rsid w:val="005877D0"/>
    <w:rsid w:val="0059594E"/>
    <w:rsid w:val="0059787D"/>
    <w:rsid w:val="005B0663"/>
    <w:rsid w:val="005B0DC1"/>
    <w:rsid w:val="005C0E3B"/>
    <w:rsid w:val="005D0963"/>
    <w:rsid w:val="006102DF"/>
    <w:rsid w:val="00631ED3"/>
    <w:rsid w:val="006331C0"/>
    <w:rsid w:val="006335F5"/>
    <w:rsid w:val="00660C7E"/>
    <w:rsid w:val="00676B7C"/>
    <w:rsid w:val="006807DD"/>
    <w:rsid w:val="006840FC"/>
    <w:rsid w:val="006B7FCA"/>
    <w:rsid w:val="006C4BDA"/>
    <w:rsid w:val="006D389E"/>
    <w:rsid w:val="006E077E"/>
    <w:rsid w:val="006E48AA"/>
    <w:rsid w:val="006E7F1E"/>
    <w:rsid w:val="0072212E"/>
    <w:rsid w:val="00724F51"/>
    <w:rsid w:val="0073041E"/>
    <w:rsid w:val="00730E63"/>
    <w:rsid w:val="0073634C"/>
    <w:rsid w:val="00737339"/>
    <w:rsid w:val="00746D48"/>
    <w:rsid w:val="00747B9B"/>
    <w:rsid w:val="0075403D"/>
    <w:rsid w:val="007627C8"/>
    <w:rsid w:val="00764204"/>
    <w:rsid w:val="0076701E"/>
    <w:rsid w:val="007A31D3"/>
    <w:rsid w:val="007B00E7"/>
    <w:rsid w:val="007B3D83"/>
    <w:rsid w:val="007B7B80"/>
    <w:rsid w:val="007C3FD0"/>
    <w:rsid w:val="007E5A21"/>
    <w:rsid w:val="007E5BD3"/>
    <w:rsid w:val="007E7386"/>
    <w:rsid w:val="007E7C74"/>
    <w:rsid w:val="007F7F81"/>
    <w:rsid w:val="00834842"/>
    <w:rsid w:val="00841B95"/>
    <w:rsid w:val="00854ACF"/>
    <w:rsid w:val="00870DEE"/>
    <w:rsid w:val="00876EE8"/>
    <w:rsid w:val="008819DA"/>
    <w:rsid w:val="00883613"/>
    <w:rsid w:val="00896EB5"/>
    <w:rsid w:val="00897739"/>
    <w:rsid w:val="008D7371"/>
    <w:rsid w:val="008E0733"/>
    <w:rsid w:val="008F2647"/>
    <w:rsid w:val="009070C5"/>
    <w:rsid w:val="009150ED"/>
    <w:rsid w:val="009156A4"/>
    <w:rsid w:val="0092246A"/>
    <w:rsid w:val="0092347D"/>
    <w:rsid w:val="00944236"/>
    <w:rsid w:val="00956955"/>
    <w:rsid w:val="00957AB1"/>
    <w:rsid w:val="00964D0F"/>
    <w:rsid w:val="00965F6C"/>
    <w:rsid w:val="009713F8"/>
    <w:rsid w:val="00971F3D"/>
    <w:rsid w:val="009730E5"/>
    <w:rsid w:val="00975300"/>
    <w:rsid w:val="0098580F"/>
    <w:rsid w:val="009866E2"/>
    <w:rsid w:val="009C4F74"/>
    <w:rsid w:val="009D3657"/>
    <w:rsid w:val="009F334D"/>
    <w:rsid w:val="00A00174"/>
    <w:rsid w:val="00A008A6"/>
    <w:rsid w:val="00A14688"/>
    <w:rsid w:val="00A563C1"/>
    <w:rsid w:val="00A73D5F"/>
    <w:rsid w:val="00A83879"/>
    <w:rsid w:val="00A85E04"/>
    <w:rsid w:val="00AA6A46"/>
    <w:rsid w:val="00AC2E65"/>
    <w:rsid w:val="00AF401F"/>
    <w:rsid w:val="00AF4BA3"/>
    <w:rsid w:val="00B04265"/>
    <w:rsid w:val="00B06701"/>
    <w:rsid w:val="00B164DB"/>
    <w:rsid w:val="00B24196"/>
    <w:rsid w:val="00B322D3"/>
    <w:rsid w:val="00B34DD2"/>
    <w:rsid w:val="00B35C84"/>
    <w:rsid w:val="00B36EFB"/>
    <w:rsid w:val="00B41848"/>
    <w:rsid w:val="00B41F02"/>
    <w:rsid w:val="00B44F89"/>
    <w:rsid w:val="00B52804"/>
    <w:rsid w:val="00B55A8F"/>
    <w:rsid w:val="00B5685B"/>
    <w:rsid w:val="00B60796"/>
    <w:rsid w:val="00B64DAB"/>
    <w:rsid w:val="00B7435C"/>
    <w:rsid w:val="00B8309A"/>
    <w:rsid w:val="00B933E5"/>
    <w:rsid w:val="00B93A20"/>
    <w:rsid w:val="00B95EBE"/>
    <w:rsid w:val="00BA4FA0"/>
    <w:rsid w:val="00BB4633"/>
    <w:rsid w:val="00BB5EAC"/>
    <w:rsid w:val="00BB705A"/>
    <w:rsid w:val="00BC2B82"/>
    <w:rsid w:val="00BC5175"/>
    <w:rsid w:val="00BE3067"/>
    <w:rsid w:val="00BE3126"/>
    <w:rsid w:val="00BF20C8"/>
    <w:rsid w:val="00BF2F00"/>
    <w:rsid w:val="00C06C6D"/>
    <w:rsid w:val="00C12CF7"/>
    <w:rsid w:val="00C44179"/>
    <w:rsid w:val="00C515D0"/>
    <w:rsid w:val="00C52319"/>
    <w:rsid w:val="00C535E4"/>
    <w:rsid w:val="00C66D63"/>
    <w:rsid w:val="00C66F73"/>
    <w:rsid w:val="00C74AF5"/>
    <w:rsid w:val="00C822BC"/>
    <w:rsid w:val="00C900A8"/>
    <w:rsid w:val="00CA426F"/>
    <w:rsid w:val="00CA5F2B"/>
    <w:rsid w:val="00CB26A0"/>
    <w:rsid w:val="00CB2CC1"/>
    <w:rsid w:val="00CB36D9"/>
    <w:rsid w:val="00CD036B"/>
    <w:rsid w:val="00CD3CED"/>
    <w:rsid w:val="00CE5201"/>
    <w:rsid w:val="00D06C41"/>
    <w:rsid w:val="00D22269"/>
    <w:rsid w:val="00D25FDC"/>
    <w:rsid w:val="00D34187"/>
    <w:rsid w:val="00D347C8"/>
    <w:rsid w:val="00D42469"/>
    <w:rsid w:val="00D44514"/>
    <w:rsid w:val="00D51B0B"/>
    <w:rsid w:val="00D51EA2"/>
    <w:rsid w:val="00D51F71"/>
    <w:rsid w:val="00D66CE4"/>
    <w:rsid w:val="00D80BBA"/>
    <w:rsid w:val="00D9307A"/>
    <w:rsid w:val="00D94A3C"/>
    <w:rsid w:val="00D97071"/>
    <w:rsid w:val="00DA004C"/>
    <w:rsid w:val="00DA6796"/>
    <w:rsid w:val="00DC2C76"/>
    <w:rsid w:val="00DC407B"/>
    <w:rsid w:val="00DC7D23"/>
    <w:rsid w:val="00DD1F68"/>
    <w:rsid w:val="00DD2B92"/>
    <w:rsid w:val="00DE1209"/>
    <w:rsid w:val="00DE18C7"/>
    <w:rsid w:val="00DE5592"/>
    <w:rsid w:val="00DE779A"/>
    <w:rsid w:val="00E04C7B"/>
    <w:rsid w:val="00E05592"/>
    <w:rsid w:val="00E14DFC"/>
    <w:rsid w:val="00E1525F"/>
    <w:rsid w:val="00E36E79"/>
    <w:rsid w:val="00E378D0"/>
    <w:rsid w:val="00E54640"/>
    <w:rsid w:val="00E576A4"/>
    <w:rsid w:val="00E70C0C"/>
    <w:rsid w:val="00E71653"/>
    <w:rsid w:val="00E80149"/>
    <w:rsid w:val="00E80720"/>
    <w:rsid w:val="00E836B5"/>
    <w:rsid w:val="00E85F3B"/>
    <w:rsid w:val="00E93B99"/>
    <w:rsid w:val="00EA37B3"/>
    <w:rsid w:val="00EA4831"/>
    <w:rsid w:val="00ED52D0"/>
    <w:rsid w:val="00EE1775"/>
    <w:rsid w:val="00F02BEB"/>
    <w:rsid w:val="00F05EA7"/>
    <w:rsid w:val="00F14888"/>
    <w:rsid w:val="00F170DF"/>
    <w:rsid w:val="00F62098"/>
    <w:rsid w:val="00F7506D"/>
    <w:rsid w:val="00F7612A"/>
    <w:rsid w:val="00F84BCA"/>
    <w:rsid w:val="00F85F83"/>
    <w:rsid w:val="00FB1C65"/>
    <w:rsid w:val="00FD5826"/>
    <w:rsid w:val="00FD59CB"/>
    <w:rsid w:val="00FD5CF9"/>
    <w:rsid w:val="00FE7010"/>
    <w:rsid w:val="00FF2584"/>
    <w:rsid w:val="00FF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A27F"/>
  <w15:chartTrackingRefBased/>
  <w15:docId w15:val="{E4A0EE8F-BA77-4E07-93FC-232D284D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874"/>
    <w:pPr>
      <w:spacing w:after="0" w:line="260" w:lineRule="exact"/>
    </w:pPr>
    <w:rPr>
      <w:rFonts w:ascii="Univers" w:eastAsia="Times New Roman" w:hAnsi="Univers"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73874"/>
    <w:pPr>
      <w:spacing w:line="240" w:lineRule="auto"/>
    </w:pPr>
  </w:style>
  <w:style w:type="character" w:customStyle="1" w:styleId="CommentTextChar">
    <w:name w:val="Comment Text Char"/>
    <w:basedOn w:val="DefaultParagraphFont"/>
    <w:link w:val="CommentText"/>
    <w:uiPriority w:val="99"/>
    <w:semiHidden/>
    <w:rsid w:val="00073874"/>
    <w:rPr>
      <w:rFonts w:ascii="Univers" w:eastAsia="Times New Roman" w:hAnsi="Univers" w:cs="Times New Roman"/>
      <w:sz w:val="20"/>
      <w:szCs w:val="20"/>
      <w:lang w:val="en-GB" w:eastAsia="nl-NL"/>
    </w:rPr>
  </w:style>
  <w:style w:type="paragraph" w:styleId="FootnoteText">
    <w:name w:val="footnote text"/>
    <w:basedOn w:val="Normal"/>
    <w:link w:val="FootnoteTextChar"/>
    <w:semiHidden/>
    <w:rsid w:val="00073874"/>
    <w:pPr>
      <w:spacing w:line="240" w:lineRule="auto"/>
    </w:pPr>
  </w:style>
  <w:style w:type="character" w:customStyle="1" w:styleId="FootnoteTextChar">
    <w:name w:val="Footnote Text Char"/>
    <w:basedOn w:val="DefaultParagraphFont"/>
    <w:link w:val="FootnoteText"/>
    <w:semiHidden/>
    <w:rsid w:val="00073874"/>
    <w:rPr>
      <w:rFonts w:ascii="Univers" w:eastAsia="Times New Roman" w:hAnsi="Univers" w:cs="Times New Roman"/>
      <w:sz w:val="20"/>
      <w:szCs w:val="20"/>
      <w:lang w:val="en-GB" w:eastAsia="nl-NL"/>
    </w:rPr>
  </w:style>
  <w:style w:type="character" w:styleId="FootnoteReference">
    <w:name w:val="footnote reference"/>
    <w:basedOn w:val="DefaultParagraphFont"/>
    <w:uiPriority w:val="99"/>
    <w:semiHidden/>
    <w:rsid w:val="00073874"/>
    <w:rPr>
      <w:vertAlign w:val="superscript"/>
    </w:rPr>
  </w:style>
  <w:style w:type="paragraph" w:styleId="ListParagraph">
    <w:name w:val="List Paragraph"/>
    <w:basedOn w:val="Normal"/>
    <w:uiPriority w:val="34"/>
    <w:qFormat/>
    <w:rsid w:val="00073874"/>
    <w:pPr>
      <w:ind w:left="720"/>
      <w:contextualSpacing/>
    </w:pPr>
  </w:style>
  <w:style w:type="character" w:styleId="CommentReference">
    <w:name w:val="annotation reference"/>
    <w:basedOn w:val="DefaultParagraphFont"/>
    <w:uiPriority w:val="99"/>
    <w:rsid w:val="00073874"/>
    <w:rPr>
      <w:sz w:val="16"/>
      <w:szCs w:val="16"/>
    </w:rPr>
  </w:style>
  <w:style w:type="table" w:styleId="TableGrid">
    <w:name w:val="Table Grid"/>
    <w:basedOn w:val="TableNormal"/>
    <w:uiPriority w:val="59"/>
    <w:rsid w:val="0007387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73874"/>
    <w:rPr>
      <w:b w:val="0"/>
      <w:bCs w:val="0"/>
      <w:i/>
      <w:iCs/>
    </w:rPr>
  </w:style>
  <w:style w:type="paragraph" w:styleId="BalloonText">
    <w:name w:val="Balloon Text"/>
    <w:basedOn w:val="Normal"/>
    <w:link w:val="BalloonTextChar"/>
    <w:uiPriority w:val="99"/>
    <w:semiHidden/>
    <w:unhideWhenUsed/>
    <w:rsid w:val="000738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874"/>
    <w:rPr>
      <w:rFonts w:ascii="Segoe UI" w:eastAsia="Times New Roman" w:hAnsi="Segoe UI" w:cs="Segoe UI"/>
      <w:szCs w:val="18"/>
      <w:lang w:val="en-GB" w:eastAsia="nl-NL"/>
    </w:rPr>
  </w:style>
  <w:style w:type="paragraph" w:styleId="CommentSubject">
    <w:name w:val="annotation subject"/>
    <w:basedOn w:val="CommentText"/>
    <w:next w:val="CommentText"/>
    <w:link w:val="CommentSubjectChar"/>
    <w:uiPriority w:val="99"/>
    <w:semiHidden/>
    <w:unhideWhenUsed/>
    <w:rsid w:val="00073874"/>
    <w:rPr>
      <w:b/>
      <w:bCs/>
    </w:rPr>
  </w:style>
  <w:style w:type="character" w:customStyle="1" w:styleId="CommentSubjectChar">
    <w:name w:val="Comment Subject Char"/>
    <w:basedOn w:val="CommentTextChar"/>
    <w:link w:val="CommentSubject"/>
    <w:uiPriority w:val="99"/>
    <w:semiHidden/>
    <w:rsid w:val="00073874"/>
    <w:rPr>
      <w:rFonts w:ascii="Univers" w:eastAsia="Times New Roman" w:hAnsi="Univers" w:cs="Times New Roman"/>
      <w:b/>
      <w:bCs/>
      <w:sz w:val="20"/>
      <w:szCs w:val="20"/>
      <w:lang w:val="en-GB" w:eastAsia="nl-NL"/>
    </w:rPr>
  </w:style>
  <w:style w:type="character" w:styleId="Hyperlink">
    <w:name w:val="Hyperlink"/>
    <w:basedOn w:val="DefaultParagraphFont"/>
    <w:uiPriority w:val="99"/>
    <w:semiHidden/>
    <w:unhideWhenUsed/>
    <w:rsid w:val="006E48AA"/>
    <w:rPr>
      <w:strike w:val="0"/>
      <w:dstrike w:val="0"/>
      <w:color w:val="0065A2"/>
      <w:u w:val="none"/>
      <w:effect w:val="none"/>
      <w:shd w:val="clear" w:color="auto" w:fill="auto"/>
    </w:rPr>
  </w:style>
  <w:style w:type="character" w:styleId="Strong">
    <w:name w:val="Strong"/>
    <w:basedOn w:val="DefaultParagraphFont"/>
    <w:uiPriority w:val="22"/>
    <w:qFormat/>
    <w:rsid w:val="006E48AA"/>
    <w:rPr>
      <w:b/>
      <w:bCs/>
    </w:rPr>
  </w:style>
  <w:style w:type="paragraph" w:styleId="Header">
    <w:name w:val="header"/>
    <w:basedOn w:val="Normal"/>
    <w:link w:val="HeaderChar"/>
    <w:uiPriority w:val="99"/>
    <w:unhideWhenUsed/>
    <w:rsid w:val="00257DAB"/>
    <w:pPr>
      <w:tabs>
        <w:tab w:val="center" w:pos="4536"/>
        <w:tab w:val="right" w:pos="9072"/>
      </w:tabs>
      <w:spacing w:line="240" w:lineRule="auto"/>
    </w:pPr>
  </w:style>
  <w:style w:type="character" w:customStyle="1" w:styleId="HeaderChar">
    <w:name w:val="Header Char"/>
    <w:basedOn w:val="DefaultParagraphFont"/>
    <w:link w:val="Header"/>
    <w:uiPriority w:val="99"/>
    <w:rsid w:val="00257DAB"/>
    <w:rPr>
      <w:rFonts w:ascii="Univers" w:eastAsia="Times New Roman" w:hAnsi="Univers" w:cs="Times New Roman"/>
      <w:sz w:val="20"/>
      <w:szCs w:val="20"/>
      <w:lang w:val="en-GB" w:eastAsia="nl-NL"/>
    </w:rPr>
  </w:style>
  <w:style w:type="paragraph" w:styleId="Footer">
    <w:name w:val="footer"/>
    <w:basedOn w:val="Normal"/>
    <w:link w:val="FooterChar"/>
    <w:uiPriority w:val="99"/>
    <w:unhideWhenUsed/>
    <w:rsid w:val="00257DAB"/>
    <w:pPr>
      <w:tabs>
        <w:tab w:val="center" w:pos="4536"/>
        <w:tab w:val="right" w:pos="9072"/>
      </w:tabs>
      <w:spacing w:line="240" w:lineRule="auto"/>
    </w:pPr>
  </w:style>
  <w:style w:type="character" w:customStyle="1" w:styleId="FooterChar">
    <w:name w:val="Footer Char"/>
    <w:basedOn w:val="DefaultParagraphFont"/>
    <w:link w:val="Footer"/>
    <w:uiPriority w:val="99"/>
    <w:rsid w:val="00257DAB"/>
    <w:rPr>
      <w:rFonts w:ascii="Univers" w:eastAsia="Times New Roman" w:hAnsi="Univers" w:cs="Times New Roman"/>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8285">
      <w:bodyDiv w:val="1"/>
      <w:marLeft w:val="0"/>
      <w:marRight w:val="0"/>
      <w:marTop w:val="0"/>
      <w:marBottom w:val="0"/>
      <w:divBdr>
        <w:top w:val="none" w:sz="0" w:space="0" w:color="auto"/>
        <w:left w:val="none" w:sz="0" w:space="0" w:color="auto"/>
        <w:bottom w:val="none" w:sz="0" w:space="0" w:color="auto"/>
        <w:right w:val="none" w:sz="0" w:space="0" w:color="auto"/>
      </w:divBdr>
    </w:div>
    <w:div w:id="496271005">
      <w:bodyDiv w:val="1"/>
      <w:marLeft w:val="0"/>
      <w:marRight w:val="0"/>
      <w:marTop w:val="0"/>
      <w:marBottom w:val="0"/>
      <w:divBdr>
        <w:top w:val="none" w:sz="0" w:space="0" w:color="auto"/>
        <w:left w:val="none" w:sz="0" w:space="0" w:color="auto"/>
        <w:bottom w:val="none" w:sz="0" w:space="0" w:color="auto"/>
        <w:right w:val="none" w:sz="0" w:space="0" w:color="auto"/>
      </w:divBdr>
    </w:div>
    <w:div w:id="981958580">
      <w:bodyDiv w:val="1"/>
      <w:marLeft w:val="0"/>
      <w:marRight w:val="0"/>
      <w:marTop w:val="0"/>
      <w:marBottom w:val="0"/>
      <w:divBdr>
        <w:top w:val="none" w:sz="0" w:space="0" w:color="auto"/>
        <w:left w:val="none" w:sz="0" w:space="0" w:color="auto"/>
        <w:bottom w:val="none" w:sz="0" w:space="0" w:color="auto"/>
        <w:right w:val="none" w:sz="0" w:space="0" w:color="auto"/>
      </w:divBdr>
    </w:div>
    <w:div w:id="21246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D06A4-E933-4CEB-8C65-36D8CCBE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7780</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Kortstam, E.A.G. (Elouise)</dc:creator>
  <cp:keywords/>
  <dc:description/>
  <cp:lastModifiedBy>PRATAS, Soraia</cp:lastModifiedBy>
  <cp:revision>2</cp:revision>
  <dcterms:created xsi:type="dcterms:W3CDTF">2020-10-22T13:47:00Z</dcterms:created>
  <dcterms:modified xsi:type="dcterms:W3CDTF">2020-10-22T13:47:00Z</dcterms:modified>
</cp:coreProperties>
</file>