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801B" w14:textId="3D807DDF" w:rsidR="009F6A32" w:rsidRPr="00C65888" w:rsidRDefault="009F6A32" w:rsidP="009F6A32">
      <w:pPr>
        <w:rPr>
          <w:rFonts w:ascii="Courier New" w:hAnsi="Courier New"/>
          <w:sz w:val="20"/>
        </w:rPr>
      </w:pPr>
      <w:r>
        <w:rPr>
          <w:rFonts w:ascii="Courier New" w:hAnsi="Courier New"/>
          <w:sz w:val="20"/>
        </w:rPr>
        <w:t>1. ------IND- 2020 0711 D-- EL- ------ 20201130 --- --- PROJET</w:t>
      </w:r>
    </w:p>
    <w:p w14:paraId="18B5F7E7" w14:textId="77777777" w:rsidR="004B1EC2" w:rsidRPr="004B1EC2" w:rsidRDefault="004B1EC2" w:rsidP="009F6A32">
      <w:pPr>
        <w:pStyle w:val="Dokumentstatus"/>
        <w:rPr>
          <w:color w:val="000000" w:themeColor="text1"/>
        </w:rPr>
      </w:pPr>
      <w:r>
        <w:rPr>
          <w:color w:val="000000" w:themeColor="text1"/>
        </w:rPr>
        <w:t>Σχέδιο του Ομοσπονδιακού Υπουργείου Τροφίμων και Γεωργίας</w:t>
      </w:r>
    </w:p>
    <w:p w14:paraId="17F423A0" w14:textId="39C9AE64" w:rsidR="004B1EC2" w:rsidRPr="004B1EC2" w:rsidRDefault="004B1EC2" w:rsidP="009F6A32">
      <w:pPr>
        <w:pStyle w:val="Bezeichnungnderungsdokument"/>
        <w:spacing w:before="360"/>
        <w:rPr>
          <w:color w:val="000000" w:themeColor="text1"/>
        </w:rPr>
      </w:pPr>
      <w:r>
        <w:rPr>
          <w:color w:val="000000" w:themeColor="text1"/>
        </w:rPr>
        <w:t>Διάταγμα για την αναδιοργάνωση των κανονισμών περί τροφίμων σχετικά με τα πρόσθετα τροφίμων</w:t>
      </w:r>
      <w:r w:rsidRPr="004B1EC2">
        <w:rPr>
          <w:rStyle w:val="FootnoteReference"/>
          <w:color w:val="000000" w:themeColor="text1"/>
        </w:rPr>
        <w:footnoteReference w:id="1"/>
      </w:r>
      <w:r w:rsidRPr="004B1EC2">
        <w:rPr>
          <w:rStyle w:val="FootnoteReference"/>
          <w:color w:val="000000" w:themeColor="text1"/>
        </w:rPr>
        <w:t>)</w:t>
      </w:r>
    </w:p>
    <w:p w14:paraId="0C076847" w14:textId="77777777" w:rsidR="004B1EC2" w:rsidRPr="004B1EC2" w:rsidRDefault="004B1EC2" w:rsidP="009F6A32">
      <w:pPr>
        <w:pStyle w:val="Ausfertigungsdatumnderungsdokument"/>
        <w:rPr>
          <w:color w:val="000000" w:themeColor="text1"/>
        </w:rPr>
      </w:pPr>
      <w:r>
        <w:rPr>
          <w:color w:val="000000" w:themeColor="text1"/>
        </w:rPr>
        <w:t>της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Το ομοσπονδιακό Υπουργείο Τροφίμων και Γεωργίας ορίζει δυνάμει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w:t>
      </w:r>
      <w:r>
        <w:rPr>
          <w:rStyle w:val="Marker"/>
          <w:color w:val="000000" w:themeColor="text1"/>
        </w:rPr>
        <w:tab/>
        <w:t xml:space="preserve">του άρθρου 4 παράγραφος 2 σημείο 2 και παράγραφος 3 σημείο 2, του άρθρου 7 παράγραφος 1 σημείο 1 και παράγραφος 2 σημείο 1, του άρθρου 13 παράγραφος 1 σημείο 2, 5 και 6, παράγραφος 3 εδάφιο 1 σημείο 1 και παράγραφος 4 σημείο 1 στοιχείο α, του άρθρου 34 εδάφιο 1 σημείο 3 και 5 και του άρθρου 35 σημείο 1 στοιχείο β υπό αα του κώδικα τροφίμων και ζωοτροφών όπως κοινοποιήθηκε την 3η Ιουνίου 2013 (BGBl. I σ. 1426), εκ των οποίων το άρθρο 4 παράγραφος 3, το άρθρο 7 παράγραφος 1 και 2, το άρθρο 13 παράγραφος 1 και 4, το άρθρο 34 εδάφιο 1 και το άρθρο 35 τροποποιήθηκαν με το άρθρο 67 του κανονισμού της 31ης Αυγούστου 2015 (BGBl. I σ. 1474), σε συμφωνία με το Ομοσπονδιακό Υπουργείο Οικονομίας και Ενέργειας,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του § 62, παράγραφος 1 σημεία 1 και 2 του κώδικα τροφίμων και ζωοτροφών όπως κοινοποιήθηκε στις 3 Ιουνίου 2013 (BGBl. I σ. 1426), που τροποποιήθηκε τελευταία με το άρθρο 97 του νόμου της 19ης Ιουνίου 2020 (BGBl. I σ. 1328) ή</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w:t>
      </w:r>
      <w:r>
        <w:rPr>
          <w:rStyle w:val="Marker"/>
          <w:color w:val="000000" w:themeColor="text1"/>
        </w:rPr>
        <w:tab/>
        <w:t>του άρθρου 3 παράγραφος 1 εδάφιο 1 του νόμου για το γάλα και τη μαργαρίνη της 25ης Ιουλίου 1990 (BGBl. I σ. 1471), όπως τροποποιήθηκε τελευταία μέσω του άρθρου 2 σημείο 2 του νόμου της 18ης Ιανουαρίου 2019 (BGBl. I σ. 33), σε συμφωνία με το Ομοσπονδιακό Υπουργείο Οικονομίας και Ενέργειας:</w:t>
      </w:r>
    </w:p>
    <w:p w14:paraId="742479B8" w14:textId="62F2E8FE" w:rsidR="009F6A32" w:rsidRPr="009F6A32" w:rsidRDefault="009F6A32" w:rsidP="009F6A32">
      <w:pPr>
        <w:pStyle w:val="ArtikelBezeichner"/>
        <w:keepLines/>
        <w:numPr>
          <w:ilvl w:val="0"/>
          <w:numId w:val="0"/>
        </w:numPr>
        <w:rPr>
          <w:color w:val="000000" w:themeColor="text1"/>
        </w:rPr>
      </w:pPr>
      <w:r>
        <w:t>Άρθρο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Διάταγμα για την εφαρμογή των διατάξεων του δικαίου της ΕΕ σχετικά με τα πρόσθετα τροφίμων</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(Εκτελεστικός κανονισμός περί προσθέτων τροφίμων – LMZDV)</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Πεδίο εφαρμογής</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1) Ο παρών κανονισμός εφαρμόζεται συμπληρωματικά</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με τις διατάξεις του κανονισμού (ΕΚ) αριθ. 1333/2008 του Ευρωπαϊκού Κοινοβουλίου και του Συμβουλίου της 16ης Δεκεμβρίου 2008 που αφορά τα πρόσθετα τροφίμων (ΕΕ L 354 της 31.12.2008, σ. 16, L 105 της 27.4.2010, σ. 114, L 322 της 21.11.2012, σ. 8, L 123 της 19.5.2015, σ. 122), που τροποποιήθηκε τελευταία φορά με τον κανονισμό (ΕΕ) 2020/771 (ΕΕ L 184 της 12.6.2020, σ. 25), καθώς και με τις νομοθετικές πράξεις της ΕΕ που βασίζονται σε αυτόν αναφορικά με</w:t>
      </w:r>
    </w:p>
    <w:p w14:paraId="68DEA172" w14:textId="77777777" w:rsidR="004B1EC2" w:rsidRPr="004B1EC2" w:rsidRDefault="004B1EC2" w:rsidP="0095346F">
      <w:pPr>
        <w:pStyle w:val="NummerierungStufe2"/>
      </w:pPr>
      <w:r>
        <w:lastRenderedPageBreak/>
        <w:t>τη χρήση προσθέτων τροφίμων κατά την έννοια του άρθρου 3 παράγραφος 2 στοιχείο α σε συνδυασμό με το άρθρο 2 παράγραφος 2 του κανονισμού (ΕΚ) αριθ. 1333/2008 στην τρέχουσα ισχύουσα έκδοση και</w:t>
      </w:r>
    </w:p>
    <w:p w14:paraId="3FE48C79" w14:textId="77777777" w:rsidR="004B1EC2" w:rsidRPr="004B1EC2" w:rsidRDefault="004B1EC2" w:rsidP="009F6A32">
      <w:pPr>
        <w:pStyle w:val="NummerierungStufe2"/>
        <w:tabs>
          <w:tab w:val="clear" w:pos="1135"/>
          <w:tab w:val="num" w:pos="850"/>
        </w:tabs>
        <w:ind w:left="850"/>
        <w:rPr>
          <w:color w:val="000000" w:themeColor="text1"/>
        </w:rPr>
      </w:pPr>
      <w:r>
        <w:rPr>
          <w:color w:val="000000" w:themeColor="text1"/>
        </w:rPr>
        <w:t>τη διάθεση στην αγορά και επισήμανση προσθέτων τροφίμων και τροφίμων που περιέχουν πρόσθετα τροφίμων, καθώς και</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με τις διατάξεις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της 22.11.2011, σ. 18, L 331 της 18.11.2014, σ. 41, L 50 της 21.2.2015, σ. 48, L 266 της 30.9.2016, σ. 7), όπως τροποποιήθηκε τελευταία από τον κανονισμό (ΕΕ) 2015/2283 (ΕΕ L 327 της 11.12.2015, σ. 1), σχετικά με τη σήμανση προσυσκευασμένων τροφίμων, κατά την έννοια του άρθρου 2 παράγραφος 2 στοιχείο ε του κανονισμού (ΕΕ) αριθ. 1169/2011 στην εκάστοτε ισχύουσα έκδοση, και των μη προσυσκευασμένων τροφίμων, που προορίζονται για παράδοση σε</w:t>
      </w:r>
    </w:p>
    <w:p w14:paraId="67DE65E4" w14:textId="77777777" w:rsidR="004B1EC2" w:rsidRPr="004B1EC2" w:rsidRDefault="004B1EC2" w:rsidP="0095346F">
      <w:pPr>
        <w:pStyle w:val="NummerierungStufe2"/>
      </w:pPr>
      <w:r>
        <w:t xml:space="preserve">τελικό χρήστη κατά την έννοια του άρθρου 3 σημείο 18 του κανονισμού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(ΕΕ L 31 της 1.2.2002, σ. 1), όπως τροποποιήθηκε τελευταία από τον κανονισμό (ΕΕ) 2019/1381 (ΕΕ. L 231 της 6.9.2019, σ. 1), στην εκάστοτε ισχύουσα έκδοση, ή σε </w:t>
      </w:r>
    </w:p>
    <w:p w14:paraId="59F7D80F" w14:textId="77777777" w:rsidR="004B1EC2" w:rsidRPr="004B1EC2" w:rsidRDefault="004B1EC2" w:rsidP="0095346F">
      <w:pPr>
        <w:pStyle w:val="NummerierungStufe2"/>
      </w:pPr>
      <w:r>
        <w:t>μονάδα ομαδικής εστίασης κατά την έννοια του άρθρου 2 εδάφιο 2 στοιχείο δ του κανονισμού (ΕΕ) αριθ. 1169/2011.</w:t>
      </w:r>
    </w:p>
    <w:p w14:paraId="1428976F" w14:textId="77777777" w:rsidR="004B1EC2" w:rsidRPr="00161369" w:rsidRDefault="004B1EC2" w:rsidP="0095346F">
      <w:pPr>
        <w:pStyle w:val="JuristischerAbsatznummeriert"/>
        <w:rPr>
          <w:rStyle w:val="Marker"/>
          <w:color w:val="000000" w:themeColor="text1"/>
        </w:rPr>
      </w:pPr>
      <w:r>
        <w:rPr>
          <w:rStyle w:val="Marker"/>
          <w:color w:val="000000" w:themeColor="text1"/>
        </w:rPr>
        <w:t>Ο παρών κανονισμός ρυθμίζει τη μεταφορά, διατήρηση και αποθήκευση νιτρωδών αλάτων καθώς και τις απαιτήσεις για την παραγωγή νιτρώδους νατρίου.</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Ορισμοί</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Τα μη προσυσκευασμένα τρόφιμα κατά την έννοια αυτού του κανονισμού είναι τρόφιμα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που προσφέρονται προς πώληση χωρίς συσκευασία,</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κατόπιν αιτήματος του τελικού καταναλωτή ή της μονάδα ομαδικής εστίασης να συσκευάζονται στο σημείο πώλησης, ή</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που προσυσκευάζονται για άμεση πώληση.</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Μπίρα</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Κατά την παραγωγή μπύρας που παρασκευάζεται με την ένδειξη «σύμφωνα με τον γερμανικό νόμο για την καθαρότητα των ζύθων» ή διατίθεται στο εμπόριο με παρόμοιες πληροφορίες, μπορούν να χρησιμοποιούνται ως πρόσθετα τροφίμων μόνο:</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διοξείδιο του άνθρακα που δεσμεύεται στην παρασκευή μπύρας ή</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διοξείδιο του άνθρακα και άζωτο, όταν </w:t>
      </w:r>
    </w:p>
    <w:p w14:paraId="0148078E"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δεν περνούν στην μπύρα εκτός από τεχνικά αναπόφευκτες ποσότητες και</w:t>
      </w:r>
    </w:p>
    <w:p w14:paraId="435684CA" w14:textId="77777777" w:rsidR="004B1EC2" w:rsidRPr="004B1EC2" w:rsidRDefault="004B1EC2" w:rsidP="009F6A32">
      <w:pPr>
        <w:pStyle w:val="NummerierungStufe2"/>
        <w:tabs>
          <w:tab w:val="clear" w:pos="1135"/>
          <w:tab w:val="num" w:pos="850"/>
        </w:tabs>
        <w:ind w:left="850"/>
        <w:rPr>
          <w:color w:val="000000" w:themeColor="text1"/>
        </w:rPr>
      </w:pPr>
      <w:r>
        <w:rPr>
          <w:rStyle w:val="Marker"/>
          <w:color w:val="000000" w:themeColor="text1"/>
        </w:rPr>
        <w:lastRenderedPageBreak/>
        <w:t>δεν υπάρχει αύξηση της περιεκτικότητας σε ανθρακικό οξύ της μπύρας κατά τη χρήση της.</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Νιτρώδη άλατα και νιτρώδες νάτριο</w:t>
      </w:r>
    </w:p>
    <w:p w14:paraId="4870D2AE" w14:textId="77777777" w:rsidR="004B1EC2" w:rsidRPr="004B1EC2" w:rsidRDefault="004B1EC2" w:rsidP="009F6A32">
      <w:pPr>
        <w:pStyle w:val="JuristischerAbsatznummeriert"/>
        <w:rPr>
          <w:rStyle w:val="Marker"/>
          <w:color w:val="000000" w:themeColor="text1"/>
        </w:rPr>
      </w:pPr>
      <w:r>
        <w:rPr>
          <w:rStyle w:val="Marker"/>
          <w:color w:val="000000" w:themeColor="text1"/>
        </w:rPr>
        <w:t>Τα νιτρώδη άλατα δεν επιτρέπεται να εισάγονται σε εταιρείες παραγωγής τροφίμων ούτε να διατηρούνται ή να αποθηκεύονται σε αυτές τις εταιρείες. Αυτή η απαγόρευση δεν ισχύει για την εισαγωγή νιτρώδους άλατος και καλίου σε εταιρείες που παράγουν μείγματα νιτρώδους άλατος ή καλίου με επιτραπέζιο αλάτι, ιωδιούχο επιτραπέζιο αλάτι ή υποκατάστατα αλάτων (νιτρώδες νάτριο).</w:t>
      </w:r>
    </w:p>
    <w:p w14:paraId="2B4F2DC3" w14:textId="77777777" w:rsidR="004B1EC2" w:rsidRPr="004B1EC2" w:rsidRDefault="004B1EC2" w:rsidP="009F6A32">
      <w:pPr>
        <w:pStyle w:val="JuristischerAbsatznummeriert"/>
        <w:keepNext/>
        <w:keepLines/>
        <w:rPr>
          <w:rStyle w:val="Marker"/>
          <w:color w:val="000000" w:themeColor="text1"/>
        </w:rPr>
      </w:pPr>
      <w:r>
        <w:rPr>
          <w:rStyle w:val="Marker"/>
          <w:color w:val="000000" w:themeColor="text1"/>
        </w:rPr>
        <w:t>Όποιος επιθυμεί να παράγει νιτρώδες νάτριο πρέπει να διαθέτει την έγκριση της αρμόδιας αρχής. Η έγκριση μπορεί να χορηγηθεί μόνο εάν ο αιτών</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είναι αξιόπιστος και</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διαθέτει τον εξοπλισμό και τους πόρους που απαιτούνται για τη σωστή παραγωγή νιτρώδους νατρίου.</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Το νιτρώδες νάτριο μπορεί να παραχθεί μόνο σε χώρους που προορίζονται αποκλειστικά για τον σκοπό αυτό.</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Σήμανση</w:t>
      </w:r>
    </w:p>
    <w:p w14:paraId="1B00C53C" w14:textId="77777777" w:rsidR="004B1EC2" w:rsidRPr="004B1EC2" w:rsidRDefault="004B1EC2" w:rsidP="009F6A32">
      <w:pPr>
        <w:pStyle w:val="JuristischerAbsatznummeriert"/>
        <w:rPr>
          <w:color w:val="000000" w:themeColor="text1"/>
        </w:rPr>
      </w:pPr>
      <w:r>
        <w:rPr>
          <w:rStyle w:val="Marker"/>
          <w:color w:val="000000" w:themeColor="text1"/>
        </w:rPr>
        <w:t>Τα μη προσυσκευασμένα τρόφιμα σύμφωνα με το άρθρο 2 σημείο 3, τα οποία δεν προσφέρονται για αυτοεξυπηρέτηση, και τα μη προσυσκευασμένα τρόφιμα σύμφωνα με το άρθρο 2 σημεία 1 και 2 μπορούν να διατεθούν στην αγορά από τον υπεύθυνο σύμφωνα με το άρθρο 8 παράγραφος 1 ή 4 εδάφιο 2 του κανονισμού (ΕΕ) αριθ. 1169/2011 με σκοπό την πώλησή τους σε τελικούς καταναλωτές ή μονάδα ομαδικής εστίασης ή να πωληθούν από τον υπεύθυνο σύμφωνα με το άρθρο 8 παράγραφος 3 του κανονισμού (ΕΕ) αριθ. 1169/2011, μόνο εάν τα πρόσθετα τροφίμων που χρησιμοποιούνται στην παραγωγή τους επισημαίνονται με τις ακόλουθες πληροφορίες, σύμφωνα με τον τρόπο που περιγράφεται στην παράγραφο 2:</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χρωστικές ουσίες με την ένδειξη «με χρωστική ουσία»,</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πρόσθετα τροφίμων που χρησιμοποιούνται για συντήρηση, με την ένδειξη «με συντηρητικό» ή «συντηρημένο»,</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πρόσθετα τροφίμων που χρησιμοποιούνται ως αντιοξειδωτικά, με την ένδειξη «με αντιοξειδωτικό»,</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Στην περίπτωση τροφίμων με νιτρικό άλας ή νιτρώδες νάτριο, οι ενδείξεις σύμφωνα με τους αριθμούς 2 και 3 μπορούν να αντικατασταθούν από τις ακόλουθες ενδείξεις:</w:t>
      </w:r>
    </w:p>
    <w:p w14:paraId="24622BEA"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 xml:space="preserve">για τρόφιμα με νιτρώδες νάτριο με την ένδειξη «με νιτρώδες νάτριο», </w:t>
      </w:r>
    </w:p>
    <w:p w14:paraId="653B83B3"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για τρόφιμα με νιτρώδες νάτριο ή κάλιο, έστω και αναμεμειγμένα, με την ένδειξη «με νιτρικό άλας» και</w:t>
      </w:r>
    </w:p>
    <w:p w14:paraId="3738661C"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για τρόφιμα με νιτρικό άλας και νιτρώδες νάτριο ή κάλιο, έστω και αναμεμειγμένα, με την ένδειξη «με νιτρώδες νάτριο και νιτρικό άλας»,</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πρόσθετα τροφίμων που χρησιμοποιούνται ως ενισχυτικά γεύσης, με την ένδειξη «με ενισχυτικό γεύσης»,</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για ελιές με γλυκονικό σίδηρο-II (E 579) ή γαλακτικό σίδηρο-II (E 585) με την ένδειξη «μαυρισμένες»,</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για φρέσκα φρούτα και λαχανικά με πρόσθετα τροφίμων των αριθμών E 445, E 471, E 473, E 474, E 901 έως E 905 και E 914, τα οποία χρησιμοποιούνται για επιφανειακή επεξεργασία, με την ένδειξη «κερωμένο»,</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προϊόντων κρέατος με πρόσθετα τροφίμων των αριθμών E 338 έως E 341, E 343 και E 450 έως E 452 με την ένδειξη «με φωσφορικό άλας»,</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γλυκαντικά, με εξαίρεση τα επιτραπέζια γλυκαντικά, με τη σημείωση «με γλυκαντικό(ά)»,</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επιτραπέζιων γλυκαντικών με τη σημείωση «με βάση ...», που συμπληρώνεται από την περιγραφή των γλυκαντικών που χρησιμοποιούνται,</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για τρόφιμα με ασπαρτάμη (E 951) ή άλας ασπαρτάμης-ακεσουλφάμης (E 962) από τη σημείωση «περιέχει πηγή φαινυλαλανίνης»,</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για τρόφιμα με περισσότερες από 10% προστιθέμενες πολυαλκοόλες των αριθμών E 420, E 421, E 953 και E 965 έως E 968 με τη σημείωση «μπορεί να έχει υπακτική δράση σε περίπτωση υπερβολικής κατανάλωσης».</w:t>
      </w:r>
    </w:p>
    <w:p w14:paraId="4F4D4D56" w14:textId="77777777" w:rsidR="004B1EC2" w:rsidRPr="004B1EC2" w:rsidRDefault="004B1EC2" w:rsidP="009F6A32">
      <w:pPr>
        <w:pStyle w:val="JuristischerAbsatznummeriert"/>
        <w:keepNext/>
        <w:keepLines/>
        <w:rPr>
          <w:rStyle w:val="Marker"/>
          <w:color w:val="000000" w:themeColor="text1"/>
        </w:rPr>
      </w:pPr>
      <w:r>
        <w:rPr>
          <w:rStyle w:val="Marker"/>
          <w:color w:val="000000" w:themeColor="text1"/>
        </w:rPr>
        <w:t>Οι ενδείξεις της παραγράφου 1 πρέπει να παρέχονται:</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σύμφωνα με το άρθρο 12 παράγραφος 2 του κανονισμού (ΕΕ) αριθ. 1169/2011 ή το άρθρο 4 παράγραφοι 3 και 4 του εκτελεστικού κανονισμού για τις πληροφορίες τροφίμων της 5ης Ιουλίου 2017 (BGBl. I σ. 2272), που τροποποιήθηκε τελευταία με το άρθρο 1 του κανονισμού της 27ης Οκτωβρίου 2020 (BGBl. I σ. 2268),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στον βαθμό που οι πληροφορίες σύμφωνα με το άρθρο 4 παράγραφος 2 του εκτελεστικού κανονισμού για τις πληροφορίες τροφίμων είναι υποχρεωτικές, με τον ίδιο τρόπο μέσω του ίδιου μέσου, και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μη προσυσκευασμένων τροφίμων που προσφέρονται προς πώληση μέσω της χρήσης τεχνικών επικοινωνίας εξ αποστάσεως, σύμφωνα με το άρθρο 14 παράγραφος 1 του κανονισμού (ΕΕ) αριθ. 1169/2011.</w:t>
      </w:r>
    </w:p>
    <w:p w14:paraId="41143954" w14:textId="77777777" w:rsidR="004B1EC2" w:rsidRPr="004B1EC2" w:rsidRDefault="004B1EC2" w:rsidP="009F6A32">
      <w:pPr>
        <w:pStyle w:val="JuristischerAbsatznummeriert"/>
        <w:keepNext/>
        <w:keepLines/>
        <w:rPr>
          <w:color w:val="000000" w:themeColor="text1"/>
        </w:rPr>
      </w:pPr>
      <w:r>
        <w:rPr>
          <w:rStyle w:val="Marker"/>
          <w:color w:val="000000" w:themeColor="text1"/>
        </w:rPr>
        <w:t>Οι πληροφορίες σύμφωνα με την παράγραφο 1 σημεία 1 έως 8 μπορούν να παραλειφθούν:</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στην περίπτωση τροφίμων με κατάλογο συστατικών που πληρούν τις απαιτήσεις πληροφόρησης σύμφωνα με το άρθρο 9 παράγραφος 1 στοιχείο β σε συνδυασμό με το άρθρο 18 του κανονισμού (ΕΕ) αριθ. 1169/2011,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στην περίπτωση τροφίμων στα οποία αναγράφονται όλα τα πρόσθετα τροφίμων που χρησιμοποιούνται στην παραγωγή των τροφίμων σύμφωνα με το παράρτημα VII μέρος Γ του κανονισμού (ΕΕ) αριθ. 1169/2011 με την ονομασία της κατηγορίας τους, και από την ειδική ονομασία τους ή τον αριθμό Ε τους ως ανακοίνωση στο κατάστημα πώλησης, σε γραπτά αρχεία ή σε ηλεκτρονικές πληροφορίες προσφορών που διατίθενται από τον υπεύθυνο της επιχείρησης τροφίμων, οι οποίες είναι άμεσα και εύκολα προσβάσιμες στον τελικό καταναλωτή, με τις προσφορές σε γραπτά αρχεία ή ηλεκτρονική μορφή που προσφέρονται να αναγράφονται δίπλα από το τρόφιμο ή ως ανακοίνωση, ή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τροφίμων με πρόσθετα τροφίμων που δεν χρειάζεται να περιλαμβάνονται στον κατάλογο συστατικών σύμφωνα με το άρθρο 20 του κανονισμού (ΕΕ) αριθ. 1169/2011.</w:t>
      </w:r>
    </w:p>
    <w:p w14:paraId="0186464A" w14:textId="77777777" w:rsidR="004B1EC2" w:rsidRPr="004B1EC2" w:rsidRDefault="004B1EC2" w:rsidP="009F6A32">
      <w:pPr>
        <w:pStyle w:val="JuristischerAbsatznummeriert"/>
        <w:keepNext/>
        <w:keepLines/>
        <w:rPr>
          <w:color w:val="000000" w:themeColor="text1"/>
        </w:rPr>
      </w:pPr>
      <w:r>
        <w:rPr>
          <w:rStyle w:val="Marker"/>
          <w:color w:val="000000" w:themeColor="text1"/>
        </w:rPr>
        <w:t>Τα προσυσκευασμένα επιτραπέζια γλυκαντικά μπορούν να δοθούν στους τελικούς καταναλωτές, μόνο εάν</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περίπτωση του άρθρου 23 παράγραφος 2 του κανονισμού (ΕΚ) αριθ. 1333/2008, η περιγραφή τους, σε συνδυασμό με το άρθρο 23 παράγραφος 5, παρέχεται με τις πληροφορίες που καθορίζονται σε αυτήν, και</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lastRenderedPageBreak/>
        <w:t>στην περίπτωση του άρθρου 23 παράγραφος 3 του κανονισμού (ΕΚ) αριθ. 1333/2008, η επισήμανσή τους, σε συνδυασμό με το άρθρο 23 παράγραφος 5, παρέχεται με τις πληροφορίες που καθορίζονται σε αυτήν.</w:t>
      </w:r>
    </w:p>
    <w:p w14:paraId="3448EFA9" w14:textId="77777777" w:rsidR="004B1EC2" w:rsidRPr="004B1EC2" w:rsidRDefault="004B1EC2" w:rsidP="009F6A32">
      <w:pPr>
        <w:pStyle w:val="JuristischerAbsatznummeriert"/>
        <w:rPr>
          <w:color w:val="000000" w:themeColor="text1"/>
        </w:rPr>
      </w:pPr>
      <w:r>
        <w:rPr>
          <w:rStyle w:val="Marker"/>
          <w:color w:val="000000" w:themeColor="text1"/>
        </w:rPr>
        <w:t>Για την επισήμανση των προσυσκευασμένων ποτών με περιεκτικότητα σε αλκοόλη άνω του 1,2% κατ’ όγκο, ισχύει αναλόγως η παράγραφος 1 σημεία 1 έως 3, με την προϋπόθεση ότι πρέπει να παρέχονται οι πληροφορίες σύμφωνα με το άρθρο 12 παράγραφος 2 του κανονισμού (ΕΕ) αριθ. 1169/2011.</w:t>
      </w:r>
    </w:p>
    <w:p w14:paraId="6D1EE705" w14:textId="77777777" w:rsidR="004B1EC2" w:rsidRPr="004B1EC2" w:rsidRDefault="004B1EC2" w:rsidP="009F6A32">
      <w:pPr>
        <w:pStyle w:val="JuristischerAbsatznummeriert"/>
        <w:keepNext/>
        <w:keepLines/>
        <w:rPr>
          <w:rStyle w:val="Marker"/>
          <w:color w:val="000000" w:themeColor="text1"/>
        </w:rPr>
      </w:pPr>
      <w:r>
        <w:rPr>
          <w:rStyle w:val="Marker"/>
          <w:color w:val="000000" w:themeColor="text1"/>
        </w:rPr>
        <w:t>Για νωπά φρούτα και λαχανικά,</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που δεν είναι προσυσκευασμένα κατά την έννοια του άρθρου 2 σημείο 3 και προσφέρονται για αυτοεξυπηρέτηση ή που προσφέρεται προσυσκευασμένα και</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για τα οποία δεν έχει συνταχθεί κατάλογος συστατικών σύμφωνα με το άρθρο 19 παράγραφος 1 στοιχείο α του κανονισμού (ΕΕ) αριθ. 1169/2011 και δεν παρέχεται εθελοντικά κατάλογος συστατικών,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η παράγραφος 1 σημείο 7 εφαρμόζεται αναλόγως, με την προϋπόθεση ότι οι πληροφορίες πρέπει να παρέχονται σύμφωνα με το άρθρο 12 παράγραφος 2 του κανονισμού (ΕΕ) αριθ. 1169/2011.</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Αδικήματα</w:t>
      </w:r>
    </w:p>
    <w:p w14:paraId="2DC0A5F7" w14:textId="77777777" w:rsidR="004B1EC2" w:rsidRPr="004B1EC2" w:rsidRDefault="004B1EC2" w:rsidP="009F6A32">
      <w:pPr>
        <w:pStyle w:val="JuristischerAbsatznummeriert"/>
        <w:keepNext/>
        <w:keepLines/>
        <w:rPr>
          <w:rStyle w:val="Marker"/>
          <w:color w:val="000000" w:themeColor="text1"/>
        </w:rPr>
      </w:pPr>
      <w:r>
        <w:rPr>
          <w:rStyle w:val="Marker"/>
          <w:color w:val="000000" w:themeColor="text1"/>
        </w:rPr>
        <w:t xml:space="preserve">Τιμωρείται σύμφωνα με το άρθρο 59 παράγραφος 1 σημείο 21 στοιχείο α του κώδικα τροφίμων και ζωοτροφών, όποιος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σε αντίθεση με το άρθρο 4 παράγραφος 1 εδάφιο 1 μεταφέρει,διατηρεί ή αποθηκεύει νιτρώδη άλατα,</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παράγει νιτρώδες νάτριο χωρίς έγκριση σύμφωνα με το άρθρο 4 παράγραφος 2 εδάφιο 1 ή</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σε αντίθεση με το άρθρο 4 παράγραφος 2 εδάφιο 3 παράγει νιτρώδες νάτριο.</w:t>
      </w:r>
    </w:p>
    <w:p w14:paraId="25A4FA85" w14:textId="77777777" w:rsidR="004B1EC2" w:rsidRPr="004B1EC2" w:rsidRDefault="004B1EC2" w:rsidP="009F6A32">
      <w:pPr>
        <w:pStyle w:val="JuristischerAbsatznummeriert"/>
        <w:rPr>
          <w:rStyle w:val="Marker"/>
          <w:color w:val="000000" w:themeColor="text1"/>
        </w:rPr>
      </w:pPr>
      <w:r>
        <w:rPr>
          <w:rStyle w:val="Marker"/>
          <w:color w:val="000000" w:themeColor="text1"/>
        </w:rPr>
        <w:t>Σύμφωνα με το άρθρο 58 παράγραφος 3 σημείο 2, παράγραφοι 4 έως 6 του κώδικα τροφίμων και ζωοτροφών, τιμωρείται όποιος εκ δόλου ή εξ αμελείας κυκλοφορεί στην αγορά, σε αντίθεση με το άρθρο 5 σε συνδυασμό με το άρθρο 4 παράγραφος 5 σε συνδυασμό με το άρθρο 14 σε συνδυασμό με το παράρτημα II μέρος Α ενότητα 2 σημείο 1 του κανονισμού (ΕΚ) αριθ. 1333/2008 του Ευρωπαϊκού Κοινοβουλίου και του Συμβουλίου της 16ης Δεκεμβρίου 2008 που αφορά τα πρόσθετα τροφίμων (ΕΕ L 354 της 31.12.2008, σ. 16, L 105 της 27.4.2010, σ. 114, L 322 της 21.11.2012, σ. 8, L 138 της 24.5.2013, σ. 20, L 123 της 19.5.2015, σ. 122, L 214 της 13.8.2015, σ. 30, L 165 της 23.6.2016, σ. 24, L 282 της 19.10.2016, σ. 84, L 82 της 26.3.2018, σ. 18, L 60 της 28.2.2019, σ. 35), όπως τροποποιήθηκε τελευταία με τον κανονισμό (ΕΕ) 2020/771 (ΕΕ. L 184 της 12.6.2020, σ. 25),</w:t>
      </w:r>
    </w:p>
    <w:p w14:paraId="452B78E3"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 xml:space="preserve">πρόσθετο τροφίμων που δεν συμμορφώνεται με τις προδιαγραφές που ορίζονται στο παράρτημα του κανονισμού (ΕΕ) αριθ. 231/2012 της Επιτροπής, της 9ης Μαρτίου 2012 σχετικά με τη θέσπιση προδιαγραφών για τα πρόσθετα τροφίμων που αναφέρονται στα παραρτήματα ΙΙ και ΙΙΙ του κανονισμού (ΕΚ) αριθ. 1333/2008 του Ευρωπαϊκού Κοινοβουλίου και του Συμβουλίου (ΕΕ L 83 της 22.3.2012, σ. 1, L 189 της 14.7.2016, σ. 59, L 292 της 27.10.2016, σ. 50), όπως τροποποιήθηκε τελευταία με τον κανονισμό (ΕΕ) 2020/771 (ΕΕ L 184 της 12.6.2020, σ. 25), </w:t>
      </w:r>
    </w:p>
    <w:p w14:paraId="2FC97BA0"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τρόφιμο που περιέχει πρόσθετο τροφίμων που δεν συμμορφώνεται με τις προδιαγραφές που ορίζονται στο παράρτημα του κανονισμού (ΕΕ) αριθ. 231/2012, ή</w:t>
      </w:r>
    </w:p>
    <w:p w14:paraId="5F9876D3" w14:textId="77777777" w:rsidR="004B1EC2" w:rsidRPr="004B1EC2" w:rsidRDefault="004B1EC2" w:rsidP="009F6A32">
      <w:pPr>
        <w:pStyle w:val="NummerierungStufe2"/>
        <w:keepNext/>
        <w:keepLines/>
        <w:tabs>
          <w:tab w:val="clear" w:pos="1135"/>
          <w:tab w:val="num" w:pos="850"/>
        </w:tabs>
        <w:ind w:left="850"/>
        <w:rPr>
          <w:color w:val="000000" w:themeColor="text1"/>
        </w:rPr>
      </w:pPr>
      <w:r>
        <w:rPr>
          <w:rStyle w:val="Marker"/>
          <w:color w:val="000000" w:themeColor="text1"/>
        </w:rPr>
        <w:t xml:space="preserve">σε συνδυασμό με τη σημείωση στο παράρτημα του κανονισμού (ΕΕ) αριθ. 231/2012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πρόσθετο τροφίμων που έχει αποστειρωθεί χρησιμοποιώντας αιθυλενοξείδιο, ή</w:t>
      </w:r>
    </w:p>
    <w:p w14:paraId="3DFDB985" w14:textId="1366039C"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lastRenderedPageBreak/>
        <w:t xml:space="preserve">τρόφιμο που περιέχει ένα πρόσθετο τροφίμων αποστειρωμένο χρησιμοποιώντας </w:t>
      </w:r>
      <w:proofErr w:type="spellStart"/>
      <w:r>
        <w:rPr>
          <w:rStyle w:val="Marker"/>
          <w:color w:val="000000" w:themeColor="text1"/>
        </w:rPr>
        <w:t>αιθυλενοξείδιο</w:t>
      </w:r>
      <w:proofErr w:type="spellEnd"/>
      <w:r w:rsidR="003E6AA6">
        <w:rPr>
          <w:rStyle w:val="Marker"/>
          <w:color w:val="000000" w:themeColor="text1"/>
        </w:rPr>
        <w:t>.</w:t>
      </w:r>
    </w:p>
    <w:p w14:paraId="59233171" w14:textId="77777777" w:rsidR="004B1EC2" w:rsidRPr="004B1EC2" w:rsidRDefault="004B1EC2" w:rsidP="009F6A32">
      <w:pPr>
        <w:pStyle w:val="ParagraphBezeichner"/>
        <w:keepLines/>
        <w:numPr>
          <w:ilvl w:val="1"/>
          <w:numId w:val="5"/>
        </w:numPr>
        <w:rPr>
          <w:color w:val="000000" w:themeColor="text1"/>
        </w:rPr>
      </w:pPr>
      <w:bookmarkStart w:id="0" w:name="_GoBack"/>
      <w:bookmarkEnd w:id="0"/>
    </w:p>
    <w:p w14:paraId="362CAAB9" w14:textId="77777777" w:rsidR="004B1EC2" w:rsidRPr="004B1EC2" w:rsidRDefault="004B1EC2" w:rsidP="009F6A32">
      <w:pPr>
        <w:pStyle w:val="Paragraphberschrift"/>
        <w:keepLines/>
        <w:rPr>
          <w:color w:val="000000" w:themeColor="text1"/>
        </w:rPr>
      </w:pPr>
      <w:r>
        <w:rPr>
          <w:rStyle w:val="Marker"/>
          <w:color w:val="000000" w:themeColor="text1"/>
        </w:rPr>
        <w:t>Παραβάσεις</w:t>
      </w:r>
    </w:p>
    <w:p w14:paraId="6A9E398C" w14:textId="77777777" w:rsidR="004B1EC2" w:rsidRPr="004B1EC2" w:rsidRDefault="004B1EC2" w:rsidP="009F6A32">
      <w:pPr>
        <w:pStyle w:val="JuristischerAbsatznummeriert"/>
        <w:rPr>
          <w:rStyle w:val="Marker"/>
          <w:color w:val="000000" w:themeColor="text1"/>
        </w:rPr>
      </w:pPr>
      <w:r>
        <w:rPr>
          <w:rStyle w:val="Marker"/>
          <w:color w:val="000000" w:themeColor="text1"/>
        </w:rPr>
        <w:t xml:space="preserve">Όποιος παραβιάζει τα προβλεπόμενα στο άρθρο 6 παράγραφος 1 επιδεικνύοντας βαριά αμέλεια, διαπράττει διοικητική παράβαση σύμφωνα με το άρθρο 60 παράγραφος 1 σημείο 2 του κώδικα τροφίμων και ζωοτροφών. </w:t>
      </w:r>
    </w:p>
    <w:p w14:paraId="53128E7E" w14:textId="77777777" w:rsidR="004B1EC2" w:rsidRPr="004B1EC2" w:rsidRDefault="004B1EC2" w:rsidP="009F6A32">
      <w:pPr>
        <w:pStyle w:val="JuristischerAbsatznummeriert"/>
        <w:keepNext/>
        <w:keepLines/>
        <w:rPr>
          <w:rStyle w:val="Marker"/>
          <w:color w:val="000000" w:themeColor="text1"/>
        </w:rPr>
      </w:pPr>
      <w:r>
        <w:rPr>
          <w:rStyle w:val="Marker"/>
          <w:color w:val="000000" w:themeColor="text1"/>
        </w:rPr>
        <w:t>Κατά παράβαση των κανονισμών με την έννοια του άρθρου 60 παράγραφος 2 σημείο 26 στοιχείο α του κώδικα τροφίμων και ζωοτροφών ενεργεί όποιος, εκ προθέσεως ή εξ αμελείας</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σε αντίθεση με το άρθρο 5 παράγραφος 1 σημεία 1 έως 3, σε κάθε περίπτωση επίσης σε συνδυασμό με την παράγραφο 5, σε αντίθεση με το άρθρο 5 παράγραφος 1 σημεία 4 έως 6 ή 7, επίσης σε συνδυασμό με την παράγραφο 6, ή με το άρθρο 5 παράγραφος 1 σημεία 8 έως 12, διατηρεί ή κυκλοφορεί στην αγορά τρόφιμο ή</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αντίθετα από το άρθρο 5 παράγραφος 4 διατηρεί επιτραπέζιο γλυκαντικό.</w:t>
      </w:r>
    </w:p>
    <w:p w14:paraId="26BAD113" w14:textId="525BB6CF" w:rsidR="004B1EC2" w:rsidRPr="004B1EC2" w:rsidRDefault="004B1EC2" w:rsidP="009F6A32">
      <w:pPr>
        <w:pStyle w:val="JuristischerAbsatznummeriert"/>
        <w:rPr>
          <w:rStyle w:val="Marker"/>
          <w:color w:val="000000" w:themeColor="text1"/>
        </w:rPr>
      </w:pPr>
      <w:r>
        <w:rPr>
          <w:rStyle w:val="Marker"/>
          <w:color w:val="000000" w:themeColor="text1"/>
        </w:rPr>
        <w:t>Διαπράττει διοικητική παράβαση σύμφωνα με το άρθρο 60 παράγραφος 4 σημείο 2 στοιχείο α του κώδικα τροφίμων και ζωοτροφών οποιοσδήποτε παραβιάζει τον κανονισμό (ΕΚ) αριθ. 1333/2008, διαθέτοντας, εκ δόλου ή εξ αμελείας, στην αγορά ένα πρόσθετο τροφίμων σε αντίθεση με το άρθρο 21 παράγραφος 1 εδάφιο 1 σε συνδυασμό με το άρθρο 22 παράγραφοι 1, 2 ή 3 ή το άρθρο 23 παράγραφος 1.</w:t>
      </w:r>
    </w:p>
    <w:p w14:paraId="5B3E5922" w14:textId="01E1C201" w:rsidR="009F6A32" w:rsidRPr="009F6A32" w:rsidRDefault="009F6A32" w:rsidP="009F6A32">
      <w:pPr>
        <w:pStyle w:val="ArtikelBezeichner"/>
        <w:keepLines/>
        <w:numPr>
          <w:ilvl w:val="0"/>
          <w:numId w:val="0"/>
        </w:numPr>
        <w:rPr>
          <w:color w:val="000000" w:themeColor="text1"/>
        </w:rPr>
      </w:pPr>
      <w:r>
        <w:t>Άρθρο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κανονισμού περί διατροφής</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Ο κανονισμός περί διατροφής όπως κοινοποιήθηκε στις 28 Απριλίου 2005 (BGBl I σ. 1161), ο οποίος τροποποιήθηκε τελευταία από το άρθρο 22 του κανονισμού της 5ης Ιουλίου 2017 (BGBl. I σ. 2272) τροποποιείται ως εξής:</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Το άρθρο 5 παράγραφος 1 διατυπώνεται ως ακολούθως:</w:t>
      </w:r>
    </w:p>
    <w:p w14:paraId="42D1F781" w14:textId="77777777" w:rsidR="004B1EC2" w:rsidRPr="004B1EC2" w:rsidRDefault="004B1EC2" w:rsidP="000F3AD3">
      <w:pPr>
        <w:pStyle w:val="RevisionJuristischerAbsatz"/>
        <w:tabs>
          <w:tab w:val="num" w:pos="1275"/>
        </w:tabs>
        <w:ind w:left="425" w:firstLine="83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w:t>
      </w:r>
      <w:r>
        <w:rPr>
          <w:color w:val="000000" w:themeColor="text1"/>
        </w:rPr>
        <w:tab/>
        <w:t>Κατά την εξαγωγή, παραγωγή και παρασκευή διαιτητικών τροφίμων, με την επιφύλαξη των άμεσα εφαρμοστέων νομικών πράξεων της Ευρωπαϊκής Κοινότητας ή της Ευρωπαϊκής Ένωσης, οι ουσίες μπορούν να προστεθούν μόνο σύμφωνα με τον παρόντα κανονισμό.»</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Το άρθρο 6 καταργείται.</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Στο άρθρο 25 παράγραφος 4 εδάφιο 2, η φράση «άρθρο 9 του κανονισμού έγκρισης προσθέτων» αντικαθίσταται από τη φράση «άρθρο 5 του εκτελεστικού κανονισμού περί προσθέτων τροφίμων».</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Στην παράγραφο 26 παράγραφος 3 διαγράφεται η ένδειξη «άρθρο 6 εδάφιο 3».</w:t>
      </w:r>
    </w:p>
    <w:p w14:paraId="4CBFE78A" w14:textId="10104546" w:rsidR="009F6A32" w:rsidRPr="009F6A32" w:rsidRDefault="009F6A32" w:rsidP="009F6A32">
      <w:pPr>
        <w:pStyle w:val="ArtikelBezeichner"/>
        <w:keepLines/>
        <w:numPr>
          <w:ilvl w:val="0"/>
          <w:numId w:val="0"/>
        </w:numPr>
        <w:rPr>
          <w:color w:val="000000" w:themeColor="text1"/>
        </w:rPr>
      </w:pPr>
      <w:r>
        <w:t>Άρθρο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κανονισμού περί γαλακτομικών προϊόντων</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Ο κανονισμός περί γαλακτομικών προϊόντων της 15ης Ιουλίου 1970 (BGBl. I σ. 1150), που τροποποιήθηκε τελευταία με το άρθρο 21 του κανονισμού της 5ης Ιουλίου 2017 (BGBl. I σ. 2272) τροποποιείται ως εξής:</w:t>
      </w:r>
    </w:p>
    <w:p w14:paraId="79BED87C" w14:textId="77777777" w:rsidR="004B1EC2" w:rsidRPr="003579EA" w:rsidRDefault="004B1EC2" w:rsidP="003579EA">
      <w:pPr>
        <w:pStyle w:val="NummerierungStufe1"/>
        <w:numPr>
          <w:ilvl w:val="3"/>
          <w:numId w:val="12"/>
        </w:numPr>
        <w:rPr>
          <w:rStyle w:val="Marker"/>
          <w:color w:val="000000" w:themeColor="text1"/>
        </w:rPr>
      </w:pPr>
      <w:r w:rsidRPr="003579EA">
        <w:rPr>
          <w:rStyle w:val="Marker"/>
          <w:color w:val="000000" w:themeColor="text1"/>
        </w:rPr>
        <w:lastRenderedPageBreak/>
        <w:t>Το άρθρο 3, παρ. 1, εδάφιο 2 καταργούνται.</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Το άρθρο 5 διατυπώνεται ως ακολούθως:</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fldChar w:fldCharType="begin"/>
      </w:r>
      <w:r w:rsidRPr="004B1EC2">
        <w:rPr>
          <w:color w:val="000000" w:themeColor="text1"/>
        </w:rPr>
        <w:instrText xml:space="preserve"> ADVANCE  \l 20,55  </w:instrText>
      </w:r>
      <w:r w:rsidRPr="004B1EC2">
        <w:rPr>
          <w:color w:val="000000" w:themeColor="text1"/>
        </w:rPr>
        <w:fldChar w:fldCharType="end"/>
      </w:r>
      <w:r>
        <w:t>«</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Χρήση βιταμινών</w:t>
      </w:r>
    </w:p>
    <w:p w14:paraId="1CF511A7" w14:textId="77777777" w:rsidR="004B1EC2" w:rsidRPr="004B1EC2" w:rsidRDefault="004B1EC2" w:rsidP="0095346F">
      <w:pPr>
        <w:pStyle w:val="RevisionJuristischerAbsatz"/>
        <w:numPr>
          <w:ilvl w:val="2"/>
          <w:numId w:val="6"/>
        </w:numPr>
        <w:rPr>
          <w:rStyle w:val="RevisionText"/>
          <w:color w:val="000000" w:themeColor="text1"/>
        </w:rPr>
      </w:pPr>
      <w:r>
        <w:rPr>
          <w:rStyle w:val="RevisionText"/>
          <w:color w:val="000000" w:themeColor="text1"/>
        </w:rPr>
        <w:t>Κατά την παρασκευή γαλακτοκομικών προϊόντων, οι βιταμίνες που αναφέρονται στο παράρτημα 2 μπορούν να χρησιμοποιηθούν για τους σκοπούς που καθορίζονται εκεί. Η περιεκτικότητα σε βιταμίνες δεν πρέπει να υπερβαίνει τις μέγιστες ποσότητες που καθορίζονται στο παράρτημα 2.</w:t>
      </w:r>
    </w:p>
    <w:p w14:paraId="00B2F682" w14:textId="77777777" w:rsidR="004B1EC2" w:rsidRPr="004B1EC2" w:rsidRDefault="004B1EC2" w:rsidP="003579EA">
      <w:pPr>
        <w:pStyle w:val="RevisionJuristischerAbsatz"/>
        <w:numPr>
          <w:ilvl w:val="2"/>
          <w:numId w:val="6"/>
        </w:numPr>
        <w:rPr>
          <w:rStyle w:val="RevisionText"/>
          <w:color w:val="000000" w:themeColor="text1"/>
        </w:rPr>
      </w:pPr>
      <w:r>
        <w:rPr>
          <w:rStyle w:val="RevisionText"/>
          <w:color w:val="000000" w:themeColor="text1"/>
        </w:rPr>
        <w:t>Τα παρασκευάσματα από λίπη γάλακτος για επαλείψεις κατά την έννοια των σημείων 2 και 3 του παραρτήματος 2 είναι γαλακτοκομικοί πολτοί για επάλειψη κατά την έννοια του τμήματος Α σημεία 2 έως 4 του παρατήματος II του προσαρτήματος VII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(ΕΕ L 347 της 20.12.2013, σ. 671, L 189 της 27.6.2014, σ. 261, L 130 της 19.5.2016, σ. 18, L 34 της 9.2.2017, σ. 41, L 106 της 6.4.2020, σ. 12), που τροποποιήθηκε τελευταία με τον κανονισμό (ΕΕ) 2017/2393 του Ευρωπαϊκού Κοινοβουλίου και του Συμβουλίου, της 13ης Δεκεμβρίου 2017 (ΕΕ L 350 της 29.12.2017, σ. 15).</w:t>
      </w:r>
    </w:p>
    <w:p w14:paraId="6CA78D99" w14:textId="77777777" w:rsidR="004B1EC2" w:rsidRPr="004B1EC2" w:rsidRDefault="004B1EC2" w:rsidP="003579EA">
      <w:pPr>
        <w:pStyle w:val="RevisionJuristischerAbsatz"/>
        <w:numPr>
          <w:ilvl w:val="2"/>
          <w:numId w:val="6"/>
        </w:numPr>
        <w:rPr>
          <w:rStyle w:val="RevisionText"/>
          <w:color w:val="000000" w:themeColor="text1"/>
        </w:rPr>
      </w:pPr>
      <w:r>
        <w:rPr>
          <w:rStyle w:val="RevisionText"/>
          <w:color w:val="000000" w:themeColor="text1"/>
        </w:rPr>
        <w:t>Οι βιταμίνες που αναφέρονται στο παράρτημα 2 μπορούν επίσης να χρησιμοποιηθούν στην παραγωγή πρόσθετων τροφίμων.</w:t>
      </w:r>
    </w:p>
    <w:p w14:paraId="72F02582" w14:textId="77777777" w:rsidR="004B1EC2" w:rsidRPr="004B1EC2" w:rsidRDefault="004B1EC2" w:rsidP="003579EA">
      <w:pPr>
        <w:pStyle w:val="RevisionJuristischerAbsatz"/>
        <w:numPr>
          <w:ilvl w:val="2"/>
          <w:numId w:val="6"/>
        </w:numPr>
        <w:rPr>
          <w:rStyle w:val="RevisionText"/>
          <w:color w:val="000000" w:themeColor="text1"/>
        </w:rPr>
      </w:pPr>
      <w:r>
        <w:rPr>
          <w:rStyle w:val="RevisionText"/>
          <w:color w:val="000000" w:themeColor="text1"/>
        </w:rPr>
        <w:t>Κατά παρέκκλιση από το άρθρο 16 παράγραφος 1 εδάφιο 1 του νόμου για τα τρόφιμα και τα καταναλωτικά προϊόντα, δεν υπάρχει υποχρέωση να υποδεικνύεται το περιεχόμενο των βιταμινών που χρησιμοποιούνται σύμφωνα με τις παραγράφους 1 και 3. Το άρθρο 3 παράγραφος 2 σημείο 3 δεν θίγεται.»</w:t>
      </w:r>
    </w:p>
    <w:p w14:paraId="01DBEC6F" w14:textId="77777777" w:rsidR="004B1EC2" w:rsidRPr="003579EA" w:rsidRDefault="004B1EC2" w:rsidP="003579EA">
      <w:pPr>
        <w:pStyle w:val="NummerierungStufe1"/>
        <w:numPr>
          <w:ilvl w:val="3"/>
          <w:numId w:val="13"/>
        </w:numPr>
        <w:rPr>
          <w:rStyle w:val="Marker"/>
          <w:color w:val="000000" w:themeColor="text1"/>
        </w:rPr>
      </w:pPr>
      <w:r w:rsidRPr="003579EA">
        <w:rPr>
          <w:rStyle w:val="Marker"/>
          <w:color w:val="000000" w:themeColor="text1"/>
        </w:rPr>
        <w:t>Στο άρθρο 7 παράγραφος 2 η λέξη «πρόσθετο» αντικαθίσταται από τη λέξη «βιταμίνη».</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Το παράρτημα 2 τροποποιείται ως εξής:</w:t>
      </w:r>
    </w:p>
    <w:p w14:paraId="3523451D" w14:textId="77777777" w:rsidR="004B1EC2" w:rsidRPr="004B1EC2"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Η επικεφαλίδα διατυπώνεται ως εξής:</w:t>
      </w:r>
    </w:p>
    <w:p w14:paraId="3C823EE0" w14:textId="533A8250" w:rsidR="004B1EC2" w:rsidRPr="00161369" w:rsidRDefault="004B1EC2" w:rsidP="000F3AD3">
      <w:pPr>
        <w:pStyle w:val="RevisionAnlageBezeichner"/>
        <w:keepNext/>
        <w:keepLines/>
        <w:ind w:left="850"/>
        <w:rPr>
          <w:rStyle w:val="Marker"/>
          <w:color w:val="000000" w:themeColor="text1"/>
          <w:sz w:val="24"/>
          <w:szCs w:val="24"/>
        </w:rPr>
      </w:pPr>
      <w:r>
        <w:rPr>
          <w:rStyle w:val="Marker"/>
          <w:color w:val="000000" w:themeColor="text1"/>
          <w:sz w:val="24"/>
          <w:szCs w:val="24"/>
        </w:rPr>
        <w:t>«Παράρτημα 2 (του άρθρου 5 παράγραφος 1)</w:t>
      </w:r>
      <w:r w:rsidR="000F3AD3">
        <w:rPr>
          <w:rStyle w:val="Marker"/>
          <w:color w:val="000000" w:themeColor="text1"/>
          <w:sz w:val="24"/>
          <w:szCs w:val="24"/>
        </w:rPr>
        <w:t xml:space="preserve"> </w:t>
      </w:r>
      <w:r>
        <w:rPr>
          <w:rStyle w:val="Marker"/>
          <w:color w:val="000000" w:themeColor="text1"/>
          <w:sz w:val="24"/>
          <w:szCs w:val="24"/>
        </w:rPr>
        <w:t>Βιταμίνες».</w:t>
      </w:r>
    </w:p>
    <w:p w14:paraId="6BB2DC88" w14:textId="77777777" w:rsidR="004B1EC2" w:rsidRPr="00161369" w:rsidRDefault="004B1EC2" w:rsidP="009F6A32">
      <w:pPr>
        <w:pStyle w:val="NummerierungStufe2"/>
        <w:tabs>
          <w:tab w:val="clear" w:pos="1135"/>
          <w:tab w:val="num" w:pos="850"/>
        </w:tabs>
        <w:ind w:left="850"/>
        <w:rPr>
          <w:rStyle w:val="Marker"/>
          <w:color w:val="000000" w:themeColor="text1"/>
        </w:rPr>
      </w:pPr>
      <w:r>
        <w:rPr>
          <w:rStyle w:val="Marker"/>
          <w:color w:val="000000" w:themeColor="text1"/>
        </w:rPr>
        <w:t>Στο σημείο 1 η λέξη «πρόσθετο» αντικαθίσταται από τη λέξη «βιταμίνη».</w:t>
      </w:r>
    </w:p>
    <w:p w14:paraId="71C50EA8" w14:textId="1C1FA961" w:rsidR="009F6A32" w:rsidRPr="009F6A32" w:rsidRDefault="009F6A32" w:rsidP="009F6A32">
      <w:pPr>
        <w:pStyle w:val="ArtikelBezeichner"/>
        <w:keepLines/>
        <w:numPr>
          <w:ilvl w:val="0"/>
          <w:numId w:val="0"/>
        </w:numPr>
        <w:rPr>
          <w:color w:val="000000" w:themeColor="text1"/>
        </w:rPr>
      </w:pPr>
      <w:r>
        <w:t>Άρθρο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κανονισμού για τα τυριά</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Ο κανονισμός για τα τυριά, όπως κοινοποιήθηκε στις 14 Απριλίου 1986 (BGBl. I σ. 412), που τροποποιήθηκε τελευταία με το άρθρο 18 του κανονισμού της 5ης Ιουλίου 2017 (BGBl. I σ. 2272) τροποποιείται ως εξής:</w:t>
      </w:r>
    </w:p>
    <w:p w14:paraId="2DFCFF8A" w14:textId="77777777" w:rsidR="004B1EC2" w:rsidRPr="003579EA" w:rsidRDefault="004B1EC2" w:rsidP="003579EA">
      <w:pPr>
        <w:pStyle w:val="NummerierungStufe1"/>
        <w:numPr>
          <w:ilvl w:val="3"/>
          <w:numId w:val="14"/>
        </w:numPr>
        <w:rPr>
          <w:rStyle w:val="Marker"/>
          <w:color w:val="000000" w:themeColor="text1"/>
        </w:rPr>
      </w:pPr>
      <w:r w:rsidRPr="003579EA">
        <w:rPr>
          <w:rStyle w:val="Marker"/>
          <w:color w:val="000000" w:themeColor="text1"/>
        </w:rPr>
        <w:t>Το άρθρο 14, παρ. 1, εδάφιο 2 καταργούνται.</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Το άρθρο 23 περίοδος 4 καταργείται.</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Στο παράρτημα 1, τμήμα Α, η στήλη 3 για τις ποικιλίες Camembert και Brie διατυπώνεται ως εξής: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«Ωρίμανση μόνο με καλλιέργειες Penicillium camembertii (μύκητας Camembert) και Geotrichum candidum (μύκητας γάλακτος)».</w:t>
      </w:r>
    </w:p>
    <w:p w14:paraId="01AD89E5" w14:textId="0A7BDC52" w:rsidR="009F6A32" w:rsidRPr="009F6A32" w:rsidRDefault="009F6A32" w:rsidP="009F6A32">
      <w:pPr>
        <w:pStyle w:val="ArtikelBezeichner"/>
        <w:keepLines/>
        <w:numPr>
          <w:ilvl w:val="0"/>
          <w:numId w:val="0"/>
        </w:numPr>
        <w:rPr>
          <w:color w:val="000000" w:themeColor="text1"/>
        </w:rPr>
      </w:pPr>
      <w:r>
        <w:lastRenderedPageBreak/>
        <w:t>Άρθρο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κανονισμού για το βούτυρο</w:t>
      </w:r>
    </w:p>
    <w:p w14:paraId="5B08252A" w14:textId="5643C533" w:rsidR="004B1EC2" w:rsidRPr="004B1EC2" w:rsidRDefault="004B1EC2" w:rsidP="009F6A32">
      <w:pPr>
        <w:pStyle w:val="JuristischerAbsatznichtnummeriert"/>
        <w:rPr>
          <w:rStyle w:val="Marker"/>
          <w:color w:val="000000" w:themeColor="text1"/>
        </w:rPr>
      </w:pPr>
      <w:r>
        <w:rPr>
          <w:rStyle w:val="Marker"/>
          <w:color w:val="000000" w:themeColor="text1"/>
        </w:rPr>
        <w:t>Το άρθρο 2 παράγραφος 4 και το άρθρο 5 παράγραφος</w:t>
      </w:r>
      <w:r w:rsidR="003579EA">
        <w:rPr>
          <w:rStyle w:val="Marker"/>
          <w:color w:val="000000" w:themeColor="text1"/>
        </w:rPr>
        <w:t xml:space="preserve"> </w:t>
      </w:r>
      <w:r>
        <w:rPr>
          <w:rStyle w:val="Marker"/>
          <w:color w:val="000000" w:themeColor="text1"/>
        </w:rPr>
        <w:t xml:space="preserve">5 του κανονισμού για το βούτυρο της 3ης Φεβρουαρίου 1997 (BGBl. I σ. 144), που τροποποιήθηκε τελευταία με το άρθρο 19 του κανονισμού της 5ης Ιουλίου 2017 (BGBl. I σ. 2272), καταργούνται. </w:t>
      </w:r>
    </w:p>
    <w:p w14:paraId="57E2B04B" w14:textId="7846327C" w:rsidR="009F6A32" w:rsidRPr="009F6A32" w:rsidRDefault="009F6A32" w:rsidP="009F6A32">
      <w:pPr>
        <w:pStyle w:val="ArtikelBezeichner"/>
        <w:keepLines/>
        <w:numPr>
          <w:ilvl w:val="0"/>
          <w:numId w:val="0"/>
        </w:numPr>
        <w:rPr>
          <w:color w:val="000000" w:themeColor="text1"/>
        </w:rPr>
      </w:pPr>
      <w:r>
        <w:t>Άρθρο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διατάγματος για την εφαρμογή του προσωρινού νόμου για την μπίρα</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Στο άρθρο 17 παράγραφος 1 εδάφιο 2 του διατάγματος για την εφαρμογή του προσωρινού νόμου για την μπίρα, όπως κοινοποιήθηκε στις 29 Ιουλίου 1993 (BGBl. I σ. 1422), που τροποποιήθηκε τελευταία με το άρθρο 2 του κανονισμού της 8ης Δεκεμβρίου 2000 (BGBl. I σελ. 1686) οι λέξεις «κανονισμός έγκρισης προσθέτων» αντικαθίστανται από τις λέξεις «εκτελεστικός κανονισμός περί προσθέτων τροφίμων».</w:t>
      </w:r>
    </w:p>
    <w:p w14:paraId="3BE8885B" w14:textId="4B5C7D0D" w:rsidR="009F6A32" w:rsidRPr="009F6A32" w:rsidRDefault="009F6A32" w:rsidP="009F6A32">
      <w:pPr>
        <w:pStyle w:val="ArtikelBezeichner"/>
        <w:keepLines/>
        <w:numPr>
          <w:ilvl w:val="0"/>
          <w:numId w:val="0"/>
        </w:numPr>
        <w:rPr>
          <w:color w:val="000000" w:themeColor="text1"/>
        </w:rPr>
      </w:pPr>
      <w:r>
        <w:t>Άρθρο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Τροποποίηση του κανονισμού για συγκεκριμένα αλκοολούχα ποτά</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Στο άρθρο 10 παράγραφοι 6 του κανονισμού για συγκεκριμένα αλκοολούχα ποτά όπως κοινοποιήθηκε στις 30 Ιουνίου 2003 (BGBl. I σ. 1255), που τροποποιήθηκε τελευταία με το άρθρο 15 του κανονισμού της 5ης Ιουλίου 2017 (BGBl. I σελ. 2272) οι λέξεις «κανονισμός έγκρισης προσθέτων» αντικαθίστανται από τις λέξεις «εκτελεστικός κανονισμός περί προσθέτων τροφίμων».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Άρθρο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Έναρξη ισχύος, θέση εκτός ισχύος</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Ο παρών κανονισμός τίθεται σε ισχύ την ημέρα που έπεται της δημοσίευσής του. Ταυτοχρόνως τίθενται εκτός ισχύος ο κανονισμός έγκρισης προσθέτων όπως κοινοποιήθηκε στις 29 Ιανουαρίου 1998 (BGBl. I σ. 130), που τροποποιήθηκε τελευταία με το άρθρο 23 του κανονισμού της 5ης Ιουλίου 2017 (BGBl. I σ. 2272) καθώς και ο κανονισμός για την κυκλοφορία των προσθέτων της 29ης Ιανουαρίου 1998 (BGBl. I σ. 230, 269), όπως τροποποιήθηκε τελευταία με το άρθρο 2 του κανονισμού της 28ης Μαρτίου 2011 (BGBl. I σ. 530).</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Με την έγκριση του Ομοσπονδιακού Συμβουλίου.</w:t>
      </w:r>
    </w:p>
    <w:p w14:paraId="7457C3CD" w14:textId="77777777" w:rsidR="004B1EC2" w:rsidRPr="004B1EC2" w:rsidRDefault="004B1EC2" w:rsidP="009F6A32">
      <w:pPr>
        <w:pStyle w:val="OrtDatum"/>
        <w:jc w:val="left"/>
        <w:rPr>
          <w:color w:val="000000" w:themeColor="text1"/>
        </w:rPr>
      </w:pPr>
      <w:r>
        <w:rPr>
          <w:color w:val="000000" w:themeColor="text1"/>
        </w:rPr>
        <w:t>Βόννη, …………</w:t>
      </w:r>
    </w:p>
    <w:p w14:paraId="65FF8508" w14:textId="77777777" w:rsidR="004B1EC2" w:rsidRPr="004B1EC2" w:rsidRDefault="004B1EC2" w:rsidP="009F6A32">
      <w:pPr>
        <w:pStyle w:val="Organisation"/>
        <w:keepNext/>
        <w:keepLines/>
        <w:rPr>
          <w:color w:val="000000" w:themeColor="text1"/>
        </w:rPr>
      </w:pPr>
      <w:r>
        <w:rPr>
          <w:color w:val="000000" w:themeColor="text1"/>
        </w:rPr>
        <w:t>Η Ομοσπονδιακή Υπουργός Τροφίμων και Γεωργίας</w:t>
      </w:r>
    </w:p>
    <w:p w14:paraId="169F83F6" w14:textId="77777777" w:rsidR="004B1EC2" w:rsidRPr="004B1EC2" w:rsidRDefault="004B1EC2" w:rsidP="009F6A32">
      <w:pPr>
        <w:pStyle w:val="Person"/>
        <w:rPr>
          <w:color w:val="000000" w:themeColor="text1"/>
        </w:rPr>
      </w:pPr>
      <w:r>
        <w:rPr>
          <w:color w:val="000000" w:themeColor="text1"/>
        </w:rPr>
        <w:t>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501D4" w14:textId="77777777" w:rsidR="00A55339" w:rsidRDefault="00A55339" w:rsidP="004B1EC2">
      <w:pPr>
        <w:spacing w:after="0" w:line="240" w:lineRule="auto"/>
      </w:pPr>
      <w:r>
        <w:separator/>
      </w:r>
    </w:p>
  </w:endnote>
  <w:endnote w:type="continuationSeparator" w:id="0">
    <w:p w14:paraId="2E09F577" w14:textId="77777777" w:rsidR="00A55339" w:rsidRDefault="00A55339"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9D2C0" w14:textId="77777777" w:rsidR="00A55339" w:rsidRDefault="00A55339" w:rsidP="004B1EC2">
      <w:pPr>
        <w:spacing w:after="0" w:line="240" w:lineRule="auto"/>
      </w:pPr>
      <w:r>
        <w:separator/>
      </w:r>
    </w:p>
  </w:footnote>
  <w:footnote w:type="continuationSeparator" w:id="0">
    <w:p w14:paraId="72DE0D5E" w14:textId="77777777" w:rsidR="00A55339" w:rsidRDefault="00A55339" w:rsidP="004B1EC2">
      <w:pPr>
        <w:spacing w:after="0" w:line="240" w:lineRule="auto"/>
      </w:pPr>
      <w:r>
        <w:continuationSeparator/>
      </w:r>
    </w:p>
  </w:footnote>
  <w:footnote w:id="1">
    <w:p w14:paraId="724C6D1D" w14:textId="77777777" w:rsidR="004B1EC2" w:rsidRPr="00D671AA" w:rsidRDefault="004B1EC2" w:rsidP="004B1EC2">
      <w:pPr>
        <w:pStyle w:val="FootnoteText"/>
      </w:pPr>
      <w:r>
        <w:rPr>
          <w:rStyle w:val="FootnoteReference"/>
        </w:rPr>
        <w:footnoteRef/>
      </w:r>
      <w:r>
        <w:t>)</w:t>
      </w:r>
      <w:r>
        <w:tab/>
        <w:t>Τηρήθηκαν οι υποχρεώσεις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427F" w14:textId="77777777" w:rsidR="004B1EC2" w:rsidRDefault="00A55339">
    <w:pPr>
      <w:pStyle w:val="Header"/>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745" w14:textId="77777777" w:rsidR="004B1EC2" w:rsidRDefault="00A55339">
    <w:pPr>
      <w:pStyle w:val="Header"/>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F64D" w14:textId="77777777" w:rsidR="004B1EC2" w:rsidRDefault="00A55339">
    <w:pPr>
      <w:pStyle w:val="Header"/>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672C6C76"/>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mc:AlternateContent>
        <mc:Choice Requires="w14">
          <w:numFmt w:val="custom" w:format="α, β, γ, ..."/>
        </mc:Choice>
        <mc:Fallback>
          <w:numFmt w:val="decimal"/>
        </mc:Fallback>
      </mc:AlternateContent>
      <w:pStyle w:val="NummerierungStufe2"/>
      <w:lvlText w:val="%5)"/>
      <w:lvlJc w:val="left"/>
      <w:pPr>
        <w:tabs>
          <w:tab w:val="num" w:pos="1135"/>
        </w:tabs>
        <w:ind w:left="1135" w:hanging="425"/>
      </w:pPr>
      <w:rPr>
        <w:rFonts w:hint="default"/>
        <w:b w:val="0"/>
        <w:strike w:val="0"/>
      </w:r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5810F246"/>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0F3AD3"/>
    <w:rsid w:val="00161369"/>
    <w:rsid w:val="00233D4F"/>
    <w:rsid w:val="003579EA"/>
    <w:rsid w:val="003E6AA6"/>
    <w:rsid w:val="003E792C"/>
    <w:rsid w:val="00477483"/>
    <w:rsid w:val="004B1EC2"/>
    <w:rsid w:val="004F0295"/>
    <w:rsid w:val="00517864"/>
    <w:rsid w:val="00680806"/>
    <w:rsid w:val="006C68D8"/>
    <w:rsid w:val="006D4BDD"/>
    <w:rsid w:val="007C68A5"/>
    <w:rsid w:val="008A0FC8"/>
    <w:rsid w:val="00952519"/>
    <w:rsid w:val="0095346F"/>
    <w:rsid w:val="009F6A32"/>
    <w:rsid w:val="00A55339"/>
    <w:rsid w:val="00C028F7"/>
    <w:rsid w:val="00F042EA"/>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4B1EC2"/>
    <w:rPr>
      <w:rFonts w:ascii="Arial" w:hAnsi="Arial" w:cs="Arial"/>
      <w:sz w:val="18"/>
      <w:szCs w:val="20"/>
    </w:rPr>
  </w:style>
  <w:style w:type="character" w:styleId="FootnoteReference">
    <w:name w:val="footnote reference"/>
    <w:basedOn w:val="DefaultParagraphFont"/>
    <w:uiPriority w:val="99"/>
    <w:semiHidden/>
    <w:unhideWhenUsed/>
    <w:rsid w:val="004B1EC2"/>
    <w:rPr>
      <w:shd w:val="clear" w:color="auto" w:fill="auto"/>
      <w:vertAlign w:val="superscript"/>
    </w:rPr>
  </w:style>
  <w:style w:type="character" w:customStyle="1" w:styleId="Marker">
    <w:name w:val="Marker"/>
    <w:basedOn w:val="DefaultParagraphFont"/>
    <w:rsid w:val="004B1EC2"/>
    <w:rPr>
      <w:color w:val="0000FF"/>
      <w:shd w:val="clear" w:color="auto" w:fill="auto"/>
    </w:rPr>
  </w:style>
  <w:style w:type="paragraph" w:customStyle="1" w:styleId="NummerierungStufe1">
    <w:name w:val="Nummerierung (Stufe 1)"/>
    <w:basedOn w:val="Normal"/>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Normal"/>
    <w:rsid w:val="004B1EC2"/>
    <w:pPr>
      <w:numPr>
        <w:ilvl w:val="4"/>
        <w:numId w:val="5"/>
      </w:numPr>
      <w:spacing w:before="120" w:after="120" w:line="240" w:lineRule="auto"/>
      <w:jc w:val="both"/>
    </w:pPr>
    <w:rPr>
      <w:rFonts w:ascii="Arial" w:hAnsi="Arial" w:cs="Arial"/>
    </w:rPr>
  </w:style>
  <w:style w:type="paragraph" w:customStyle="1" w:styleId="NummerierungStufe3">
    <w:name w:val="Nummerierung (Stufe 3)"/>
    <w:basedOn w:val="Normal"/>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Normal"/>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Normal"/>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Normal"/>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Normal"/>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Normal"/>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Normal"/>
    <w:rsid w:val="004B1EC2"/>
    <w:pPr>
      <w:numPr>
        <w:ilvl w:val="2"/>
        <w:numId w:val="5"/>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Normal"/>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Normal"/>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Normal"/>
    <w:next w:val="OrtDatum"/>
    <w:rsid w:val="004B1EC2"/>
    <w:pPr>
      <w:spacing w:before="240" w:after="120" w:line="240" w:lineRule="auto"/>
    </w:pPr>
    <w:rPr>
      <w:rFonts w:ascii="Arial" w:hAnsi="Arial" w:cs="Arial"/>
    </w:rPr>
  </w:style>
  <w:style w:type="paragraph" w:customStyle="1" w:styleId="Dokumentstatus">
    <w:name w:val="Dokumentstatus"/>
    <w:basedOn w:val="Normal"/>
    <w:rsid w:val="004B1EC2"/>
    <w:pPr>
      <w:spacing w:before="120" w:after="120" w:line="240" w:lineRule="auto"/>
      <w:jc w:val="both"/>
    </w:pPr>
    <w:rPr>
      <w:rFonts w:ascii="Arial" w:hAnsi="Arial" w:cs="Arial"/>
      <w:b/>
      <w:sz w:val="30"/>
    </w:rPr>
  </w:style>
  <w:style w:type="paragraph" w:customStyle="1" w:styleId="Organisation">
    <w:name w:val="Organisation"/>
    <w:basedOn w:val="Normal"/>
    <w:next w:val="Person"/>
    <w:rsid w:val="004B1EC2"/>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4B1EC2"/>
    <w:pPr>
      <w:spacing w:before="120" w:after="120" w:line="240" w:lineRule="auto"/>
      <w:jc w:val="right"/>
    </w:pPr>
    <w:rPr>
      <w:rFonts w:ascii="Arial" w:hAnsi="Arial" w:cs="Arial"/>
    </w:rPr>
  </w:style>
  <w:style w:type="paragraph" w:customStyle="1" w:styleId="Person">
    <w:name w:val="Person"/>
    <w:basedOn w:val="Normal"/>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4B1EC2"/>
    <w:p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Normal"/>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4B1EC2"/>
    <w:rPr>
      <w:color w:val="800000"/>
      <w:shd w:val="clear" w:color="auto" w:fill="auto"/>
    </w:rPr>
  </w:style>
  <w:style w:type="paragraph" w:customStyle="1" w:styleId="RevisionParagraphBezeichner">
    <w:name w:val="Revision Paragraph Bezeichner"/>
    <w:basedOn w:val="Normal"/>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Normal"/>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Normal"/>
    <w:next w:val="Normal"/>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Normal"/>
    <w:next w:val="Normal"/>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Normal"/>
    <w:next w:val="Normal"/>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Normal"/>
    <w:next w:val="Normal"/>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4B1EC2"/>
    <w:pPr>
      <w:spacing w:before="120" w:after="120" w:line="240" w:lineRule="auto"/>
      <w:ind w:firstLine="425"/>
      <w:jc w:val="both"/>
    </w:pPr>
    <w:rPr>
      <w:rFonts w:ascii="Arial" w:hAnsi="Arial" w:cs="Arial"/>
    </w:rPr>
  </w:style>
  <w:style w:type="paragraph" w:customStyle="1" w:styleId="ArtikelBezeichner">
    <w:name w:val="Artikel Bezeichner"/>
    <w:basedOn w:val="Normal"/>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Normal"/>
    <w:next w:val="JuristischerAbsatznummeriert"/>
    <w:rsid w:val="004B1EC2"/>
    <w:pPr>
      <w:keepNext/>
      <w:spacing w:before="120" w:after="240" w:line="240" w:lineRule="auto"/>
      <w:jc w:val="center"/>
      <w:outlineLvl w:val="1"/>
    </w:pPr>
    <w:rPr>
      <w:rFonts w:ascii="Arial" w:hAnsi="Arial" w:cs="Arial"/>
      <w:b/>
      <w:sz w:val="28"/>
    </w:rPr>
  </w:style>
  <w:style w:type="paragraph" w:styleId="Header">
    <w:name w:val="header"/>
    <w:basedOn w:val="Normal"/>
    <w:link w:val="HeaderChar"/>
    <w:uiPriority w:val="99"/>
    <w:unhideWhenUsed/>
    <w:rsid w:val="004B1E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C2"/>
  </w:style>
  <w:style w:type="paragraph" w:styleId="Footer">
    <w:name w:val="footer"/>
    <w:basedOn w:val="Normal"/>
    <w:link w:val="FooterChar"/>
    <w:uiPriority w:val="99"/>
    <w:unhideWhenUsed/>
    <w:rsid w:val="004B1E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C2"/>
  </w:style>
  <w:style w:type="character" w:styleId="CommentReference">
    <w:name w:val="annotation reference"/>
    <w:basedOn w:val="DefaultParagraphFont"/>
    <w:uiPriority w:val="99"/>
    <w:semiHidden/>
    <w:unhideWhenUsed/>
    <w:rsid w:val="006C68D8"/>
    <w:rPr>
      <w:sz w:val="16"/>
      <w:szCs w:val="16"/>
    </w:rPr>
  </w:style>
  <w:style w:type="paragraph" w:styleId="CommentText">
    <w:name w:val="annotation text"/>
    <w:basedOn w:val="Normal"/>
    <w:link w:val="CommentTextChar"/>
    <w:uiPriority w:val="99"/>
    <w:semiHidden/>
    <w:unhideWhenUsed/>
    <w:rsid w:val="006C68D8"/>
    <w:pPr>
      <w:spacing w:line="240" w:lineRule="auto"/>
    </w:pPr>
    <w:rPr>
      <w:sz w:val="20"/>
      <w:szCs w:val="20"/>
    </w:rPr>
  </w:style>
  <w:style w:type="character" w:customStyle="1" w:styleId="CommentTextChar">
    <w:name w:val="Comment Text Char"/>
    <w:basedOn w:val="DefaultParagraphFont"/>
    <w:link w:val="CommentText"/>
    <w:uiPriority w:val="99"/>
    <w:semiHidden/>
    <w:rsid w:val="006C68D8"/>
    <w:rPr>
      <w:sz w:val="20"/>
      <w:szCs w:val="20"/>
    </w:rPr>
  </w:style>
  <w:style w:type="paragraph" w:styleId="CommentSubject">
    <w:name w:val="annotation subject"/>
    <w:basedOn w:val="CommentText"/>
    <w:next w:val="CommentText"/>
    <w:link w:val="CommentSubjectChar"/>
    <w:uiPriority w:val="99"/>
    <w:semiHidden/>
    <w:unhideWhenUsed/>
    <w:rsid w:val="006C68D8"/>
    <w:rPr>
      <w:b/>
      <w:bCs/>
    </w:rPr>
  </w:style>
  <w:style w:type="character" w:customStyle="1" w:styleId="CommentSubjectChar">
    <w:name w:val="Comment Subject Char"/>
    <w:basedOn w:val="CommentTextChar"/>
    <w:link w:val="CommentSubject"/>
    <w:uiPriority w:val="99"/>
    <w:semiHidden/>
    <w:rsid w:val="006C68D8"/>
    <w:rPr>
      <w:b/>
      <w:bCs/>
      <w:sz w:val="20"/>
      <w:szCs w:val="20"/>
    </w:rPr>
  </w:style>
  <w:style w:type="paragraph" w:styleId="BalloonText">
    <w:name w:val="Balloon Text"/>
    <w:basedOn w:val="Normal"/>
    <w:link w:val="BalloonTextChar"/>
    <w:uiPriority w:val="99"/>
    <w:semiHidden/>
    <w:unhideWhenUsed/>
    <w:rsid w:val="006C6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3033</Words>
  <Characters>17289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8</cp:revision>
  <dcterms:created xsi:type="dcterms:W3CDTF">2020-11-17T09:54:00Z</dcterms:created>
  <dcterms:modified xsi:type="dcterms:W3CDTF">2020-12-01T08:30:00Z</dcterms:modified>
</cp:coreProperties>
</file>