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Decreto relativo à restruturação de disposições da legislação alimentar relativas aos aditivos alimentares</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Feito em 2 de junho de 2021</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O Ministério Federal da Alimentação e da Agricultura decreta, com base: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no artigo 4.º, n.º 2, ponto 2, e n.º 3, ponto 2, no artigo 7.º, n.º 1, ponto 1, e n.º 2, ponto 1, no artigo 13.º, n.º 1, pontos 2, 5 e 6, n.º 3, primeiro período, ponto 1, e n.º 4, ponto 1, alínea a), no artigo 34.º, primeiro período, pontos 3 e 5, e no artigo 35.º, ponto 1, alínea b), subalínea aa), do Código dos Géneros Alimentícios e dos Alimentos para Animais, na redação da publicação de 3 de junho de 2013 (DO Federal I p. 1426), com a redação que foi dada ao artigo 4.º, n.º 3, ao artigo 7.º, n.os 1 e 2, ao artigo 13.º, n.os 1 e 4, ao artigo 34.º, primeiro período, e ao artigo 35.º pelo artigo 67.º do Decreto de 31 de agosto de 2015 (DO Federal I p. 1474), de comum acordo com o Ministério Federal da Economia e da Energia, </w:t>
      </w:r>
    </w:p>
    <w:p w14:paraId="5BCAB890" w14:textId="77777777"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do Artigo 13(1)(5) e (6) e Parágrafo 3 Cláusula 1 Número 1 e Artigo 62(1)(1) e (2a), também em conjugação com o artigo 4(2) do Código dos Géneros Alimentícios e dos Alimentos para Animais na versão publicada em 3 de junho de 2013 (Jornal Oficial Federal I p. 1426), do qual o artigo 13(1) foi alterado pelo Artigo 67 do Decreto de 31 de agosto de 2015 (Jornal Oficial Federal I p. 1474) e Artigo  62(1) foi alterado pelo Artigo 10 da Lei de 27 de agosto de 2017 (Jornal Oficial Federal I p. 1966)</w:t>
      </w:r>
      <w:r>
        <w:rPr>
          <w:color w:val="000000" w:themeColor="text1"/>
        </w:rPr>
        <w:t xml:space="preserve"> </w:t>
      </w:r>
      <w:r>
        <w:rPr>
          <w:rStyle w:val="Marker"/>
          <w:color w:val="000000" w:themeColor="text1"/>
        </w:rPr>
        <w:t>foi alterado, e</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no artigo 3.º, n.º 1, primeiro período, da Lei relativa ao leite e à margarina, de 25 de julho de 1990 (DO Federal I p. 1471), com a última redação que lhe foi dada pelo artigo 2.º, ponto 2, da Lei de 18 de janeiro de 2019 (DO Federal I p. 33), de comum acordo com o Ministério Federal da Economia e da Energia:</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Artigo 1.º</w:t>
      </w:r>
    </w:p>
    <w:p w14:paraId="42069C2C" w14:textId="77777777" w:rsidR="005920A4" w:rsidRPr="0016085B" w:rsidRDefault="00B854DA" w:rsidP="004875F2">
      <w:pPr>
        <w:pStyle w:val="BezeichnungStammdokument"/>
        <w:rPr>
          <w:color w:val="000000" w:themeColor="text1"/>
        </w:rPr>
      </w:pPr>
      <w:r>
        <w:rPr>
          <w:rStyle w:val="Marker"/>
          <w:color w:val="000000" w:themeColor="text1"/>
        </w:rPr>
        <w:t>Decreto para a execução de disposições do direito da União relativas a aditivos alimentares</w:t>
      </w:r>
    </w:p>
    <w:p w14:paraId="12A21CED" w14:textId="77777777" w:rsidR="005920A4" w:rsidRPr="005E035C" w:rsidRDefault="005920A4" w:rsidP="004875F2">
      <w:pPr>
        <w:pStyle w:val="Kurzbezeichnung-AbkrzungStammdokument"/>
        <w:rPr>
          <w:color w:val="000000" w:themeColor="text1"/>
        </w:rPr>
      </w:pPr>
      <w:r>
        <w:rPr>
          <w:color w:val="000000" w:themeColor="text1"/>
        </w:rPr>
        <w:t>(</w:t>
      </w:r>
      <w:r>
        <w:rPr>
          <w:rStyle w:val="Marker"/>
          <w:color w:val="000000" w:themeColor="text1"/>
        </w:rPr>
        <w:t>Decreto de Implementação de Aditivos Alimentares)</w:t>
      </w:r>
      <w:r>
        <w:rPr>
          <w:color w:val="000000" w:themeColor="text1"/>
        </w:rPr>
        <w:t xml:space="preserve"> – </w:t>
      </w:r>
      <w:r>
        <w:rPr>
          <w:rStyle w:val="Marker"/>
          <w:color w:val="000000" w:themeColor="text1"/>
        </w:rPr>
        <w:t>de: Lebensmittelzusatzstoff-Durchführungsverordnung, LMZDV</w:t>
      </w:r>
      <w:r>
        <w:rPr>
          <w:color w:val="000000" w:themeColor="text1"/>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Âmbito de aplicação</w:t>
      </w:r>
    </w:p>
    <w:p w14:paraId="2BF9E65D" w14:textId="72F02A12" w:rsidR="00B924E5" w:rsidRPr="0016085B" w:rsidRDefault="00C22E02" w:rsidP="00F53A7F">
      <w:pPr>
        <w:pStyle w:val="JuristischerAbsatznichtnummeriert"/>
        <w:rPr>
          <w:color w:val="000000" w:themeColor="text1"/>
        </w:rPr>
      </w:pPr>
      <w:r>
        <w:rPr>
          <w:color w:val="000000" w:themeColor="text1"/>
        </w:rPr>
        <w:t>(</w:t>
      </w:r>
      <w:r w:rsidR="00B924E5">
        <w:rPr>
          <w:color w:val="000000" w:themeColor="text1"/>
        </w:rPr>
        <w:t>1</w:t>
      </w:r>
      <w:r>
        <w:rPr>
          <w:color w:val="000000" w:themeColor="text1"/>
        </w:rPr>
        <w:t>)</w:t>
      </w:r>
      <w:r w:rsidR="00B924E5">
        <w:rPr>
          <w:color w:val="000000" w:themeColor="text1"/>
        </w:rPr>
        <w:t xml:space="preserve"> O presente decreto é aplicável complementarmente:</w:t>
      </w:r>
    </w:p>
    <w:p w14:paraId="2D075467" w14:textId="011736E1" w:rsidR="00B924E5" w:rsidRPr="0016085B" w:rsidRDefault="00F53A7F" w:rsidP="00D140BA">
      <w:pPr>
        <w:pStyle w:val="NummerierungStufe1"/>
        <w:rPr>
          <w:color w:val="000000" w:themeColor="text1"/>
        </w:rPr>
      </w:pPr>
      <w:r>
        <w:rPr>
          <w:color w:val="000000" w:themeColor="text1"/>
        </w:rPr>
        <w:t xml:space="preserve">às regulamentações do Regulamento (CE) n.º 1333/2008 do Parlamento Europeu e do Conselho, de 16 de dezembro de 2008, relativo aos aditivos alimentares (JO L 354 de 31.12.2008, p. 16; L 105 de 27.4.2010, p. 114; L 322 de 21.11.2012, p. 8; L 123 de 19.5.2015, p. 122), com a última redação que lhe foi dada pelo Regulamento (UE) </w:t>
      </w:r>
      <w:r>
        <w:rPr>
          <w:color w:val="000000" w:themeColor="text1"/>
        </w:rPr>
        <w:lastRenderedPageBreak/>
        <w:t>2020/1819 (JO L 406 de 3.12.2020, p. 26), e da legislação da União Europeia nele baseados, no que diz respeito:</w:t>
      </w:r>
    </w:p>
    <w:p w14:paraId="0D3DCC5C" w14:textId="24CB2113" w:rsidR="00B924E5" w:rsidRPr="0016085B" w:rsidRDefault="00B924E5" w:rsidP="00D140BA">
      <w:pPr>
        <w:pStyle w:val="NummerierungStufe2"/>
        <w:rPr>
          <w:color w:val="000000" w:themeColor="text1"/>
        </w:rPr>
      </w:pPr>
      <w:r>
        <w:rPr>
          <w:color w:val="000000" w:themeColor="text1"/>
        </w:rPr>
        <w:t>à utilização de aditivos alimentares conforme definido no Artigo 3.º, n.º 2, alínea a), em conjugação com o Artigo 2.º, n.º 2, da Regulamentação (CE) n.º 1333/2008, na respetiva redação em vigor; a colocação no mercado e a rotulagem de aditivos alimentares e alimentos que contenham aditivos alimentares;</w:t>
      </w:r>
    </w:p>
    <w:p w14:paraId="16D5B034" w14:textId="77777777" w:rsidR="00B924E5" w:rsidRPr="0016085B" w:rsidRDefault="00B924E5" w:rsidP="00D140BA">
      <w:pPr>
        <w:pStyle w:val="NummerierungStufe2"/>
        <w:rPr>
          <w:color w:val="000000" w:themeColor="text1"/>
        </w:rPr>
      </w:pPr>
      <w:r>
        <w:rPr>
          <w:color w:val="000000" w:themeColor="text1"/>
        </w:rPr>
        <w:t xml:space="preserve">à colocação no mercado e à rotulagem de aditivos alimentares e géneros alimentícios que contenham aditivos alimentares, bem como </w:t>
      </w:r>
    </w:p>
    <w:p w14:paraId="1ED57902" w14:textId="3857A06E" w:rsidR="00B924E5" w:rsidRPr="0016085B" w:rsidRDefault="00F53A7F" w:rsidP="00D140BA">
      <w:pPr>
        <w:pStyle w:val="NummerierungStufe1"/>
        <w:rPr>
          <w:color w:val="000000" w:themeColor="text1"/>
        </w:rPr>
      </w:pPr>
      <w:r>
        <w:rPr>
          <w:color w:val="000000" w:themeColor="text1"/>
        </w:rPr>
        <w:t>às disposições da Regulamentação (UE) N.º 1169/2011 do Parlamento Europeu e do Conselho, de 25 de outubro de 2011, relativo à prestação de informação aos consumidores sobre os géneros alimentícios, que altera os Regulamentos (CE) n.º 1924/2006 e (CE) n.º 1925/2006 do Parlamento Europeu e do Conselho e revoga as Diretivas 87/250/CEE da Comissão, 90/496/CEE do Conselho, 1999/10/CE da Comissão, 2000/13/CE do Parlamento Europeu e do Conselho, 2002/67/CE e 2008/5/CE da Comissão e o Regulamento (CE) n.º 608/2004 da Comissão (JO L 304 de 22.11.2011, p. 18; L 331 de 18.11.2014, p. 41; L 50 de 21.2.2015, S. 48; L 266 de 30.9.2016, p. 7), com a última redação que lhe foi dada pelo Regulamento (UE) 2015/2283 (JO L 327 de 11.12.2015, p. 1), no que diz respeito à rotulagem de géneros alimentícios pré-embalados na aceção do artigo 2.º, n.º 2, alínea e), do Regulamento (UE) n.º 1169/2011, na respetiva redação em vigor, e géneros alimentícios não pré-embalados, destinados respetivamente ao fornecimento a:</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consumidores finais, na aceção do artigo 3.º, ponto 18, do Regulamento (CE) n.º 178/2002 do Parlamento Europeu e do Conselho, de 28 de janeiro de 2002, que determina os princípios e normas gerais da legislação alimentar, cria a Autoridade Europeia para a Segurança dos Alimentos e estabelece procedimentos em matéria de segurança dos géneros alimentícios (JO L 31 de 1.2.2002, p. 1), com a última redação que lhe foi dada pelo Regulamento (UE) 2019/1381 (JO L 231 de 6.9.2019, p. 1), na respetiva redação em vigor, ou  </w:t>
      </w:r>
    </w:p>
    <w:p w14:paraId="77145726" w14:textId="77777777" w:rsidR="00B924E5" w:rsidRPr="0016085B" w:rsidRDefault="00B924E5" w:rsidP="00B924E5">
      <w:pPr>
        <w:pStyle w:val="JuristischerAbsatznichtnummeriert"/>
        <w:numPr>
          <w:ilvl w:val="4"/>
          <w:numId w:val="2"/>
        </w:numPr>
        <w:rPr>
          <w:color w:val="000000" w:themeColor="text1"/>
        </w:rPr>
      </w:pPr>
      <w:r>
        <w:rPr>
          <w:color w:val="000000" w:themeColor="text1"/>
        </w:rPr>
        <w:t>estabelecimentos de restauração coletiva, na aceção do artigo 2.º, n.º 2, alínea d), do Regulamento (UE) n.º 1169/2011.</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O</w:t>
      </w:r>
      <w:r>
        <w:rPr>
          <w:color w:val="000000" w:themeColor="text1"/>
        </w:rPr>
        <w:t xml:space="preserve"> presente decreto regulamenta a circulação, a conservação e o armazenamento de nitritos, bem como os requisitos aplicáveis à produção de sal nitritado.</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Definições</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color w:val="000000" w:themeColor="text1"/>
        </w:rPr>
        <w:t xml:space="preserve">Na aceção do presente Decreto, por géneros alimentícios </w:t>
      </w:r>
      <w:r>
        <w:rPr>
          <w:rStyle w:val="Marker"/>
          <w:color w:val="000000" w:themeColor="text1"/>
        </w:rPr>
        <w:t>não</w:t>
      </w:r>
      <w:r>
        <w:rPr>
          <w:color w:val="000000" w:themeColor="text1"/>
        </w:rPr>
        <w:t xml:space="preserve"> pré-embalados entende-se géneros alimentícios que: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são oferecidos para venda sem embalagem,</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são embalados no ponto de venda a pedido do consumidor final ou do estabelecimento de restauração coletiva; ou</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são pré-embalados para venda imediata.</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Cerveja</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Na produção de cerveja colocada no mercado com a designação «Cerveja alemã tradicional» (nach dem deutschen Reinheitsgebot gebraut), ou com menções equivalentes, só podem ser utilizados como aditivos alimentares:</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t>dióxido de carbono capturado durante a produção de cerveja; ou</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t xml:space="preserve">dióxido de carbono e azoto; se: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 xml:space="preserve">não passarem para a cerveja, salvo em quantidades tecnicamente inevitáveis e </w:t>
      </w:r>
    </w:p>
    <w:p w14:paraId="39391909" w14:textId="77777777" w:rsidR="00F50831" w:rsidRPr="0016085B" w:rsidRDefault="002D51E9" w:rsidP="004875F2">
      <w:pPr>
        <w:pStyle w:val="NummerierungStufe2"/>
        <w:rPr>
          <w:color w:val="000000" w:themeColor="text1"/>
        </w:rPr>
      </w:pPr>
      <w:r>
        <w:rPr>
          <w:rStyle w:val="Marker"/>
          <w:color w:val="000000" w:themeColor="text1"/>
        </w:rPr>
        <w:t>a utilização não aumentar o teor de ácido carbónico da cerveja.</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Nitritos e sal nitritado</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Os nitritos não podem ser fornecidos a estabelecimentos de produção de géneros alimentícios, nem ser conservados ou armazenados em tais estabelecimentos. A proibição em causa não se aplica ao fornecimento de nitrito de sódio e potássio a estabelecimentos que produzam misturas de nitrito de sódio ou potássio com sal de cozinha, sal de cozinha iodado ou sucedâneo de sal de cozinha (sal nitritado).</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Qualquer pessoa que pretenda produzir sal nitritado carece da aprovação da autoridade competente. A aprovação só pode ser concedida se o requerente:</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for fiável; e</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dispuser dos equipamentos e dos recursos necessários para a correta produção de sal nitritado.</w:t>
      </w: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O sal nitritado só pode ser produzido em espaços exclusivamente destinados a esse fim.</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Rotulagem</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Os géneros alimentícios não pré-embalados nos termos do artigo 2.º, ponto 3, que não sejam oferecidos para self-service e os géneros alimentícios não pré-embalados nos termos do artigo 2.º, pontos 1 e 2, só podem colocados no mercado pelos responsáveis nos termos do artigo 8.º, n.º 1, ou n.º 4, segundo período, da Regulamentação (UE) n.º 1169/2011, com o objetivo de fornecimento a consumidores finais ou estabelecimentos de restauração coletiva, ou ser fornecidos pelos responsáveis nos termos do artigo 8.º, n.º 3, da Regulamentação (UE) n.º 1169/2011, se os aditivos alimentares utilizados na sua produção forem rotulados com as seguintes menções da forma designada de acordo com o n.º 2:</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Com a menção «com corantes», no caso de géneros alimentícios com corantes;</w:t>
      </w:r>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t>Com a menção «com conservantes» ou «em conserva», no caso de géneros alimentícios com aditivos alimentares que sejam utilizados para a conservação;</w:t>
      </w:r>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lastRenderedPageBreak/>
        <w:t>Com a menção «com antioxidantes», no caso de géneros alimentícios com aditivos alimentares que sejam utilizados como antioxidantes;</w:t>
      </w:r>
    </w:p>
    <w:p w14:paraId="2D784925" w14:textId="77777777" w:rsidR="00B30A63" w:rsidRPr="0016085B" w:rsidRDefault="00B30A63" w:rsidP="00B30A63">
      <w:pPr>
        <w:pStyle w:val="NummerierungStufe1"/>
        <w:rPr>
          <w:color w:val="000000" w:themeColor="text1"/>
        </w:rPr>
      </w:pPr>
      <w:r>
        <w:rPr>
          <w:rStyle w:val="Marker"/>
          <w:color w:val="000000" w:themeColor="text1"/>
        </w:rPr>
        <w:t>No caso de géneros alimentícios que contenham nitratos ou sal nitritado, as menções nos termos dos pontos 2 e 3 podem ser substituídas pelas seguintes menções:</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 xml:space="preserve">Pela menção «com sal nitritado», para géneros alimentícios com sal nitritado,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Pela menção «com nitratos», para géneros alimentícios com nitrato de sódio ou potássio, também em misturas, e</w:t>
      </w:r>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t>Pela menção «com sal nitritado e nitratos», para géneros alimentícios com sal nitritado e nitrato de sódio ou potássio, respetivamente também em misturas;</w:t>
      </w:r>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t>Com a menção «com intensificadores de sabor», no caso de géneros alimentícios com aditivos alimentares que sejam utilizados como intensificadores de sabor;</w:t>
      </w:r>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t>Com a menção «escurecidas», no caso de azeitonas com gluconato ferroso (E 579) ou lactato ferroso (E 585);</w:t>
      </w:r>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Com a menção «encerados», no caso de frutas e produtos hortícolas frescos com aditivos alimentares dos números E 445, E 471, E 473, E 474, E 901 a E 905, e E 914, que sejam utilizados para o tratamento da superfície;</w:t>
      </w:r>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Com a menção «com fosfatos», no caso de produtos à base de carne com aditivos alimentares dos números E 338 a E 341, E 343 e E 450 a E 452;</w:t>
      </w:r>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Com a menção «com edulcorantes», no caso de géneros alimentícios com edulcorantes, salvo edulcorantes de mesa;</w:t>
      </w:r>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Com a menção «à base de...», complementada com a designação do edulcorante utilizado, no caso de edulcorantes de mesa;</w:t>
      </w:r>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Com a menção «contém uma fonte de fenilalanina», no caso de géneros alimentícios com aspartame (E 951) ou sal de aspartame-acessulfame (E 962);</w:t>
      </w:r>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Com a menção</w:t>
      </w:r>
      <w:r>
        <w:rPr>
          <w:color w:val="000000" w:themeColor="text1"/>
        </w:rPr>
        <w:t xml:space="preserve"> </w:t>
      </w:r>
      <w:r>
        <w:rPr>
          <w:rStyle w:val="Marker"/>
          <w:color w:val="000000" w:themeColor="text1"/>
        </w:rPr>
        <w:t>‘o seu consumo excessivo pode ter efeitos laxativos’, no caso de géneros alimentícios com mais de 10% de polióis adicionados dos números E 420, E 421, E 953 e E 965 a E 968.</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As menções nos termos do n.º 1 devem ser disponibilizadas:</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de acordo com o artigo 12.º, n.º 2, do Regulamento (UE) n.º 1169/2011, ou com o artigo 4.º, n.os 3 e 4, do Decreto de execução relativo à informação sobre os géneros alimentícios, de 5 de julho de 2017 (DO Federal I p. 2272)</w:t>
      </w:r>
      <w:r>
        <w:rPr>
          <w:color w:val="000000" w:themeColor="text1"/>
        </w:rPr>
        <w:t xml:space="preserve">, </w:t>
      </w:r>
      <w:r>
        <w:rPr>
          <w:rStyle w:val="Hyperlink"/>
          <w:color w:val="000000" w:themeColor="text1"/>
          <w:u w:val="none"/>
        </w:rPr>
        <w:t>com a última redação que lhe foi dada pelo artigo 1.º do Decreto de 18 de novembro de 2020 (DO Federal I p. 2504),</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sempre que as menções nos termos do artigo 4.º, n.º 2, do Decreto de Execução relativo à Informação sobre os Géneros Alimentícios sejam obrigatórias, da mesma forma e num suporte idêntico, tal como as informações de acordo com o artigo 4.º n.º 2 do Decreto de Execução relativo à Informação sobre os Géneros Alimentícios são disponibilizadas, e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t>no caso de géneros alimentícios não pré-embalados postos à venda mediante uma técnica de comunicação à distância, em conformidade com o artigo 14.º, n.º 1, do Regulamento (UE) n.º 1169/2011.</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lastRenderedPageBreak/>
        <w:t>As menções nos termos do n.º 1, pontos 1 a 8, podem ser suprimidas:</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t xml:space="preserve">no caso de géneros alimentícios com uma lista de ingredientes que corresponda aos requisitos aplicáveis às menções nos termos do artigo 9.º, n.º 1, alínea b), em conjugação com o artigo 18.º do Regulamento (UE) n.º 1169/2011;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no caso de géneros alimentícios em que todos os aditivos alimentares utilizados na produção do género alimentício sejam indicados em conformidade com o anexo VII, parte C, do Regulamento (UE) n.º 1169/2011, com a designação da sua classe, seguida da sua denominação específica ou número E, num cartaz no ponto de venda, numa nota escrita ou em informações eletrónicas disponibilizadas pelo operador da empresa do setor alimentar, que sejam de acesso fácil e direto para o consumidor final; o género alimentício ou um cartaz deve remeter para a nota escrita ou para a informação eletrónica; </w:t>
      </w:r>
    </w:p>
    <w:p w14:paraId="71A4E3D5" w14:textId="25C266E2" w:rsidR="002B44D2" w:rsidRPr="0016085B" w:rsidRDefault="002B44D2" w:rsidP="002B44D2">
      <w:pPr>
        <w:pStyle w:val="NummerierungStufe1"/>
        <w:rPr>
          <w:rStyle w:val="Marker"/>
          <w:color w:val="000000" w:themeColor="text1"/>
        </w:rPr>
      </w:pPr>
      <w:r>
        <w:rPr>
          <w:rStyle w:val="Marker"/>
          <w:color w:val="000000" w:themeColor="text1"/>
        </w:rPr>
        <w:t>ou</w:t>
      </w:r>
      <w:r w:rsidR="00C22E02">
        <w:rPr>
          <w:rStyle w:val="Marker"/>
          <w:color w:val="000000" w:themeColor="text1"/>
        </w:rPr>
        <w:t xml:space="preserve"> </w:t>
      </w:r>
      <w:r>
        <w:rPr>
          <w:rStyle w:val="Marker"/>
          <w:color w:val="000000" w:themeColor="text1"/>
        </w:rPr>
        <w:t>no caso de géneros alimentícios com aditivos alimentares que, de acordo com o artigo 20.º do Regulamento (UE) n.º 1169/2011, não tenham de ser incluídos na lista de ingredientes.</w:t>
      </w:r>
    </w:p>
    <w:p w14:paraId="5DC5577E" w14:textId="77777777" w:rsidR="00DD13A8" w:rsidRPr="0016085B" w:rsidRDefault="006A34E4" w:rsidP="004875F2">
      <w:pPr>
        <w:pStyle w:val="JuristischerAbsatznummeriert"/>
        <w:rPr>
          <w:color w:val="000000" w:themeColor="text1"/>
        </w:rPr>
      </w:pPr>
      <w:r>
        <w:rPr>
          <w:rStyle w:val="Marker"/>
          <w:color w:val="000000" w:themeColor="text1"/>
        </w:rPr>
        <w:t>Os edulcorantes de mesa pré-embalados só podem ser fornecidos a consumidores finais, se:</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t>no caso do artigo 23.º, n.º 2, do Regulamento (CE) n.º 1333/2008, a sua denominação, também em conjugação com o artigo 23.º, n.º 5, contiver as menções aí designadas; e</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t>no caso do artigo 23.º, n.º 3, do Regulamento (CE) n.º 1333/2008, a sua rotulagem, também em conjugação com o artigo 23.º, n.º 5, contiver as menções aí designadas.</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A rotulagem de bebidas pré-embaladas com um teor alcoólico superior a 1,2 % vol. está sujeita à aplicação do n.º 1, pontos 1 a 3, mutatis mutandis, com a ressalva de que devem ser disponibilizadas as menções nos termos do artigo 12.º, n.º 2, da Regulamentação (UE) n.º 1169/2011.</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Para frutas e produtos hortícolas frescos:</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que não sejam oferecidos pré-embalados na aceção do artigo 2.º, ponto 3, e sejam oferecidos para self-service, ou que sejam oferecidos pré-embalados; e</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relativamente aos quais não esteja prescrita uma lista de ingredientes nos termos do artigo 19.º, n.º 1, alínea a), do Regulamento (UE) n.º 1169/2011 e não seja voluntariamente fornecida uma lista de ingredientes,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aplica-se o n.º 1, ponto 7, mutatis mutandis, com a ressalva de que devem ser disponibilizadas as menções nos termos do artigo 12.º, n.º 2, do Regulamento (UE) n.º 1169/2011.</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Infrações</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É punido nos termos do artigo 59.º, n.º 1, ponto 21, alínea a), do Código dos Géneros Alimentícios e dos Alimentos para Animais, quem: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t>fornecer, conservar ou armazenar nitritos em violação do artigo 4.º, n.º 1, primeiro período,</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lastRenderedPageBreak/>
        <w:t>produzir sal nitritado sem uma aprovação nos termos do artigo 4.º, n.º 2, ou</w:t>
      </w:r>
    </w:p>
    <w:p w14:paraId="74629174" w14:textId="77777777" w:rsidR="007635FC" w:rsidRPr="0016085B" w:rsidRDefault="00381CE7" w:rsidP="00C24958">
      <w:pPr>
        <w:pStyle w:val="NummerierungStufe1"/>
        <w:rPr>
          <w:rStyle w:val="Marker"/>
          <w:color w:val="000000" w:themeColor="text1"/>
        </w:rPr>
      </w:pPr>
      <w:r>
        <w:rPr>
          <w:rStyle w:val="Marker"/>
          <w:color w:val="000000" w:themeColor="text1"/>
        </w:rPr>
        <w:t>produzir sal nitritado em violação do artigo 4.º, n.º 2, terceiro período.</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É punido nos termos do artigo 58.º, n.º 3, ponto 2, n.os 4 a 6, do Código dos Géneros Alimentícios e dos Alimentos para Animais, quem, intencionalmente ou por negligência, em violação do artigo 5.º em conjugação com o artigo 4.º, n.º 5, em conjugação com o artigo 14.º, em conjugação com o anexo II, parte A, secção 2, ponto 1, do Regulamento (CE) n.º 1333/2008 do Parlamento Europeu e do Conselho, de 16 de dezembro de 2008, relativo aos aditivos alimentares (JO L 354; 31.12.2008, p. 16; L 105 de 27.4.2010, p. 114; L 322 de 21.11.2012, p. 8; L 138 de 24.5.2013, p. 20; L 123 de 19.5.2015, p. 122; L 214 de 13.8.2015, p. 30; L 165 de 23.6.2016, p. 24; L 282 de 19.10.2016, p. 84; L 82 de 26.3.2018, p. 18; L 60 de 28.2.2019, p. 35), com a última redação que lhe foi dada pelo Regulamento (UE) 2020/771 (JO L 184 de 12.6.2020, p. 25):</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 xml:space="preserve">colocar no mercado um aditivo alimentar que não cumpra as especificações estabelecidas no anexo do Regulamento (UE) n.º 231/2012 da Comissão, de 9 de março de 2012, que estabelece especificações para os aditivos alimentares enumerados nos anexos II e III do Regulamento (CE) n.º 1333/2008 do Parlamento Europeu e do Conselho (JO L 83 de 22.3.2012, p. 1; L 189 de 14.7.2016, p. 59; L 292 de 27.10.2016, p. 50), com a última redação que lhe foi dada pelo Regulamento (UE) 2020/771 (JO L 184 de 12.6.2020, p. 25),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colocar no mercado um género alimentício no qual esteja presente um aditivo alimentar que não cumpra as especificações estabelecidas, que são citadas no anexo do Regulamento (UE) n.º 231/2012; ou</w:t>
      </w:r>
    </w:p>
    <w:p w14:paraId="1168F306" w14:textId="77777777" w:rsidR="007635FC" w:rsidRPr="0016085B" w:rsidRDefault="007635FC" w:rsidP="004C4604">
      <w:pPr>
        <w:pStyle w:val="NummerierungStufe2"/>
        <w:rPr>
          <w:color w:val="000000" w:themeColor="text1"/>
        </w:rPr>
      </w:pPr>
      <w:r>
        <w:rPr>
          <w:rStyle w:val="Marker"/>
          <w:color w:val="000000" w:themeColor="text1"/>
        </w:rPr>
        <w:t xml:space="preserve">em conjugação com a nota do anexo do Regulamento (UE) n.º 231/2012: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 xml:space="preserve">colocar no mercado um aditivo alimentar que tenha sido esterilizado com óxido de etileno, ou </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colocar no mercado um género alimentício que contenha um aditivo alimentar esterilizado com óxido de etileno.</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Contraordenações</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Quem, por negligência, cometer um ato designado no artigo 6.º, n.º 1, comete uma contraordenação nos termos do artigo 60.º, n.º 1, ponto 2, do Código dos Géneros Alimentícios e dos Alimentos para Animais.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Comete uma contraordenação na aceção do artigo 60.º, n.º 2, ponto 26, alínea a), do Código dos Géneros Alimentícios e dos Alimentos para Animais, quem, intencionalmente ou por negligência:</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colocar no mercado ou fornecer um género alimentício em violação do artigo 5.º, n.º 1, pontos 1 a 3, respetivamente também em conjugação com o n.º 5, em violação do artigo 5.º, n.º 1, pontos 4 a 6 ou 7, também em conjugação com o n.º 6, ou em contravenção do artigo 5.º, n.º 1, pontos 8 a 12; ou</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t>fornecer um edulcorante de mesa em violação do artigo 5.º, n.º 4.</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 xml:space="preserve">Comete uma contraordenação na aceção do artigo 60.º, n.º 4, ponto 2, alínea a), do Código dos Géneros Alimentícios e dos Alimentos para Animais, quem infringir o </w:t>
      </w:r>
      <w:r>
        <w:rPr>
          <w:rStyle w:val="Marker"/>
          <w:color w:val="000000" w:themeColor="text1"/>
        </w:rPr>
        <w:lastRenderedPageBreak/>
        <w:t>Regulamento (CE) n.º 1333/2008, colocando no mercado, intencionalmente ou por negligência, um aditivo alimentar em violação do artigo 21.º, n.º 1, primeiro período, em conjugação com o artigo 22.º, n.º 1, 2 ou 3, ou em violação do artigo 23.º, n.º 1.</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Artigo 2.º</w:t>
      </w:r>
    </w:p>
    <w:p w14:paraId="3E319B20" w14:textId="77777777" w:rsidR="00620BBC" w:rsidRPr="0016085B" w:rsidRDefault="00620BBC" w:rsidP="00B52D80">
      <w:pPr>
        <w:pStyle w:val="Artikelberschrift"/>
        <w:rPr>
          <w:color w:val="000000" w:themeColor="text1"/>
        </w:rPr>
      </w:pPr>
      <w:r>
        <w:rPr>
          <w:rStyle w:val="Marker"/>
          <w:color w:val="000000" w:themeColor="text1"/>
        </w:rPr>
        <w:t>Alteração do decreto relativo às dietas</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O Decreto relativo às dietas, na redação da publicação de 28 de abril de 2005 (DO Federal I p. 1161), com a última redação que lhe foi dada pelo artigo 22.º do Decreto de 5 de julho de 2017 (DO Federal I p. 2272), é alterado do seguinte modo:</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O artigo 5.º, n.º 1, deve ler-se da seguinte forma:</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r>
        <w:rPr>
          <w:color w:val="000000" w:themeColor="text1"/>
        </w:rPr>
        <w:t>‘Sob reserva da legislação da Comunidade Europeia ou da União Europeia de aplicação direta, na produção, no fabrico e na preparação de produtos dietéticos, apenas se admite a adição de substâncias de acordo com o presente Decreto.’</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O artigo 6.º é suprimido.</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t>No artigo 25.º, n.º 4, segundo período, a expressão</w:t>
      </w:r>
      <w:r>
        <w:rPr>
          <w:rStyle w:val="RevisionText"/>
          <w:color w:val="000000" w:themeColor="text1"/>
        </w:rPr>
        <w:t>‘artigo 9.º do decreto relativo à autorização de aditivos’</w:t>
      </w:r>
      <w:r>
        <w:rPr>
          <w:color w:val="000000" w:themeColor="text1"/>
        </w:rPr>
        <w:t xml:space="preserve"> </w:t>
      </w:r>
      <w:r>
        <w:rPr>
          <w:rStyle w:val="Marker"/>
          <w:color w:val="000000" w:themeColor="text1"/>
        </w:rPr>
        <w:t xml:space="preserve">é substituída </w:t>
      </w:r>
      <w:r>
        <w:rPr>
          <w:color w:val="000000" w:themeColor="text1"/>
        </w:rPr>
        <w:t xml:space="preserve"> </w:t>
      </w:r>
      <w:r>
        <w:rPr>
          <w:rStyle w:val="RevisionText"/>
          <w:color w:val="000000" w:themeColor="text1"/>
        </w:rPr>
        <w:t>pela expressão</w:t>
      </w:r>
      <w:r>
        <w:rPr>
          <w:color w:val="000000" w:themeColor="text1"/>
        </w:rPr>
        <w:t xml:space="preserve"> </w:t>
      </w:r>
      <w:r>
        <w:rPr>
          <w:rStyle w:val="Marker"/>
          <w:color w:val="000000" w:themeColor="text1"/>
        </w:rPr>
        <w:t>‘artigo 5.º do Decreto de execução relativo aos aditivos alimentares’.</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No artigo 26.º, n.º 3, a indicação</w:t>
      </w:r>
      <w:r>
        <w:rPr>
          <w:color w:val="000000" w:themeColor="text1"/>
        </w:rPr>
        <w:t xml:space="preserve"> </w:t>
      </w:r>
      <w:r>
        <w:rPr>
          <w:rStyle w:val="RevisionText"/>
          <w:color w:val="000000" w:themeColor="text1"/>
        </w:rPr>
        <w:t>‘artigo 6.º, terceiro período,’</w:t>
      </w:r>
      <w:r>
        <w:rPr>
          <w:color w:val="000000" w:themeColor="text1"/>
        </w:rPr>
        <w:t xml:space="preserve"> </w:t>
      </w:r>
      <w:r>
        <w:rPr>
          <w:rStyle w:val="Marker"/>
          <w:color w:val="000000" w:themeColor="text1"/>
        </w:rPr>
        <w:t>é suprimida.</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Artigo 3.º</w:t>
      </w:r>
    </w:p>
    <w:p w14:paraId="6384CFDD" w14:textId="77777777" w:rsidR="008C3136" w:rsidRPr="0016085B" w:rsidRDefault="008C3136" w:rsidP="008C3136">
      <w:pPr>
        <w:pStyle w:val="Artikelberschrift"/>
        <w:rPr>
          <w:color w:val="000000" w:themeColor="text1"/>
        </w:rPr>
      </w:pPr>
      <w:r>
        <w:rPr>
          <w:rStyle w:val="Marker"/>
          <w:color w:val="000000" w:themeColor="text1"/>
        </w:rPr>
        <w:t>Alteração do decreto relativo aos produtos lácteos</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O Decreto relativo aos produtos lácteos, de 15 de julho de 1970 (DO Federal I p. 1150), com a última redação que lhe foi dada pelo artigo 21.º do Decreto de 5 de julho de 2017 (DO Federal I p. 2272), é alterado do seguinte modo:</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t>O artigo 3.º, n.º 1,  segundo período, é revogado.</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O artigo 5.º deve ler-se da seguinte forma:</w:t>
      </w:r>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Uso de vitaminas</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Na produção de produtos lácteos, admite-se a utilização das vitaminas citadas no anexo 2 para os fins aí especificados. O teor de vitaminas não pode exceder as quantidades máximas especificadas no anexo 2.</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 xml:space="preserve">Os produtos de matéria gorda láctea para barrar na aceção dos pontos 2 e 3 do anexo 2 consistem em matérias gordas lácteas para barrar na aceção da secção A, pontos 2 a 4, do apêndice II do anexo VII do Regulamento (UE) n.º 1308/2013 do </w:t>
      </w:r>
      <w:r>
        <w:rPr>
          <w:rStyle w:val="RevisionText"/>
          <w:color w:val="000000" w:themeColor="text1"/>
        </w:rPr>
        <w:lastRenderedPageBreak/>
        <w:t>Parlamento Europeu e do Conselho, de 17 de dezembro de 2013, que estabelece uma organização comum dos mercados dos produtos agrícolas e que revoga os Regulamentos (CEE) n.º 922/72, (CEE) n.º 234/79, (CE) n.º 1037/2001 e (CE) n.º 1234/2007 do Conselho (JO L 347 de 20.12.2013, p. 671; L 189 de 27.6.2014, p. 261; L 130 de 19.5.2016, p. 18; L 34 de 9.2.2017, p. 41; L 106 de 6.4.2020, p. 12), com a última redação que lhe foi dada pela Regulamentação (UE) 2017/2393 (JO L 350 de 29.12.2017, p. 15).</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As vitaminas citadas no anexo 2 também podem ser utilizadas para a produção de géneros alimentícios adicionados.</w:t>
      </w:r>
    </w:p>
    <w:p w14:paraId="7BBCA67C" w14:textId="62755C63"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Em derrogação do artigo 16.º, n.º 1, primeiro período, da lei relativa aos géneros alimentícios e aos objetos de consumo, não existe a obrigação de identificar o teor das vitaminas utilizadas nos termos dos n.os 1 e 3. O artigo 3.º, n.º 2, ponto 3, não sofre alterações.</w:t>
      </w:r>
      <w:r w:rsidR="00C22E02" w:rsidRPr="00C22E02">
        <w:rPr>
          <w:rStyle w:val="RevisionText"/>
          <w:color w:val="000000" w:themeColor="text1"/>
        </w:rPr>
        <w:t>’</w:t>
      </w:r>
      <w:r>
        <w:rPr>
          <w:rStyle w:val="RevisionText"/>
          <w:color w:val="000000" w:themeColor="text1"/>
        </w:rPr>
        <w:t>;</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No artigo 7.º, n.º 2, o termo</w:t>
      </w:r>
      <w:r>
        <w:rPr>
          <w:color w:val="000000" w:themeColor="text1"/>
        </w:rPr>
        <w:t xml:space="preserve"> </w:t>
      </w:r>
      <w:r>
        <w:rPr>
          <w:rStyle w:val="RevisionText"/>
          <w:color w:val="000000" w:themeColor="text1"/>
        </w:rPr>
        <w:t>‘aditivos’</w:t>
      </w:r>
      <w:r>
        <w:rPr>
          <w:color w:val="000000" w:themeColor="text1"/>
        </w:rPr>
        <w:t xml:space="preserve"> </w:t>
      </w:r>
      <w:r>
        <w:rPr>
          <w:rStyle w:val="Marker"/>
          <w:color w:val="000000" w:themeColor="text1"/>
        </w:rPr>
        <w:t>é substituído pelo</w:t>
      </w:r>
      <w:r>
        <w:rPr>
          <w:color w:val="000000" w:themeColor="text1"/>
        </w:rPr>
        <w:t xml:space="preserve"> </w:t>
      </w:r>
      <w:r>
        <w:rPr>
          <w:rStyle w:val="RevisionText"/>
          <w:color w:val="000000" w:themeColor="text1"/>
        </w:rPr>
        <w:t>termo</w:t>
      </w:r>
      <w:r>
        <w:rPr>
          <w:color w:val="000000" w:themeColor="text1"/>
        </w:rPr>
        <w:t xml:space="preserve"> </w:t>
      </w:r>
      <w:r>
        <w:rPr>
          <w:rStyle w:val="Marker"/>
          <w:color w:val="000000" w:themeColor="text1"/>
        </w:rPr>
        <w:t>‘vitaminas’.</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O anexo 2 é alterado do seguinte modo:</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O título deve ler-se da seguinte forma:</w:t>
      </w:r>
    </w:p>
    <w:p w14:paraId="666E0A59" w14:textId="77777777" w:rsidR="00C762DB" w:rsidRPr="0016085B" w:rsidRDefault="00C762DB" w:rsidP="00C762DB">
      <w:pPr>
        <w:pStyle w:val="RevisionAnlageBezeichner"/>
        <w:ind w:left="850"/>
        <w:rPr>
          <w:color w:val="000000" w:themeColor="text1"/>
        </w:rPr>
      </w:pPr>
      <w:r>
        <w:rPr>
          <w:color w:val="000000" w:themeColor="text1"/>
        </w:rPr>
        <w:t xml:space="preserve">‘Anexo </w:t>
      </w:r>
      <w:r>
        <w:rPr>
          <w:rStyle w:val="Marker"/>
          <w:color w:val="000000" w:themeColor="text1"/>
        </w:rPr>
        <w:t>2 (relativo ao Artigo 5(1))</w:t>
      </w:r>
    </w:p>
    <w:p w14:paraId="268FDD43" w14:textId="77777777" w:rsidR="00C762DB" w:rsidRPr="0016085B" w:rsidRDefault="00AB2302" w:rsidP="00C762DB">
      <w:pPr>
        <w:pStyle w:val="RevisionAnlageberschrift"/>
        <w:ind w:left="850"/>
        <w:rPr>
          <w:rStyle w:val="Marker"/>
          <w:color w:val="000000" w:themeColor="text1"/>
        </w:rPr>
      </w:pPr>
      <w:r>
        <w:rPr>
          <w:rStyle w:val="Marker"/>
          <w:color w:val="000000" w:themeColor="text1"/>
        </w:rPr>
        <w:t>Vitaminas</w:t>
      </w:r>
      <w:r>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t>No ponto 1, o termo</w:t>
      </w:r>
      <w:r>
        <w:rPr>
          <w:color w:val="000000" w:themeColor="text1"/>
        </w:rPr>
        <w:t xml:space="preserve"> </w:t>
      </w:r>
      <w:r>
        <w:rPr>
          <w:rStyle w:val="RevisionText"/>
          <w:color w:val="000000" w:themeColor="text1"/>
        </w:rPr>
        <w:t>‘aditivos’</w:t>
      </w:r>
      <w:r>
        <w:rPr>
          <w:color w:val="000000" w:themeColor="text1"/>
        </w:rPr>
        <w:t xml:space="preserve"> </w:t>
      </w:r>
      <w:r>
        <w:rPr>
          <w:rStyle w:val="Marker"/>
          <w:color w:val="000000" w:themeColor="text1"/>
        </w:rPr>
        <w:t>é substituído pelo</w:t>
      </w:r>
      <w:r>
        <w:rPr>
          <w:color w:val="000000" w:themeColor="text1"/>
        </w:rPr>
        <w:t xml:space="preserve"> </w:t>
      </w:r>
      <w:r>
        <w:rPr>
          <w:rStyle w:val="RevisionText"/>
          <w:color w:val="000000" w:themeColor="text1"/>
        </w:rPr>
        <w:t>termo</w:t>
      </w:r>
      <w:r>
        <w:rPr>
          <w:color w:val="000000" w:themeColor="text1"/>
        </w:rPr>
        <w:t xml:space="preserve"> </w:t>
      </w:r>
      <w:r>
        <w:rPr>
          <w:rStyle w:val="Marker"/>
          <w:color w:val="000000" w:themeColor="text1"/>
        </w:rPr>
        <w:t>‘vitaminas’.</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Artigo 4.º</w:t>
      </w:r>
    </w:p>
    <w:p w14:paraId="2591148C" w14:textId="77777777" w:rsidR="00A41ACF" w:rsidRPr="0016085B" w:rsidRDefault="00A41ACF" w:rsidP="00A41ACF">
      <w:pPr>
        <w:pStyle w:val="Artikelberschrift"/>
        <w:rPr>
          <w:color w:val="000000" w:themeColor="text1"/>
        </w:rPr>
      </w:pPr>
      <w:r>
        <w:rPr>
          <w:rStyle w:val="Marker"/>
          <w:color w:val="000000" w:themeColor="text1"/>
        </w:rPr>
        <w:t>Alteração do decreto relativo ao queijo</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O Decreto relativo ao queijo, na redação da publicação de 14 de abril de 1986 (DO Federal I p. 412), com a última redação que lhe foi dada pelo artigo 18.º do Decreto de 5 de julho de 2017 (DO Federal I p. 2272), é alterado do seguinte modo:</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O Artigo 14.º, n.º 1, segundo período, é revogado.</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O Artigo 23.º, quarto período, é revogado.</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t xml:space="preserve">No anexo 1, secção A, a coluna 3 relativa às variedades normalizadas Camembert e Brie, passa a ter a seguinte redação, respetivamente: </w:t>
      </w:r>
    </w:p>
    <w:p w14:paraId="4B3FEED2" w14:textId="4B661A61" w:rsidR="00FD79EA" w:rsidRPr="0016085B" w:rsidRDefault="00FD79EA" w:rsidP="00A44C55">
      <w:pPr>
        <w:pStyle w:val="RevisionJuristischerAbsatzFolgeabsatz"/>
        <w:ind w:left="425"/>
        <w:rPr>
          <w:color w:val="000000" w:themeColor="text1"/>
        </w:rPr>
      </w:pPr>
      <w:r>
        <w:rPr>
          <w:rStyle w:val="RevisionText"/>
          <w:color w:val="000000" w:themeColor="text1"/>
        </w:rPr>
        <w:t>’Maturação apenas com culturas de Penicillium camemberti (bolor de Camembert) e Geotrichum candidum (bolor lático)’</w:t>
      </w:r>
      <w:r>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lastRenderedPageBreak/>
        <w:t>Artigo 5.º</w:t>
      </w:r>
    </w:p>
    <w:p w14:paraId="6B9DC4DC" w14:textId="77777777" w:rsidR="00A41ACF" w:rsidRPr="0016085B" w:rsidRDefault="00A41ACF" w:rsidP="00A41ACF">
      <w:pPr>
        <w:pStyle w:val="Artikelberschrift"/>
        <w:rPr>
          <w:color w:val="000000" w:themeColor="text1"/>
        </w:rPr>
      </w:pPr>
      <w:r>
        <w:rPr>
          <w:rStyle w:val="Marker"/>
          <w:color w:val="000000" w:themeColor="text1"/>
        </w:rPr>
        <w:t>Alteração do decreto relativo à manteiga</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xml:space="preserve">O artigo 2.º, n.º 4, e o artigo 5.º, n.º 5, do Decreto relativo à manteiga, de 3 de fevereiro de 1997 (DO Federal I p. 144), com a última redação que lhe foi dada pelo artigo 19.º do Decreto de 5 de julho de 2017 (DO Federal I. p. 2272), são revogados.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Artigo 6.º</w:t>
      </w:r>
    </w:p>
    <w:p w14:paraId="13320EFE" w14:textId="77777777" w:rsidR="008C3136" w:rsidRPr="0016085B" w:rsidRDefault="008C3136" w:rsidP="008C3136">
      <w:pPr>
        <w:pStyle w:val="Artikelberschrift"/>
        <w:rPr>
          <w:color w:val="000000" w:themeColor="text1"/>
        </w:rPr>
      </w:pPr>
      <w:r>
        <w:rPr>
          <w:rStyle w:val="Marker"/>
          <w:color w:val="000000" w:themeColor="text1"/>
        </w:rPr>
        <w:t>Alteração do decreto para a execução da lei temporária relativa à cerveja</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No artigo 17.º, n.º 1, segundo período, do Decreto para a execução da lei temporária relativa à cerveja, na redação da publicação de 29 de julho de 1993 (DO Federal I p. 1422), com a última redação que lhe foi dada pelo artigo 2.º do Decreto de 8 de dezembro de 2000 (DO Federal I p. 1686), os termos</w:t>
      </w:r>
      <w:r>
        <w:rPr>
          <w:color w:val="000000" w:themeColor="text1"/>
        </w:rPr>
        <w:t xml:space="preserve"> </w:t>
      </w:r>
      <w:r>
        <w:rPr>
          <w:rStyle w:val="RevisionText"/>
          <w:color w:val="000000" w:themeColor="text1"/>
        </w:rPr>
        <w:t>‘decreto relativo à autorização de aditivos’</w:t>
      </w:r>
      <w:r>
        <w:rPr>
          <w:color w:val="000000" w:themeColor="text1"/>
        </w:rPr>
        <w:t xml:space="preserve"> </w:t>
      </w:r>
      <w:r>
        <w:rPr>
          <w:rStyle w:val="RevisionText"/>
          <w:color w:val="000000" w:themeColor="text1"/>
        </w:rPr>
        <w:t>são substituídos pelos</w:t>
      </w:r>
      <w:r>
        <w:rPr>
          <w:color w:val="000000" w:themeColor="text1"/>
        </w:rPr>
        <w:t xml:space="preserve"> </w:t>
      </w:r>
      <w:r>
        <w:rPr>
          <w:rStyle w:val="Marker"/>
          <w:color w:val="000000" w:themeColor="text1"/>
        </w:rPr>
        <w:t>termos</w:t>
      </w:r>
      <w:r>
        <w:rPr>
          <w:color w:val="000000" w:themeColor="text1"/>
        </w:rPr>
        <w:t xml:space="preserve"> </w:t>
      </w:r>
      <w:r>
        <w:rPr>
          <w:rStyle w:val="Marker"/>
          <w:color w:val="000000" w:themeColor="text1"/>
        </w:rPr>
        <w:t>‘Decreto de execução relativo aos aditivos alimentares’.</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Artigo 7.º</w:t>
      </w:r>
    </w:p>
    <w:p w14:paraId="2CF50561" w14:textId="67FB83BB" w:rsidR="008C3136" w:rsidRPr="0016085B" w:rsidRDefault="008C3136" w:rsidP="008C3136">
      <w:pPr>
        <w:pStyle w:val="Artikelberschrift"/>
        <w:rPr>
          <w:color w:val="000000" w:themeColor="text1"/>
        </w:rPr>
      </w:pPr>
      <w:r>
        <w:rPr>
          <w:rStyle w:val="Marker"/>
          <w:color w:val="000000" w:themeColor="text1"/>
        </w:rPr>
        <w:t>Alteração do decreto relativo a bebidas alcoólicas</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No artigo 10.º, n.º 6, do Decreto relativo às bebidas alcoólicas, na redação da publicação de 30 de junho de 2003 (DO Federal I p. 1255), com a última redação que lhe foi dada pelo artigo 15.º do Decreto de 5 de julho de 2017 (DO Federal I p. 2272), os termos</w:t>
      </w:r>
      <w:r>
        <w:rPr>
          <w:color w:val="000000" w:themeColor="text1"/>
        </w:rPr>
        <w:t xml:space="preserve"> </w:t>
      </w:r>
      <w:r>
        <w:rPr>
          <w:rStyle w:val="RevisionText"/>
          <w:color w:val="000000" w:themeColor="text1"/>
        </w:rPr>
        <w:t>‘decreto relativo à autorização de aditivos’</w:t>
      </w:r>
      <w:r>
        <w:rPr>
          <w:color w:val="000000" w:themeColor="text1"/>
        </w:rPr>
        <w:t xml:space="preserve"> </w:t>
      </w:r>
      <w:r>
        <w:rPr>
          <w:rStyle w:val="Marker"/>
          <w:color w:val="000000" w:themeColor="text1"/>
        </w:rPr>
        <w:t>são substituídos pelos</w:t>
      </w:r>
      <w:r>
        <w:rPr>
          <w:color w:val="000000" w:themeColor="text1"/>
        </w:rPr>
        <w:t xml:space="preserve"> </w:t>
      </w:r>
      <w:r>
        <w:rPr>
          <w:rStyle w:val="RevisionText"/>
          <w:color w:val="000000" w:themeColor="text1"/>
        </w:rPr>
        <w:t>termos</w:t>
      </w:r>
      <w:r>
        <w:rPr>
          <w:color w:val="000000" w:themeColor="text1"/>
        </w:rPr>
        <w:t xml:space="preserve"> </w:t>
      </w:r>
      <w:r>
        <w:rPr>
          <w:rStyle w:val="Marker"/>
          <w:color w:val="000000" w:themeColor="text1"/>
        </w:rPr>
        <w:t>‘Decreto de Execução relativo aos Aditivos Alimentares’</w:t>
      </w:r>
      <w:r>
        <w:rPr>
          <w:color w:val="000000" w:themeColor="text1"/>
        </w:rPr>
        <w:t>.</w:t>
      </w:r>
      <w:r>
        <w:rPr>
          <w:rStyle w:val="Marker"/>
          <w:color w:val="000000" w:themeColor="text1"/>
        </w:rPr>
        <w:t xml:space="preserve">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t>Artigo 8.º</w:t>
      </w:r>
    </w:p>
    <w:p w14:paraId="259F6C91" w14:textId="77777777" w:rsidR="00620BBC" w:rsidRPr="0016085B" w:rsidRDefault="00620BBC" w:rsidP="00B52D80">
      <w:pPr>
        <w:pStyle w:val="Artikelberschrift"/>
        <w:rPr>
          <w:color w:val="000000" w:themeColor="text1"/>
        </w:rPr>
      </w:pPr>
      <w:r>
        <w:rPr>
          <w:rStyle w:val="Marker"/>
          <w:color w:val="000000" w:themeColor="text1"/>
        </w:rPr>
        <w:t>Entrada em vigor, revogação</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O presente decreto entra em vigor no dia seguinte ao da sua promulgação. Simultaneamente, são revogados o Decreto relativo à autorização de aditivos, na redação da publicação de 29 de janeiro de 1998 (Jornal Oficial Federal I p. 230, 231), com a última redação que lhe foi dada pelo artigo 23.º do Decreto de 5 de julho de 2017 (Jornal Oficial Federal I p. 2272), e o Decreto relativo à comercialização de aditivos, de 29 de janeiro de 1998 (Jornal Oficial Federal I p. 230, 269), com a última redação que lhe foi dada pelo artigo 2.º do Decreto de 28 de março de 2011 (Jornal Oficial Federal I p. 530).</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Aprovado pelo Conselho Federal.</w:t>
      </w:r>
    </w:p>
    <w:p w14:paraId="5EE3F538" w14:textId="270EE1F8" w:rsidR="00BF08F3" w:rsidRDefault="00BF08F3" w:rsidP="00BF08F3">
      <w:pPr>
        <w:pStyle w:val="OrtDatum"/>
        <w:jc w:val="left"/>
        <w:rPr>
          <w:color w:val="000000" w:themeColor="text1"/>
        </w:rPr>
      </w:pPr>
      <w:r>
        <w:rPr>
          <w:color w:val="000000" w:themeColor="text1"/>
        </w:rPr>
        <w:t>Bona, 2 de junho de 2021</w:t>
      </w:r>
    </w:p>
    <w:p w14:paraId="00FF9BB3" w14:textId="77777777" w:rsidR="00C22E02" w:rsidRPr="00C22E02" w:rsidRDefault="00C22E02" w:rsidP="00C22E02">
      <w:pPr>
        <w:pStyle w:val="Organisation"/>
      </w:pPr>
    </w:p>
    <w:p w14:paraId="6A4347CC" w14:textId="77777777" w:rsidR="00BF08F3" w:rsidRPr="0016085B" w:rsidRDefault="00BF08F3" w:rsidP="00BF08F3">
      <w:pPr>
        <w:pStyle w:val="Organisation"/>
        <w:rPr>
          <w:color w:val="000000" w:themeColor="text1"/>
        </w:rPr>
      </w:pPr>
      <w:r>
        <w:rPr>
          <w:color w:val="000000" w:themeColor="text1"/>
        </w:rPr>
        <w:lastRenderedPageBreak/>
        <w:t>A ministra Federal da Alimentação e da Agricultura</w:t>
      </w:r>
    </w:p>
    <w:p w14:paraId="0468343C" w14:textId="2051C122" w:rsidR="00620BBC" w:rsidRPr="0016085B" w:rsidRDefault="00E96D90" w:rsidP="0016085B">
      <w:pPr>
        <w:pStyle w:val="Person"/>
        <w:rPr>
          <w:color w:val="000000" w:themeColor="text1"/>
        </w:rPr>
      </w:pPr>
      <w:r>
        <w:rPr>
          <w:color w:val="000000" w:themeColor="text1"/>
        </w:rPr>
        <w:t>Julia Klöckner</w:t>
      </w:r>
    </w:p>
    <w:sectPr w:rsidR="00620BBC" w:rsidRPr="0016085B" w:rsidSect="00801EED">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D5C7" w14:textId="77777777" w:rsidR="00CF470F" w:rsidRDefault="00CF470F">
      <w:pPr>
        <w:spacing w:before="0" w:after="0"/>
      </w:pPr>
      <w:r>
        <w:separator/>
      </w:r>
    </w:p>
  </w:endnote>
  <w:endnote w:type="continuationSeparator" w:id="0">
    <w:p w14:paraId="6272BBE1" w14:textId="77777777" w:rsidR="00CF470F" w:rsidRDefault="00CF470F">
      <w:pPr>
        <w:spacing w:before="0" w:after="0"/>
      </w:pPr>
      <w:r>
        <w:continuationSeparator/>
      </w:r>
    </w:p>
  </w:endnote>
  <w:endnote w:type="continuationNotice" w:id="1">
    <w:p w14:paraId="6E942770" w14:textId="77777777" w:rsidR="00CF470F" w:rsidRDefault="00CF47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0C72" w14:textId="77777777" w:rsidR="00CF470F" w:rsidRDefault="00CF470F">
      <w:pPr>
        <w:spacing w:before="0" w:after="0"/>
      </w:pPr>
      <w:r>
        <w:separator/>
      </w:r>
    </w:p>
  </w:footnote>
  <w:footnote w:type="continuationSeparator" w:id="0">
    <w:p w14:paraId="35AE784D" w14:textId="77777777" w:rsidR="00CF470F" w:rsidRDefault="00CF470F">
      <w:pPr>
        <w:spacing w:before="0" w:after="0"/>
      </w:pPr>
      <w:r>
        <w:continuationSeparator/>
      </w:r>
    </w:p>
  </w:footnote>
  <w:footnote w:type="continuationNotice" w:id="1">
    <w:p w14:paraId="0CBBBE58" w14:textId="77777777" w:rsidR="00CF470F" w:rsidRDefault="00CF470F">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Foram cumpridas as obrigações decorrentes da Diretiva (UE) 2015/1535 do Parlamento Europeu e do Conselho, de 9 de setembro de 2015, relativa a um procedimento de informação no domínio das regulamentações técnicas e das regras relativas aos serviços da sociedade da informação (texto codificado) (JO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CF470F">
      <w:fldChar w:fldCharType="begin"/>
    </w:r>
    <w:r w:rsidR="00CF470F">
      <w:instrText xml:space="preserve"> DOCPROPERTY "Bearbeitungsstand" \* MERGEFORMAT </w:instrText>
    </w:r>
    <w:r w:rsidR="00CF470F">
      <w:fldChar w:fldCharType="separate"/>
    </w:r>
    <w:r w:rsidRPr="00801EED">
      <w:rPr>
        <w:sz w:val="18"/>
      </w:rPr>
      <w:t xml:space="preserve">Bearbeitungsstand: </w:t>
    </w:r>
    <w:r w:rsidRPr="00801EED">
      <w:rPr>
        <w:sz w:val="18"/>
      </w:rPr>
      <w:t>10.03.2021  15:03 Uhr</w:t>
    </w:r>
    <w:r w:rsidR="00CF470F">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2E02"/>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470F"/>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3342</Words>
  <Characters>18017</Characters>
  <Application>Microsoft Office Word</Application>
  <DocSecurity>0</DocSecurity>
  <Lines>339</Lines>
  <Paragraphs>173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Ines Varvodic</cp:lastModifiedBy>
  <cp:revision>2</cp:revision>
  <cp:lastPrinted>2021-02-23T08:16:00Z</cp:lastPrinted>
  <dcterms:created xsi:type="dcterms:W3CDTF">2022-02-14T09:36:00Z</dcterms:created>
  <dcterms:modified xsi:type="dcterms:W3CDTF">2022-02-14T09:36:00Z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