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08E" w:rsidRPr="002D3FA8" w:rsidRDefault="001B208E" w:rsidP="007D7D7B">
      <w:pPr>
        <w:pStyle w:val="Default"/>
        <w:widowControl/>
        <w:spacing w:before="120" w:after="120"/>
        <w:ind w:left="284" w:firstLine="720"/>
      </w:pPr>
    </w:p>
    <w:p w:rsidR="007D2CBC" w:rsidRPr="002D3FA8" w:rsidRDefault="007D2CBC" w:rsidP="007D2CBC">
      <w:pPr>
        <w:pStyle w:val="PlainText"/>
        <w:rPr>
          <w:rFonts w:ascii="Courier New" w:hAnsi="Courier New" w:cs="Courier New"/>
          <w:sz w:val="20"/>
          <w:szCs w:val="20"/>
        </w:rPr>
      </w:pPr>
    </w:p>
    <w:p w:rsidR="007D2CBC" w:rsidRPr="002D3FA8" w:rsidRDefault="007D2CBC" w:rsidP="007D2CBC">
      <w:pPr>
        <w:pStyle w:val="PlainText"/>
        <w:rPr>
          <w:rFonts w:ascii="Courier New" w:hAnsi="Courier New" w:cs="Courier New"/>
          <w:sz w:val="20"/>
          <w:szCs w:val="20"/>
        </w:rPr>
      </w:pPr>
      <w:r w:rsidRPr="002D3FA8">
        <w:rPr>
          <w:rFonts w:ascii="Courier New" w:hAnsi="Courier New"/>
          <w:sz w:val="20"/>
        </w:rPr>
        <w:t>1. ------IND- 2017 0525 E-- ET- ------ 20181003 --- --- FINAL</w:t>
      </w:r>
    </w:p>
    <w:p w:rsidR="001B208E" w:rsidRPr="002D3FA8" w:rsidRDefault="001B208E" w:rsidP="007D7D7B">
      <w:pPr>
        <w:pStyle w:val="Default"/>
        <w:widowControl/>
        <w:spacing w:before="120" w:after="120"/>
        <w:ind w:left="284" w:firstLine="720"/>
      </w:pPr>
    </w:p>
    <w:p w:rsidR="001B208E" w:rsidRPr="002D3FA8" w:rsidRDefault="00E22FFA" w:rsidP="007D7D7B">
      <w:pPr>
        <w:pStyle w:val="Default"/>
        <w:framePr w:w="1986" w:wrap="auto" w:vAnchor="page" w:hAnchor="page" w:x="569" w:y="705"/>
        <w:widowControl/>
        <w:spacing w:before="120" w:after="120"/>
      </w:pPr>
      <w:r w:rsidRPr="002D3FA8">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Pr="002D3FA8" w:rsidRDefault="001B208E" w:rsidP="007D7D7B">
      <w:pPr>
        <w:pStyle w:val="Default"/>
        <w:framePr w:w="1986" w:wrap="auto" w:vAnchor="page" w:hAnchor="page" w:x="569" w:y="705"/>
        <w:widowControl/>
        <w:spacing w:before="120" w:after="120"/>
        <w:ind w:left="284" w:firstLine="720"/>
      </w:pPr>
    </w:p>
    <w:p w:rsidR="001B208E" w:rsidRPr="002D3FA8" w:rsidRDefault="00E22FFA" w:rsidP="007D7D7B">
      <w:pPr>
        <w:pStyle w:val="Default"/>
        <w:framePr w:w="1397" w:wrap="auto" w:vAnchor="page" w:hAnchor="page" w:x="10739" w:y="611"/>
        <w:widowControl/>
        <w:spacing w:before="120" w:after="120"/>
        <w:jc w:val="both"/>
      </w:pPr>
      <w:r w:rsidRPr="002D3FA8">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Pr="002D3FA8" w:rsidRDefault="001B208E" w:rsidP="007D7D7B">
      <w:pPr>
        <w:pStyle w:val="Default"/>
        <w:widowControl/>
        <w:spacing w:before="120" w:after="120"/>
        <w:jc w:val="center"/>
        <w:rPr>
          <w:sz w:val="30"/>
          <w:szCs w:val="30"/>
        </w:rPr>
      </w:pPr>
      <w:r w:rsidRPr="002D3FA8">
        <w:rPr>
          <w:b/>
          <w:sz w:val="30"/>
        </w:rPr>
        <w:t>I. ÜLDSÄTTED</w:t>
      </w:r>
    </w:p>
    <w:p w:rsidR="001B208E" w:rsidRPr="002D3FA8" w:rsidRDefault="001B208E" w:rsidP="007D7D7B">
      <w:pPr>
        <w:pStyle w:val="Pa3"/>
        <w:widowControl/>
        <w:spacing w:before="120" w:after="120" w:line="360" w:lineRule="auto"/>
        <w:jc w:val="center"/>
        <w:rPr>
          <w:color w:val="000000"/>
          <w:sz w:val="39"/>
          <w:szCs w:val="39"/>
        </w:rPr>
      </w:pPr>
      <w:r w:rsidRPr="002D3FA8">
        <w:rPr>
          <w:color w:val="000000"/>
          <w:sz w:val="39"/>
        </w:rPr>
        <w:t>PÕLLUMAJANDUS-, KALANDUS-,</w:t>
      </w:r>
      <w:r w:rsidRPr="002D3FA8">
        <w:rPr>
          <w:color w:val="000000"/>
          <w:sz w:val="39"/>
        </w:rPr>
        <w:br/>
        <w:t>TOIDU- JA KESKKONNAMINISTEERIUM</w:t>
      </w:r>
    </w:p>
    <w:p w:rsidR="00694AFB" w:rsidRPr="002D3FA8" w:rsidRDefault="00694AFB" w:rsidP="007D7D7B">
      <w:pPr>
        <w:pStyle w:val="Default"/>
        <w:widowControl/>
        <w:rPr>
          <w:b/>
          <w:bCs/>
          <w:color w:val="004378"/>
          <w:sz w:val="20"/>
          <w:szCs w:val="20"/>
        </w:rPr>
      </w:pPr>
      <w:r w:rsidRPr="002D3FA8">
        <w:rPr>
          <w:b/>
          <w:color w:val="004378"/>
          <w:sz w:val="20"/>
        </w:rPr>
        <w:t>Nr 122</w:t>
      </w:r>
      <w:r w:rsidRPr="002D3FA8">
        <w:tab/>
      </w:r>
      <w:r w:rsidRPr="002D3FA8">
        <w:rPr>
          <w:b/>
          <w:color w:val="004378"/>
          <w:sz w:val="20"/>
        </w:rPr>
        <w:t>Laupäev, 19. mai 2018    I jaotis   lk 52591</w:t>
      </w:r>
    </w:p>
    <w:p w:rsidR="003C24A4" w:rsidRPr="002D3FA8" w:rsidRDefault="003C24A4" w:rsidP="007D7D7B">
      <w:pPr>
        <w:pStyle w:val="Default"/>
        <w:widowControl/>
        <w:spacing w:before="120" w:after="120"/>
        <w:ind w:firstLine="720"/>
        <w:rPr>
          <w:i/>
          <w:iCs/>
          <w:sz w:val="20"/>
          <w:szCs w:val="20"/>
        </w:rPr>
      </w:pPr>
    </w:p>
    <w:p w:rsidR="001B208E" w:rsidRPr="002D3FA8" w:rsidRDefault="001B208E" w:rsidP="007D7D7B">
      <w:pPr>
        <w:pStyle w:val="Default"/>
        <w:widowControl/>
        <w:spacing w:before="120" w:after="120"/>
        <w:ind w:firstLine="720"/>
        <w:rPr>
          <w:sz w:val="20"/>
          <w:szCs w:val="20"/>
        </w:rPr>
      </w:pPr>
      <w:r w:rsidRPr="002D3FA8">
        <w:rPr>
          <w:i/>
          <w:sz w:val="20"/>
        </w:rPr>
        <w:t>18. mai 2018. aasta kuninglik dekreet 293/2018 plastkandekottide tarbimise vähendamiseks ja toodete tootjate registri loomiseks.</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w:t>
      </w:r>
    </w:p>
    <w:p w:rsidR="001B208E" w:rsidRPr="002D3FA8" w:rsidRDefault="001B208E" w:rsidP="007D7D7B">
      <w:pPr>
        <w:pStyle w:val="Default"/>
        <w:widowControl/>
        <w:spacing w:before="120" w:after="120"/>
        <w:ind w:firstLine="720"/>
        <w:rPr>
          <w:sz w:val="20"/>
          <w:szCs w:val="20"/>
        </w:rPr>
      </w:pPr>
      <w:r w:rsidRPr="002D3FA8">
        <w:rPr>
          <w:sz w:val="20"/>
        </w:rPr>
        <w:t>Euroopa Parlamendi ja nõukogu 20. detsembri 1994. aasta direktiiv 94/62/EÜ pakendite ja pakendijäätmete kohta võeti vastu selleks, et minimeerida pakendite ja pakendijäätmete keskkonnamõju. See direktiiv võeti Hispaania õigusesse üle 24. aprilli 1997. aasta seadusega 11/1997 pakendite ja pakkimisjäätmete kohta ning 30. aprilli 1998. aasta kuningliku dekreediga 782/1998, millega võeti vastu 24. aprilli 1997. aasta seaduse 11/1997 (pakendite ja pakendijäätmete kohta) rakendusmäärus. Kuigi plastkandekotte peetakse Euroopa Parlamendi ja nõukogu 20. detsembri 1994. aasta direktiivi 94/62/EÜ tähenduses pakenditeks, ei sisalda selle direktiivi algne versioon kõnealuse pakenditüübi tarbimist käsitlevaid erisätteid.</w:t>
      </w:r>
    </w:p>
    <w:p w:rsidR="001B208E" w:rsidRPr="002D3FA8" w:rsidRDefault="001B208E" w:rsidP="007D7D7B">
      <w:pPr>
        <w:pStyle w:val="Default"/>
        <w:widowControl/>
        <w:spacing w:before="120" w:after="120"/>
        <w:ind w:firstLine="720"/>
        <w:rPr>
          <w:sz w:val="20"/>
          <w:szCs w:val="20"/>
        </w:rPr>
      </w:pPr>
      <w:r w:rsidRPr="002D3FA8">
        <w:rPr>
          <w:sz w:val="20"/>
        </w:rPr>
        <w:t xml:space="preserve">Plastkandekottide praegune tarbimise tase põhjustab suurt prügihulka ja ressursside ebatõhusat kasutamist ning juhul, kui ei võeta asjakohaseid meetmeid, eeldatakse selle olukorra süvenemist. Plastkandekottide prügi saastab keskkonda ja halvendab üldist jäätmeprobleemi veekogudes, seades ohtu ülemaailmsed veeökosüsteemid. Plastkandekotte, mille paksus on alla 50 mikromeetri (õhukesed plastkandekotid) ja mis moodustavad enamiku ELis tarbitavatest plastkandekottidest, taaskasutatakse vähemal määral kui </w:t>
      </w:r>
      <w:proofErr w:type="spellStart"/>
      <w:r w:rsidRPr="002D3FA8">
        <w:rPr>
          <w:sz w:val="20"/>
        </w:rPr>
        <w:t>paksemaid</w:t>
      </w:r>
      <w:proofErr w:type="spellEnd"/>
      <w:r w:rsidRPr="002D3FA8">
        <w:rPr>
          <w:sz w:val="20"/>
        </w:rPr>
        <w:t xml:space="preserve"> kandekotte. Seetõttu muutuvad õhukesed plastkandekotid kiiremini jäätmeteks ja oma kergema kaalu tõttu ka prügiks. Õhukeste plastkandekottide praegused ringlussevõtu määrad on väga madalad ning erinevate praktiliste ja majanduslike takistuste tõttu ei saavuta need tõenäoliselt lähitulevikus märkimisväärselt kõrgemat taset.</w:t>
      </w:r>
    </w:p>
    <w:p w:rsidR="001B208E" w:rsidRPr="002D3FA8" w:rsidRDefault="001B208E" w:rsidP="007D7D7B">
      <w:pPr>
        <w:pStyle w:val="Default"/>
        <w:widowControl/>
        <w:spacing w:before="120" w:after="120"/>
        <w:ind w:firstLine="720"/>
        <w:rPr>
          <w:sz w:val="20"/>
          <w:szCs w:val="20"/>
        </w:rPr>
      </w:pPr>
      <w:r w:rsidRPr="002D3FA8">
        <w:rPr>
          <w:sz w:val="20"/>
        </w:rPr>
        <w:t>Selle probleemi lahendamiseks on Euroopa Liit võtnud vastu Euroopa Parlamendi ja nõukogu 29. aprilli 2015. aasta direktiivi (EL) 2015/720, millega muudetakse direktiivi 94/62 seoses EÜ õhukeste plastkandekottide tarbimise vähendamisega. Selle kuningliku dekreedi eesmärk on võtta Hispaania õigusesse üle Euroopa Parlamendi ja nõukogu 29. aprilli 2015. aasta direktiiv (EL) 2015/720.</w:t>
      </w:r>
    </w:p>
    <w:p w:rsidR="001B208E" w:rsidRPr="002D3FA8" w:rsidRDefault="001B208E" w:rsidP="007D7D7B">
      <w:pPr>
        <w:pStyle w:val="Default"/>
        <w:widowControl/>
        <w:spacing w:before="120" w:after="120"/>
        <w:ind w:firstLine="720"/>
        <w:rPr>
          <w:sz w:val="20"/>
          <w:szCs w:val="20"/>
        </w:rPr>
      </w:pPr>
      <w:r w:rsidRPr="002D3FA8">
        <w:rPr>
          <w:sz w:val="20"/>
        </w:rPr>
        <w:t>Selles ühenduse direktiivis sätestatakse, et liikmesriigid võtavad meetmeid, saavutamaks oma territooriumil õhukeste plastkandekottide tarbimise pidev vähenemine. Direktiiviga pakutakse liikmesriikidele erinevaid võimalusi selle saavutamiseks, sealhulgas riiklike vähendamiseesmärkide ning majandushoobade ja vajaduse korral turustuspiirangute kehtestamine, tingimusel et sellised piirangud on proportsionaalsed ja mittediskrimineerivad. Lisaks märgitakse direktiivis, et need meetmed võivad varieeruda sõltuvalt õhukeste plastkandekottide keskkonnamõjust nende taaskasutamisel ja kõrvaldamisel, nende omadustest kompostimisel, vastupidavusest või konkreetsest kasutusotstarbest.</w:t>
      </w:r>
    </w:p>
    <w:p w:rsidR="00694AFB" w:rsidRPr="002D3FA8" w:rsidRDefault="001B208E" w:rsidP="007D7D7B">
      <w:pPr>
        <w:pStyle w:val="Default"/>
        <w:widowControl/>
        <w:spacing w:before="120" w:after="120"/>
        <w:ind w:firstLine="720"/>
        <w:rPr>
          <w:sz w:val="20"/>
          <w:szCs w:val="20"/>
        </w:rPr>
      </w:pPr>
      <w:r w:rsidRPr="002D3FA8">
        <w:rPr>
          <w:sz w:val="20"/>
        </w:rPr>
        <w:t xml:space="preserve">Igal juhul peavad liikmesriigid võtma vähemalt ühe järgmistest meetmetest: a) meetmed, millega tagatakse, et aastane tarbimismäär ei ületa 31. detsembriks 2019. aastal 90 õhukest plastkandekotti inimese kohta ning 31. detsembriks 2025. aastal 40 õhukest plastkandekotti inimese kohta, või samaväärsed massi järgi määratud eesmärgid; b) vahendid, millega tagatakse, et 31. detsembriks 2018. aastal ei ole õhukesed plastkandekotid kaupade või teenuste müügipunktides tasuta saadaval, välja arvatud juhul, kui rakendatakse samaväärselt tõhusaid vahendeid. Direktiiviga lubatakse liikmesriikidel kõnealustest meetmetest jätta välja hügieenilistel eesmärkidel või toiduainete kao vähendamiseks kasutatavad kandekotid, mis on õhemad kui 15 mikromeetrit. Sarnaselt sätestatakse direktiivis, et alates 27. maist 2018. aastal annavad liikmesriigid komisjonile pakendite ja pakendijäätmete andmete edastamisel vastavalt kehtivatele eeskirjadele teavet õhukeste plastkandekottide aastase tarbimise kohta. Teiste plastkandekottide puhul (need, mille paksus on 50 mikromeetrit või suurem) sätestatakse direktiivis, et liikmesriigid võivad võtta selliseid meetmeid nagu majandushoovad ja riiklikud vähendamiseesmärgid. Teisest küljest pööratakse direktiivis erilist </w:t>
      </w:r>
      <w:r w:rsidRPr="002D3FA8">
        <w:rPr>
          <w:sz w:val="20"/>
        </w:rPr>
        <w:lastRenderedPageBreak/>
        <w:t>tähelepanu liikmesriikide korraldatavatele avalikkuse teavitamise ja teadlikkuse tõstmise kampaaniatele õhukeste plastkandekottide liigsest tarbimisest tuleneva kahjuliku keskkonnamõju kohta.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II</w:t>
      </w:r>
    </w:p>
    <w:p w:rsidR="001B208E" w:rsidRPr="002D3FA8" w:rsidRDefault="001B208E" w:rsidP="007D7D7B">
      <w:pPr>
        <w:pStyle w:val="Default"/>
        <w:widowControl/>
        <w:spacing w:before="120" w:after="120"/>
        <w:ind w:firstLine="720"/>
        <w:rPr>
          <w:sz w:val="20"/>
          <w:szCs w:val="20"/>
        </w:rPr>
      </w:pPr>
      <w:r w:rsidRPr="002D3FA8">
        <w:rPr>
          <w:sz w:val="20"/>
        </w:rPr>
        <w:t>Seoses plastkandekottide tarbimisega nähti 2008.–2015. aasta riiklikus integreeritud jäätmekavas ette mitmesugused meetmed ühekordsete kandekottide järkjärguliseks kaotamiseks. Nende meetmete hulgas toodi välja ühekordsete kandekottide kasutamise vähendamine 2010. aastaks 50 % võrra, samuti ajakava kehtestamine bioloogiliselt mittelaguneva plasti kõrvaldamiseks või turustussektoriga kokkulepete sõlmimise soodustamiseks, vähendamaks ühekordsete kandekottide jäätmete teket ja edendamaks korduvkasutatavate kandekottide kasutamist kauplustes ja supermarketites, ning ühekordsete plastkandekottide asendamine biolagunevate kandekottidega. Tuleb märkida, et mõistet „biolagunev“ tuleks käsitada kompostitavana vastavalt Euroopa Parlamendi ja nõukogu 29. aprilli 2015. aasta direktiivi (EL) 2015/720 sätetele.</w:t>
      </w:r>
    </w:p>
    <w:p w:rsidR="001B208E" w:rsidRPr="002D3FA8" w:rsidRDefault="001B208E" w:rsidP="007D7D7B">
      <w:pPr>
        <w:pStyle w:val="Default"/>
        <w:widowControl/>
        <w:spacing w:before="120" w:after="120"/>
        <w:ind w:firstLine="720"/>
        <w:rPr>
          <w:sz w:val="20"/>
          <w:szCs w:val="20"/>
        </w:rPr>
      </w:pPr>
      <w:r w:rsidRPr="002D3FA8">
        <w:rPr>
          <w:sz w:val="20"/>
        </w:rPr>
        <w:t>28. juuli 2011. aasta seaduses 22/2011 saastatud pinnase ja jäätmete kohta nõutakse omakorda, et valitsus võtaks vajalikud meetmed, edendamaks jätkusuutlikumaid süsteeme kaubanduslike ühekordsete mittebiolagunevate plastkandekottide kasutamisel tekkivate jäätmete ärahoidmiseks, vähendamiseks ja haldamiseks ning nende alternatiivide kasutuselevõtmist. Muu hulgas nõuti meetmeid, mis on seotud valitsuse kui tarbija rolliga riigihangete puhul.</w:t>
      </w:r>
    </w:p>
    <w:p w:rsidR="001B208E" w:rsidRPr="002D3FA8" w:rsidRDefault="001B208E" w:rsidP="007D7D7B">
      <w:pPr>
        <w:pStyle w:val="Default"/>
        <w:widowControl/>
        <w:spacing w:before="120" w:after="120"/>
        <w:ind w:firstLine="720"/>
        <w:rPr>
          <w:sz w:val="20"/>
          <w:szCs w:val="20"/>
        </w:rPr>
      </w:pPr>
      <w:r w:rsidRPr="002D3FA8">
        <w:rPr>
          <w:sz w:val="20"/>
        </w:rPr>
        <w:t>Pärast seda võeti 13. detsembri 2013. aasta ministrite nõukogu resolutsiooniga vastu riiklik jäätmetekke vältimise kava aastateks 2014–2020, mi</w:t>
      </w:r>
      <w:bookmarkStart w:id="0" w:name="_GoBack"/>
      <w:bookmarkEnd w:id="0"/>
      <w:r w:rsidRPr="002D3FA8">
        <w:rPr>
          <w:sz w:val="20"/>
        </w:rPr>
        <w:t>s hõlmab pakendite esmatähtsat valdkonda, tõstes esile erimeetmed plastkandekottide tarbimise vähendamiseks. Sarnaselt sellega sisaldab ministrite nõukogu 6. novembri 2015. aasta resolutsiooniga vastu võetud riiklik jäätmehaldusraamistik aastateks 2016–2022 pakendite ja pakendijäätmete peatükis teavet ja eesmärke plastkandekottide kohta.</w:t>
      </w:r>
    </w:p>
    <w:p w:rsidR="001B208E" w:rsidRPr="002D3FA8" w:rsidRDefault="001B208E" w:rsidP="007D7D7B">
      <w:pPr>
        <w:pStyle w:val="Default"/>
        <w:widowControl/>
        <w:spacing w:before="120" w:after="120"/>
        <w:ind w:firstLine="720"/>
        <w:rPr>
          <w:sz w:val="20"/>
          <w:szCs w:val="20"/>
        </w:rPr>
      </w:pPr>
      <w:r w:rsidRPr="002D3FA8">
        <w:rPr>
          <w:sz w:val="20"/>
        </w:rPr>
        <w:t>Viimaks, pärast riikliku 2008.–2015. aasta integreeritud jäätmekava ja 28. juuli 2011. aasta seaduse 22/2011 vastuvõtmist ning rakendamist, samuti pärast sellele järgnenud jäätmesektori kavandamis- ja planeerimistegevust, on valitsus ja turustussektor võtnud arvukalt meetmeid selle pakenditüübi tarbimise vähendamiseks: vabatahtlikud kokkulepped turustussektoriga, teadlikkuse parandamise kampaaniad, maksustamine, korduvkasutatavate kottide kasutamise edendamine, tasude kehtestamine jne. Nende meetmete tulemusel ja sektorite andmete põhjal vähenes tarbimine nende aastate jooksul ligi poole võrra, see tähendab 317 kotist elaniku kohta 2007. aastal 144 kotini elaniku kohta 2014. aastal, mis on peamiselt tingitud seda tüüpi pakendiga seotud tarbimisharjumuste muutumisest.</w:t>
      </w:r>
    </w:p>
    <w:p w:rsidR="001B208E" w:rsidRPr="002D3FA8" w:rsidRDefault="001B208E" w:rsidP="007D7D7B">
      <w:pPr>
        <w:pStyle w:val="Default"/>
        <w:widowControl/>
        <w:spacing w:before="120" w:after="120"/>
        <w:ind w:firstLine="720"/>
        <w:rPr>
          <w:sz w:val="20"/>
          <w:szCs w:val="20"/>
        </w:rPr>
      </w:pPr>
      <w:r w:rsidRPr="002D3FA8">
        <w:rPr>
          <w:sz w:val="20"/>
        </w:rPr>
        <w:t>Sektori esitatud andmete kohaselt viidi 2014. aastal Hispaanias turule ligikaudu 62 560 tonni plastkandekotte, mille paksus on väiksem kui 50 mikronit (6 730 miljardit ühikut), millest 23% moodustasid alla 15 mikroni paksused kandekotid ja ligikaudu 4 670 tonni üle 50 mikroni paksused plastkandekotid (158 miljonit ühikut). Seetõttu on vaja plastkandekottide tarbimisharjumuste puhul jätkata nende muudatuste soodustamist, eriti sellistes sektorites nagu väikeettevõtted, ning kohandada Hispaania õiguslikku raamistikku kooskõlas uute Euroopa direktiividega plastkandekottide kasutamise kohta.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III</w:t>
      </w:r>
    </w:p>
    <w:p w:rsidR="001B208E" w:rsidRPr="002D3FA8" w:rsidRDefault="001B208E" w:rsidP="007D7D7B">
      <w:pPr>
        <w:pStyle w:val="Default"/>
        <w:widowControl/>
        <w:spacing w:before="120" w:after="120"/>
        <w:ind w:firstLine="720"/>
        <w:rPr>
          <w:sz w:val="20"/>
          <w:szCs w:val="20"/>
        </w:rPr>
      </w:pPr>
      <w:r w:rsidRPr="002D3FA8">
        <w:rPr>
          <w:sz w:val="20"/>
        </w:rPr>
        <w:t xml:space="preserve">Õhukeste plastkandekottide direktiivis esitatud võimaluste hulgast on kõige sobivamaks peetud järgmiseid valikuid. Esiteks keelatakse alates 1. juulist 2018 müügikohtades klientidele selliste kottide tasuta andmine. Teisisõnu peavad müüjad alates sellest kuupäevast küsima iga kliendile antud õhukese kandekoti eest tasu. Väga õhukesed, st õhemad kui 15-mikromeetrised plastkandekotid, mis on vajalikud hügieenilistel põhjustel või mida kasutatakse lahtiste toiduainete esmase pakendina, jäetakse selle meetme kohaldamisalast välja. Teiseks keelatakse alates 1. jaanuarist 2021 klientidele müügikohtades tasuta või tasu eest mittekompostitavate õhukeste ja väga õhukeste plastkandekottide andmine. Selle tähtaja eesmärk on kooskõlastada kõigi õhukeste ja väga õhukeste plastkandekottide </w:t>
      </w:r>
      <w:proofErr w:type="spellStart"/>
      <w:r w:rsidRPr="002D3FA8">
        <w:rPr>
          <w:sz w:val="20"/>
        </w:rPr>
        <w:t>kompostitavuse</w:t>
      </w:r>
      <w:proofErr w:type="spellEnd"/>
      <w:r w:rsidRPr="002D3FA8">
        <w:rPr>
          <w:sz w:val="20"/>
        </w:rPr>
        <w:t xml:space="preserve"> kohustus, rakendades täielikult biojäätmete eraldi kogumist, mis on vajalik selleks, et täita ELi eesmärgid olmejäätmete töötlemisel taaskasutatavateks ja </w:t>
      </w:r>
      <w:proofErr w:type="spellStart"/>
      <w:r w:rsidRPr="002D3FA8">
        <w:rPr>
          <w:sz w:val="20"/>
        </w:rPr>
        <w:t>ringlussevõetavateks</w:t>
      </w:r>
      <w:proofErr w:type="spellEnd"/>
      <w:r w:rsidRPr="002D3FA8">
        <w:rPr>
          <w:sz w:val="20"/>
        </w:rPr>
        <w:t>, nagu on sätestatud 28. juuli 2011. aasta seaduses 22/2011 ja uutes ELi jäätmedirektiivides. Selle tulemusena tuleb kompostitavaid kotte, mida on kõige parem töödelda bioloogiliste protsessidega, käidelda koos olmejäätmete juures olevate biojäätmetega. Niiviisi toimimine takistab selliste jäätmete segunemist muude jäätmetega, näiteks plastpakenditega, mis takistaks mittekompostitava plastiku mehaanilist ümbertöötlemist.</w:t>
      </w:r>
    </w:p>
    <w:p w:rsidR="001B208E" w:rsidRPr="002D3FA8" w:rsidRDefault="001B208E" w:rsidP="007D7D7B">
      <w:pPr>
        <w:pStyle w:val="Default"/>
        <w:widowControl/>
        <w:spacing w:before="120" w:after="120"/>
        <w:ind w:firstLine="720"/>
        <w:rPr>
          <w:sz w:val="20"/>
          <w:szCs w:val="20"/>
        </w:rPr>
      </w:pPr>
      <w:r w:rsidRPr="002D3FA8">
        <w:rPr>
          <w:sz w:val="20"/>
        </w:rPr>
        <w:t>Tuleb meeles pidada, et Euroopa Parlamendi ja nõukogu 29. aprilli 2015. aasta direktiivi (EL) 2015/720 ja seega ka selle kuningliku dekreedi eesmärk on vähendada õhukeste plastkandekottide tarbimist. Üks võimalus selle saavutamiseks on plastkandekottide kasutamine, kuid on ka teisi variante. Müüjaid ei tohi sundida mittekompostitavaid plastkandekotte asendama kompostitavate plastkandekottidega – nad võivad kasutada ka muid lahendusi, tingimusel et nende valik ei too kaasa pakendijäätmete hulga suurenemist.</w:t>
      </w:r>
    </w:p>
    <w:p w:rsidR="001B208E" w:rsidRPr="002D3FA8" w:rsidRDefault="001B208E" w:rsidP="007D7D7B">
      <w:pPr>
        <w:pStyle w:val="Default"/>
        <w:widowControl/>
        <w:spacing w:before="120" w:after="120"/>
        <w:ind w:firstLine="720"/>
        <w:rPr>
          <w:sz w:val="20"/>
          <w:szCs w:val="20"/>
        </w:rPr>
      </w:pPr>
      <w:r w:rsidRPr="002D3FA8">
        <w:rPr>
          <w:sz w:val="20"/>
        </w:rPr>
        <w:t>Viimastel aastatel on turule toodud plastkandekotid, mis on märgistatud kui „</w:t>
      </w:r>
      <w:proofErr w:type="spellStart"/>
      <w:r w:rsidRPr="002D3FA8">
        <w:rPr>
          <w:sz w:val="20"/>
        </w:rPr>
        <w:t>okso</w:t>
      </w:r>
      <w:proofErr w:type="spellEnd"/>
      <w:r w:rsidRPr="002D3FA8">
        <w:rPr>
          <w:sz w:val="20"/>
        </w:rPr>
        <w:t>-biolagunevad“ või „</w:t>
      </w:r>
      <w:proofErr w:type="spellStart"/>
      <w:r w:rsidRPr="002D3FA8">
        <w:rPr>
          <w:sz w:val="20"/>
        </w:rPr>
        <w:t>okso</w:t>
      </w:r>
      <w:proofErr w:type="spellEnd"/>
      <w:r w:rsidRPr="002D3FA8">
        <w:rPr>
          <w:sz w:val="20"/>
        </w:rPr>
        <w:t xml:space="preserve">-lagunevad“. Need kandekotid sisaldavad lisaks tavalisele plastile lisaaineid, mis aja jooksul lagundavad plasti väikesteks osakesteks, mis jäävad keskkonda. Nende kandekottide nimetamine biolagunevateks oleks eksitav, võttes arvesse, et need ei paku lahendust kottide kõrvaldamisega seotud reostusprobleemidele, vaid süvendavad neid pigem veelgi. Kuna </w:t>
      </w:r>
      <w:proofErr w:type="spellStart"/>
      <w:r w:rsidRPr="002D3FA8">
        <w:rPr>
          <w:sz w:val="20"/>
        </w:rPr>
        <w:lastRenderedPageBreak/>
        <w:t>fotofragmenteeruvast</w:t>
      </w:r>
      <w:proofErr w:type="spellEnd"/>
      <w:r w:rsidRPr="002D3FA8">
        <w:rPr>
          <w:sz w:val="20"/>
        </w:rPr>
        <w:t xml:space="preserve">, </w:t>
      </w:r>
      <w:proofErr w:type="spellStart"/>
      <w:r w:rsidRPr="002D3FA8">
        <w:rPr>
          <w:sz w:val="20"/>
        </w:rPr>
        <w:t>termofragmenteeruvast</w:t>
      </w:r>
      <w:proofErr w:type="spellEnd"/>
      <w:r w:rsidRPr="002D3FA8">
        <w:rPr>
          <w:sz w:val="20"/>
        </w:rPr>
        <w:t xml:space="preserve"> ja </w:t>
      </w:r>
      <w:proofErr w:type="spellStart"/>
      <w:r w:rsidRPr="002D3FA8">
        <w:rPr>
          <w:sz w:val="20"/>
        </w:rPr>
        <w:t>hüdrofragmenteeruvast</w:t>
      </w:r>
      <w:proofErr w:type="spellEnd"/>
      <w:r w:rsidRPr="002D3FA8">
        <w:rPr>
          <w:sz w:val="20"/>
        </w:rPr>
        <w:t xml:space="preserve"> plastist valmistatud kandekotid toimivad sarnaselt </w:t>
      </w:r>
      <w:proofErr w:type="spellStart"/>
      <w:r w:rsidRPr="002D3FA8">
        <w:rPr>
          <w:sz w:val="20"/>
        </w:rPr>
        <w:t>okso</w:t>
      </w:r>
      <w:proofErr w:type="spellEnd"/>
      <w:r w:rsidRPr="002D3FA8">
        <w:rPr>
          <w:sz w:val="20"/>
        </w:rPr>
        <w:t>-lagunevate plastidega, on osutunud kasulikuks mõiste „</w:t>
      </w:r>
      <w:proofErr w:type="spellStart"/>
      <w:r w:rsidRPr="002D3FA8">
        <w:rPr>
          <w:sz w:val="20"/>
        </w:rPr>
        <w:t>fragmenteeruvad</w:t>
      </w:r>
      <w:proofErr w:type="spellEnd"/>
      <w:r w:rsidRPr="002D3FA8">
        <w:rPr>
          <w:sz w:val="20"/>
        </w:rPr>
        <w:t xml:space="preserve">“ plastkandekotid. Pinnase, vee ja elustiku kahjustamise vältimiseks keskkonnas olevate plastide, eelkõige väikeste plastide püsivuse tõttu on samuti otsustatud keelata </w:t>
      </w:r>
      <w:proofErr w:type="spellStart"/>
      <w:r w:rsidRPr="002D3FA8">
        <w:rPr>
          <w:sz w:val="20"/>
        </w:rPr>
        <w:t>fragmenteeruvate</w:t>
      </w:r>
      <w:proofErr w:type="spellEnd"/>
      <w:r w:rsidRPr="002D3FA8">
        <w:rPr>
          <w:sz w:val="20"/>
        </w:rPr>
        <w:t xml:space="preserve"> plastkandekottide tarnimine alates 1. jaanuarist 2020, st selliste plastkandekottide tarnimine, mis sisaldavad plastmaterjali mikroosakesteks </w:t>
      </w:r>
      <w:proofErr w:type="spellStart"/>
      <w:r w:rsidRPr="002D3FA8">
        <w:rPr>
          <w:sz w:val="20"/>
        </w:rPr>
        <w:t>fragmenteerumist</w:t>
      </w:r>
      <w:proofErr w:type="spellEnd"/>
      <w:r w:rsidRPr="002D3FA8">
        <w:rPr>
          <w:sz w:val="20"/>
        </w:rPr>
        <w:t xml:space="preserve"> põhjustavaid lisaaineid.</w:t>
      </w:r>
    </w:p>
    <w:p w:rsidR="00694AFB" w:rsidRPr="002D3FA8" w:rsidRDefault="001B208E" w:rsidP="007D7D7B">
      <w:pPr>
        <w:pStyle w:val="Default"/>
        <w:widowControl/>
        <w:spacing w:before="120" w:after="120"/>
        <w:ind w:firstLine="720"/>
        <w:rPr>
          <w:sz w:val="20"/>
          <w:szCs w:val="20"/>
        </w:rPr>
      </w:pPr>
      <w:r w:rsidRPr="002D3FA8">
        <w:rPr>
          <w:sz w:val="20"/>
        </w:rPr>
        <w:t xml:space="preserve">Arvestades, et Euroopa Parlamendi ja nõukogu 29. aprilli 2015. aasta direktiiviga (EL) 2015/720 on liikmesriikidele antud võimalus võtta meetmeid igat tüüpi plastkandekottide tarbimise vähendamiseks, olenemata nende paksusest, on peetud vajalikuks võtta meetmeid kandekottide jaoks, mille seinapaksus on vähemalt 50 mikromeetrit. Esiteks määratakse alates 1. juulist 2018 tasu igale sellisele kandekotile, välja arvatud kottidele, mis koosnevad vähemalt 70% ulatuses </w:t>
      </w:r>
      <w:proofErr w:type="spellStart"/>
      <w:r w:rsidRPr="002D3FA8">
        <w:rPr>
          <w:sz w:val="20"/>
        </w:rPr>
        <w:t>ringlussevõetud</w:t>
      </w:r>
      <w:proofErr w:type="spellEnd"/>
      <w:r w:rsidRPr="002D3FA8">
        <w:rPr>
          <w:sz w:val="20"/>
        </w:rPr>
        <w:t xml:space="preserve"> plastist. Teiseks, et liikuda ringmajanduse suunas ja edendada </w:t>
      </w:r>
      <w:proofErr w:type="spellStart"/>
      <w:r w:rsidRPr="002D3FA8">
        <w:rPr>
          <w:sz w:val="20"/>
        </w:rPr>
        <w:t>ringlussevõetud</w:t>
      </w:r>
      <w:proofErr w:type="spellEnd"/>
      <w:r w:rsidRPr="002D3FA8">
        <w:rPr>
          <w:sz w:val="20"/>
        </w:rPr>
        <w:t xml:space="preserve"> jäätmete taaskasutamist uute toodete valmistamisel, peavad kõnealused kandekotid alates 1. jaanuarist 2020 sisaldama vähemalt 50% </w:t>
      </w:r>
      <w:proofErr w:type="spellStart"/>
      <w:r w:rsidRPr="002D3FA8">
        <w:rPr>
          <w:sz w:val="20"/>
        </w:rPr>
        <w:t>ringlussevõetud</w:t>
      </w:r>
      <w:proofErr w:type="spellEnd"/>
      <w:r w:rsidRPr="002D3FA8">
        <w:rPr>
          <w:sz w:val="20"/>
        </w:rPr>
        <w:t xml:space="preserve"> plasti ja nende kandekottide puhul tuleb pakkuda välja madalam soovituslik hind. Et oleks võimalik jälgida ja kontrollida rohkem kui 70% ulatuses </w:t>
      </w:r>
      <w:proofErr w:type="spellStart"/>
      <w:r w:rsidRPr="002D3FA8">
        <w:rPr>
          <w:sz w:val="20"/>
        </w:rPr>
        <w:t>ringlussevõetud</w:t>
      </w:r>
      <w:proofErr w:type="spellEnd"/>
      <w:r w:rsidRPr="002D3FA8">
        <w:rPr>
          <w:sz w:val="20"/>
        </w:rPr>
        <w:t xml:space="preserve"> plastikust koosnevatele kottidele kohaldatavat maksuvabastust, peavad müüjad säilitama selle protsendi kinnitamiseks vajalikud dokumendid.</w:t>
      </w:r>
    </w:p>
    <w:p w:rsidR="001B208E" w:rsidRPr="002D3FA8" w:rsidRDefault="001B208E" w:rsidP="007D7D7B">
      <w:pPr>
        <w:pStyle w:val="Default"/>
        <w:widowControl/>
        <w:spacing w:before="120" w:after="120"/>
        <w:ind w:firstLine="720"/>
        <w:rPr>
          <w:sz w:val="20"/>
          <w:szCs w:val="20"/>
        </w:rPr>
      </w:pPr>
      <w:r w:rsidRPr="002D3FA8">
        <w:rPr>
          <w:sz w:val="20"/>
        </w:rPr>
        <w:t xml:space="preserve">Viimaks tuleb märkida, et kõik need meetmed mõjutavad ka veebiostude ja </w:t>
      </w:r>
      <w:proofErr w:type="spellStart"/>
      <w:r w:rsidRPr="002D3FA8">
        <w:rPr>
          <w:sz w:val="20"/>
        </w:rPr>
        <w:t>kojutarnete</w:t>
      </w:r>
      <w:proofErr w:type="spellEnd"/>
      <w:r w:rsidRPr="002D3FA8">
        <w:rPr>
          <w:sz w:val="20"/>
        </w:rPr>
        <w:t xml:space="preserve"> jaoks ette nähtud kotte. See ei hõlma kaugmüügi puhul kasutatavaid plastpakendeid, kuigi neid käsitatakse pakendina, kui need vastavad pakendi määratlusele, mis on sätestatud 24. aprilli 1997. aasta seaduses 11/1997.</w:t>
      </w:r>
    </w:p>
    <w:p w:rsidR="001B208E" w:rsidRPr="002D3FA8" w:rsidRDefault="001B208E" w:rsidP="007D7D7B">
      <w:pPr>
        <w:pStyle w:val="Default"/>
        <w:widowControl/>
        <w:spacing w:before="120" w:after="120"/>
        <w:ind w:firstLine="720"/>
        <w:rPr>
          <w:sz w:val="20"/>
          <w:szCs w:val="20"/>
        </w:rPr>
      </w:pPr>
      <w:r w:rsidRPr="002D3FA8">
        <w:rPr>
          <w:sz w:val="20"/>
        </w:rPr>
        <w:t>Selleks, et üldsust harida ja parandada teadlikkust selle kuningliku dekreediga võetud meetmete ning õhukeste plastkandekottide ülemäärasest tarbimisest ja kõrvaldamisest tuleneva keskkonnamõju kohta ning et edendada jäätmehierarhia põhimõtte rakendamist, peavad põllumajandus-, kalandus-, toidu- ja keskkonnaministeerium ning autonoomsete piirkondade pädevad asutused viima ellu teadlikkuse tõstmise kampaaniaid vähemalt esimesel aastal pärast selle kuningliku dekreedi jõustumist. Lisaks sellele peavad need kampaaniad teavitama üldsust sellest, milliseid konteinereid nad kompostitavate ja mittekompostivate plastkandekottide kõrvaldamiseks kasutama peaksid. Samamoodi võivad teadlikkuse tõstmise kampaaniaid ellu viia ka kohalikud kogukonnad ja erasektor. Võttes arvesse, et plastkandekotid on pakendid, võib valitsuse korraldatavaid kampaaniaid rahastada kollektiivsete laiendatud vastutuse süsteemidega (varem tuntud kui integreeritud juhtimissüsteemid) kõnealuste süsteemide ja autonoomsete piirkondade või vajaduse korral kohalike kogukondade vahel sõlmitud rahastamislepingute raames.</w:t>
      </w:r>
    </w:p>
    <w:p w:rsidR="001B208E" w:rsidRPr="002D3FA8" w:rsidRDefault="001B208E" w:rsidP="007D7D7B">
      <w:pPr>
        <w:pStyle w:val="Default"/>
        <w:widowControl/>
        <w:spacing w:before="120" w:after="120"/>
        <w:ind w:firstLine="720"/>
        <w:rPr>
          <w:sz w:val="20"/>
          <w:szCs w:val="20"/>
        </w:rPr>
      </w:pPr>
      <w:r w:rsidRPr="002D3FA8">
        <w:rPr>
          <w:sz w:val="20"/>
        </w:rPr>
        <w:t>Euroopa õigusaktide sätted näevad ette kompostitavate kandekottide märgistamise kohustuse 18 kuu jooksul pärast seda, kui Euroopa Komisjon võtab vastu õigusakti, millega kehtestatakse tähistamise ja märgistamise spetsifikatsioonid, et tagada nende kandekottide tunnustamine terves Euroopa Liidus ning anda tarbijatele korrektset teavet nende kandekottide omaduste kohta.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IV</w:t>
      </w:r>
    </w:p>
    <w:p w:rsidR="001B208E" w:rsidRPr="002D3FA8" w:rsidRDefault="001B208E" w:rsidP="007D7D7B">
      <w:pPr>
        <w:pStyle w:val="Default"/>
        <w:widowControl/>
        <w:spacing w:before="120" w:after="120"/>
        <w:ind w:firstLine="720"/>
        <w:rPr>
          <w:sz w:val="20"/>
          <w:szCs w:val="20"/>
        </w:rPr>
      </w:pPr>
      <w:r w:rsidRPr="002D3FA8">
        <w:rPr>
          <w:sz w:val="20"/>
        </w:rPr>
        <w:t>28. juuli 2011. aasta seaduses 22/2011 edendatakse jäätmete vähendamise, taaskasutamise ja ringlussevõtu meetmete rakendamist vastavalt Euroopa Parlamendi ja nõukogu 19. novembri 2008. aasta direktiivile 2008/98/EÜ, mis käsitleb jäätmeid ja millega tunnistatakse kehtetuks teatud direktiivid (jäätmete raamdirektiiv). Planeerimisvahenditena sätestatakse seaduses jäätmekava ja -programmid ning jäätmete vähendamise programmid ning seatakse eesmärgid jäätmete vähendamiseks ja eraldi kogumiseks. Need vähendamise ja eraldi kogumise eesmärgid seotakse selliste teguritega nagu teabe kättesaadavus seda laadi turustatavate toodete koguse ja liigi kohta, mis pärast kasutamist muutuvad jäätmeteks.</w:t>
      </w:r>
    </w:p>
    <w:p w:rsidR="001B208E" w:rsidRPr="002D3FA8" w:rsidRDefault="001B208E" w:rsidP="007D7D7B">
      <w:pPr>
        <w:pStyle w:val="Default"/>
        <w:widowControl/>
        <w:spacing w:before="120" w:after="120"/>
        <w:ind w:firstLine="720"/>
        <w:rPr>
          <w:sz w:val="20"/>
          <w:szCs w:val="20"/>
        </w:rPr>
      </w:pPr>
      <w:r w:rsidRPr="002D3FA8">
        <w:rPr>
          <w:sz w:val="20"/>
        </w:rPr>
        <w:t>Võttes arvesse üha suuremat vajadust jätkata teatavate jäätmeliikide tootmise vähendamist, parandada kogumismeetodeid, suurendada ringlussevõtu määrasid ja võtta vajaduse korral rahastamismeetmeid, vajavad keskkonnateenistused suures koguses teavet selliste turule lastud toodete koguse ja liigi kohta, mis muutuvad pärast kasutamist jäätmeteks.</w:t>
      </w:r>
    </w:p>
    <w:p w:rsidR="00694AFB" w:rsidRPr="002D3FA8" w:rsidRDefault="001B208E" w:rsidP="007D7D7B">
      <w:pPr>
        <w:pStyle w:val="Default"/>
        <w:widowControl/>
        <w:spacing w:before="120" w:after="120"/>
        <w:ind w:firstLine="720"/>
        <w:rPr>
          <w:sz w:val="20"/>
          <w:szCs w:val="20"/>
        </w:rPr>
      </w:pPr>
      <w:r w:rsidRPr="002D3FA8">
        <w:rPr>
          <w:sz w:val="20"/>
        </w:rPr>
        <w:t>Kohustus koguda registrite kujul teavet teatud tüüpi jäätmeid tootvate turule lastud toodete koguse kohta on sätestatud mitmes Euroopa jäätmekäitlust käsitlevas direktiivis ja eelkõige määrustes, millega kohaldatakse tootja laiendatud vastutuse põhimõtet. Sellistel juhtudel peab iga tootja majanduslik panus jäätmekäitluse rahastamiseks olema proportsionaalne nende toodete koguse ja liigiga, mida iga tootja turule laseb.</w:t>
      </w:r>
    </w:p>
    <w:p w:rsidR="001B208E" w:rsidRPr="002D3FA8" w:rsidRDefault="001B208E" w:rsidP="007D7D7B">
      <w:pPr>
        <w:pStyle w:val="Default"/>
        <w:widowControl/>
        <w:spacing w:before="120" w:after="120"/>
        <w:ind w:firstLine="720"/>
        <w:rPr>
          <w:sz w:val="20"/>
          <w:szCs w:val="20"/>
        </w:rPr>
      </w:pPr>
      <w:r w:rsidRPr="002D3FA8">
        <w:rPr>
          <w:sz w:val="20"/>
        </w:rPr>
        <w:t>Juurdepääs teabele erinevat tüüpi pakendite turule laskmise kohta, näiteks plastkandekottide turule laskmine, on oluline selleks, et hinnata tarbimise vähendamise eesmärkide täitmist Euroopa Liidus ning täita iga-aastaseid aruandluskohustusi Euroopa Komisjoni ees. Neil põhjustel on vaja nõuda, et tootjad esitaksid igal aastal teavet plastkandekottide turule laskmise kohta. See on toonud kaasa toodete tootjate registri loomise. Register on administratiivset ja deklareerivat laadi ning kuulub põllumajandus-, kalandus-, toidu- ja keskkonnaministeeriumi all oleva keskkonnakvaliteedi ja -hindamise ning looduskeskkonna peadirektoraadi vastutusalasse.</w:t>
      </w:r>
    </w:p>
    <w:p w:rsidR="001B208E" w:rsidRPr="002D3FA8" w:rsidRDefault="001B208E" w:rsidP="007D7D7B">
      <w:pPr>
        <w:pStyle w:val="Default"/>
        <w:widowControl/>
        <w:spacing w:before="120" w:after="120"/>
        <w:ind w:firstLine="720"/>
        <w:rPr>
          <w:sz w:val="20"/>
          <w:szCs w:val="20"/>
        </w:rPr>
      </w:pPr>
      <w:r w:rsidRPr="002D3FA8">
        <w:rPr>
          <w:sz w:val="20"/>
        </w:rPr>
        <w:t>Toodete tootjate registri raames tuleb luua plastkandekottide tootjate sektsioon. Uute registrisektsioonide loomine võib toimuda muude konkreetsete jäätmevoogude reguleerimisega.</w:t>
      </w:r>
    </w:p>
    <w:p w:rsidR="001B208E" w:rsidRPr="002D3FA8" w:rsidRDefault="001B208E" w:rsidP="007D7D7B">
      <w:pPr>
        <w:pStyle w:val="Default"/>
        <w:widowControl/>
        <w:spacing w:before="120" w:after="120"/>
        <w:ind w:firstLine="720"/>
        <w:rPr>
          <w:sz w:val="20"/>
          <w:szCs w:val="20"/>
        </w:rPr>
      </w:pPr>
      <w:r w:rsidRPr="002D3FA8">
        <w:rPr>
          <w:sz w:val="20"/>
        </w:rPr>
        <w:lastRenderedPageBreak/>
        <w:t>Selles kuninglikus dekreedis sätestatakse plastkandekottide tootjatele ja importijatele kohustused registreeruda toodete tootjate registri plastkandekottide sektsioonis kolme kuu jooksul pärast selle kuningliku dekreedi jõustumist ning sätestatakse ka kohustus anda teavet plastkandekottide turule laskmise kohta, et täita Euroopa Komisjoni ees iga-aastaseid aruandluskohustusi plastkandekottide aastase tarbimise kohta.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V</w:t>
      </w:r>
    </w:p>
    <w:p w:rsidR="001B208E" w:rsidRPr="002D3FA8" w:rsidRDefault="001B208E" w:rsidP="007D7D7B">
      <w:pPr>
        <w:pStyle w:val="Default"/>
        <w:widowControl/>
        <w:spacing w:before="120" w:after="120"/>
        <w:ind w:firstLine="720"/>
        <w:rPr>
          <w:sz w:val="20"/>
          <w:szCs w:val="20"/>
        </w:rPr>
      </w:pPr>
      <w:r w:rsidRPr="002D3FA8">
        <w:rPr>
          <w:sz w:val="20"/>
        </w:rPr>
        <w:t>See kuninglik dekreet on vastu võetud Hispaania põhiseaduse artikli 149 lõike 1 punktide 13 ja 23 raames, millega antakse riigile vastavalt ainupädevus põhieeskirjade ning üldise majandusliku planeerimise ja keskkonnakaitsealaste õigusaktide kooskõlastamise valdkonnas. Volitus selle regulatiivse muudatuse kehtestamiseks antakse 28. juuli 2011. aasta seaduse 22/2011 kolmanda lõppsätte alusel, millega lubatakse riigi valitsusel kehtestada oma pädevuste piires õiguslikke sätteid, mis on vajalikud selle seaduse rakendamiseks ja kohaldamiseks ning eelkõige selleks, et vastu võtta eri liiki jäätmete standardid, milles kehtestatakse nende tootmist ja haldamist käsitlevad erisätted, ning nimetatud seaduse kaheksanda lisasätte alusel, millega nähakse ette jäätmealaste õigusaktide muutmine.</w:t>
      </w:r>
    </w:p>
    <w:p w:rsidR="001B208E" w:rsidRPr="002D3FA8" w:rsidRDefault="001B208E" w:rsidP="007D7D7B">
      <w:pPr>
        <w:pStyle w:val="Default"/>
        <w:widowControl/>
        <w:spacing w:before="120" w:after="120"/>
        <w:ind w:firstLine="720"/>
        <w:rPr>
          <w:sz w:val="20"/>
          <w:szCs w:val="20"/>
        </w:rPr>
      </w:pPr>
      <w:r w:rsidRPr="002D3FA8">
        <w:rPr>
          <w:sz w:val="20"/>
        </w:rPr>
        <w:t>Selles kuninglikus dekreedis vastuvõetud meetmete olemus tugineb samuti 28. juuli 2011. aasta seaduse 22/2011 artikli 16 lõike 1 sätetele, milles märgitakse, et pädevad asutused võivad võtta majanduslikke, finants- ja maksualaseid meetmeid jäätmete tekke vähendamise edendamiseks, rakendada eraldi kogumist, parandada jäätmekäitlust, toetada ja tugevdada ringlussevõtu turge ning tagada, et jäätmesektoris aidatakse kaasa kasvuhoonegaaside heitkoguste vähendamisele.</w:t>
      </w:r>
    </w:p>
    <w:p w:rsidR="001B208E" w:rsidRPr="002D3FA8" w:rsidRDefault="001B208E" w:rsidP="007D7D7B">
      <w:pPr>
        <w:pStyle w:val="Default"/>
        <w:widowControl/>
        <w:spacing w:before="120" w:after="120"/>
        <w:ind w:firstLine="720"/>
        <w:rPr>
          <w:sz w:val="20"/>
          <w:szCs w:val="20"/>
        </w:rPr>
      </w:pPr>
      <w:r w:rsidRPr="002D3FA8">
        <w:rPr>
          <w:sz w:val="20"/>
        </w:rPr>
        <w:t>Enne selle kuningliku dekreedi teksti koostamist korraldati põllumajandus-, kalandus-, toidu- ja keskkonnaministeeriumi veebiportaali kaudu eelnev avalik arutelu, mis on ette nähtud 1. oktoobri 2015. aasta seaduse 39/2015 artiklis 133 avaliku võimu tavapärase haldusmenetluse kohta, seoses 27. novembri 1997. aasta valitsuse seaduse 50/1997 artikli 26 lõikega 2.</w:t>
      </w:r>
    </w:p>
    <w:p w:rsidR="00694AFB" w:rsidRPr="002D3FA8" w:rsidRDefault="001B208E" w:rsidP="007D7D7B">
      <w:pPr>
        <w:pStyle w:val="Default"/>
        <w:widowControl/>
        <w:spacing w:before="120" w:after="120"/>
        <w:ind w:firstLine="720"/>
        <w:rPr>
          <w:sz w:val="20"/>
          <w:szCs w:val="20"/>
        </w:rPr>
      </w:pPr>
      <w:r w:rsidRPr="002D3FA8">
        <w:rPr>
          <w:sz w:val="20"/>
        </w:rPr>
        <w:t xml:space="preserve">Selle kuningliku dekreedi koostamisel peeti nõupidamisi majandus- ja sotsiaalpartnerite, autonoomsete piirkondade ning Ceuta ja </w:t>
      </w:r>
      <w:proofErr w:type="spellStart"/>
      <w:r w:rsidRPr="002D3FA8">
        <w:rPr>
          <w:sz w:val="20"/>
        </w:rPr>
        <w:t>Melilla</w:t>
      </w:r>
      <w:proofErr w:type="spellEnd"/>
      <w:r w:rsidRPr="002D3FA8">
        <w:rPr>
          <w:sz w:val="20"/>
        </w:rPr>
        <w:t xml:space="preserve"> autonoomsete linnadega, samuti kohalike kogukondade ja kõige tüüpilisemate sektoritega, mida kõnealune dekreet mõjutada võib. Lisaks sisaldas esitatud eelnõu konsulteerimist riikliku keskkonnaametiga ja üldsuse osalemise menetlust kooskõlas 18. juuli 2006. aasta seaduse 27/2006 sätetega, millega reguleeritakse teabe kättesaadavust, üldsuse osalemist ja õiguskaitse kättesaadavust keskkonnaalastes küsimustes (võttes üle direktiivid 2003/4/EÜ ja 2003/35/EÜ), ja valitsuse 27. novembri 1997. aasta seaduse 50/1997 sätetega.</w:t>
      </w:r>
    </w:p>
    <w:p w:rsidR="001B208E" w:rsidRPr="002D3FA8" w:rsidRDefault="001B208E" w:rsidP="007D7D7B">
      <w:pPr>
        <w:pStyle w:val="Default"/>
        <w:widowControl/>
        <w:spacing w:before="120" w:after="120"/>
        <w:ind w:firstLine="720"/>
        <w:rPr>
          <w:sz w:val="20"/>
          <w:szCs w:val="20"/>
        </w:rPr>
      </w:pPr>
      <w:r w:rsidRPr="002D3FA8">
        <w:rPr>
          <w:sz w:val="20"/>
        </w:rPr>
        <w:t xml:space="preserve">Samamoodi </w:t>
      </w:r>
      <w:proofErr w:type="spellStart"/>
      <w:r w:rsidRPr="002D3FA8">
        <w:rPr>
          <w:sz w:val="20"/>
        </w:rPr>
        <w:t>eelteavitati</w:t>
      </w:r>
      <w:proofErr w:type="spellEnd"/>
      <w:r w:rsidRPr="002D3FA8">
        <w:rPr>
          <w:sz w:val="20"/>
        </w:rPr>
        <w:t xml:space="preserve"> sellest kuninglikust määrusest Euroopa Komisjoni vastavalt Euroopa Parlamendi ja nõukogu 20. detsembri 1994. aasta direktiivi 94/62/EÜ (pakendite ja pakendijäätmete kohta) artiklile 16, rakendades korda, mis on sätestatud Euroopa Parlamendi ja nõukogu 9. septembri 2015. aasta direktiivis 2015/1535, millega sätestatakse tehnilistest eeskirjadest ja infoühiskonna teenuste eeskirjadest teatamise kord, ja 31. juuli 1999. aasta kuninglikus dekreedis 1337/1999 teabe edastamisest tehniliste eeskirjade ja infoühiskonna teenuste eeskirjade kohta.</w:t>
      </w:r>
    </w:p>
    <w:p w:rsidR="001B208E" w:rsidRPr="002D3FA8" w:rsidRDefault="001B208E" w:rsidP="007D7D7B">
      <w:pPr>
        <w:pStyle w:val="Default"/>
        <w:widowControl/>
        <w:spacing w:before="120" w:after="120"/>
        <w:ind w:firstLine="720"/>
        <w:rPr>
          <w:sz w:val="20"/>
          <w:szCs w:val="20"/>
        </w:rPr>
      </w:pPr>
      <w:r w:rsidRPr="002D3FA8">
        <w:rPr>
          <w:sz w:val="20"/>
        </w:rPr>
        <w:t>Eespool sätestatud asjaolusid arvesse võttes on see kuninglik dekreet koostatud vastavalt vajaduse, efektiivsuse, proportsionaalsuse, õiguskindluse, läbipaistvuse ja tõhususe põhimõtetele kooskõlas 1. oktoobri 2015. aasta seaduse 39/2015 artikliga 129.</w:t>
      </w:r>
    </w:p>
    <w:p w:rsidR="001B208E" w:rsidRPr="002D3FA8" w:rsidRDefault="001B208E" w:rsidP="007D7D7B">
      <w:pPr>
        <w:pStyle w:val="Default"/>
        <w:widowControl/>
        <w:spacing w:before="120" w:after="120"/>
        <w:ind w:firstLine="720"/>
        <w:rPr>
          <w:sz w:val="20"/>
          <w:szCs w:val="20"/>
        </w:rPr>
      </w:pPr>
      <w:r w:rsidRPr="002D3FA8">
        <w:rPr>
          <w:sz w:val="20"/>
        </w:rPr>
        <w:t>Lisaks on see kuninglik dekreet osa 2018. aasta ametlikust iga-aastasest tegevuskavast vastavalt 27. novembri 1997. aasta seaduse 50/1997 artiklile 25.</w:t>
      </w:r>
    </w:p>
    <w:p w:rsidR="001B208E" w:rsidRPr="002D3FA8" w:rsidRDefault="001B208E" w:rsidP="007D7D7B">
      <w:pPr>
        <w:pStyle w:val="Default"/>
        <w:widowControl/>
        <w:spacing w:before="120" w:after="120"/>
        <w:ind w:firstLine="720"/>
        <w:rPr>
          <w:sz w:val="20"/>
          <w:szCs w:val="20"/>
        </w:rPr>
      </w:pPr>
      <w:r w:rsidRPr="002D3FA8">
        <w:rPr>
          <w:sz w:val="20"/>
        </w:rPr>
        <w:t>Eelnevat arvesse võttes, põllumajandus-, kalandus-, toidu- ja keskkonnaministri ettepanekul, riigikassa ja avaliku halduse ministri eelneva heakskiidu alusel, kooskõlas Riiginõukoguga ning pärast seda, kui ministrite nõukogu seda oma 18. mai 2018. aasta kohtumisel arutas,</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SÄTESTAN KÄESOLEVAGA ALLJÄRGNEVA.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 PEATÜKK</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b/>
          <w:color w:val="000000"/>
          <w:sz w:val="20"/>
        </w:rPr>
        <w:t>Üldsätted</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1. </w:t>
      </w:r>
      <w:r w:rsidRPr="002D3FA8">
        <w:rPr>
          <w:i/>
          <w:sz w:val="20"/>
        </w:rPr>
        <w:t>Eesmärk</w:t>
      </w:r>
    </w:p>
    <w:p w:rsidR="001B208E" w:rsidRPr="002D3FA8" w:rsidRDefault="001B208E" w:rsidP="007D7D7B">
      <w:pPr>
        <w:pStyle w:val="Default"/>
        <w:widowControl/>
        <w:spacing w:before="120" w:after="120"/>
        <w:ind w:firstLine="720"/>
        <w:rPr>
          <w:sz w:val="20"/>
          <w:szCs w:val="20"/>
        </w:rPr>
      </w:pPr>
      <w:r w:rsidRPr="002D3FA8">
        <w:rPr>
          <w:sz w:val="20"/>
        </w:rPr>
        <w:t>1. Selle kuningliku dekreedi eesmärk on võtta meetmeid plastkandekottide tarbimise vähendamiseks, et minimeerida nende plastkandekottide jäätmete kahjulikku mõju keskkonnale, pöörates erilist tähelepanu veeökosüsteemidele ning teatavatele majanduslikele tegevustele, näiteks kalastamisele ja turismile, põhjustatud kahjudele. Samuti on selle eesmärk hoida ära materjali- ja majandusressursside kadu plastkandekottide kõrvaldamisel ja nende keskkonda sattumine.</w:t>
      </w:r>
    </w:p>
    <w:p w:rsidR="001B208E" w:rsidRPr="002D3FA8" w:rsidRDefault="001B208E" w:rsidP="007D7D7B">
      <w:pPr>
        <w:pStyle w:val="Default"/>
        <w:widowControl/>
        <w:spacing w:before="120" w:after="120"/>
        <w:ind w:firstLine="720"/>
        <w:rPr>
          <w:sz w:val="20"/>
          <w:szCs w:val="20"/>
        </w:rPr>
      </w:pPr>
      <w:r w:rsidRPr="002D3FA8">
        <w:rPr>
          <w:sz w:val="20"/>
        </w:rPr>
        <w:lastRenderedPageBreak/>
        <w:t>2. Teine selle kuningliku dekreedi eesmärk on toodete tootjate registri loomine. Register on administratiivset ja deklareerivat laadi ning kuulub põllumajandus-, kalandus-, toidu- ja keskkonnaministeeriumi all oleva keskkonnakvaliteedi ja -hindamise ning looduskeskkonna peadirektoraadi vastutusalasse.</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2.</w:t>
      </w:r>
      <w:r w:rsidRPr="002D3FA8">
        <w:rPr>
          <w:i/>
          <w:sz w:val="20"/>
        </w:rPr>
        <w:t> </w:t>
      </w:r>
      <w:r w:rsidRPr="002D3FA8">
        <w:rPr>
          <w:i/>
          <w:sz w:val="20"/>
        </w:rPr>
        <w:t>Kohaldamisala</w:t>
      </w:r>
    </w:p>
    <w:p w:rsidR="001B208E" w:rsidRPr="002D3FA8" w:rsidRDefault="001B208E" w:rsidP="007D7D7B">
      <w:pPr>
        <w:pStyle w:val="Default"/>
        <w:widowControl/>
        <w:spacing w:before="120" w:after="120"/>
        <w:ind w:firstLine="720"/>
        <w:rPr>
          <w:sz w:val="20"/>
          <w:szCs w:val="20"/>
        </w:rPr>
      </w:pPr>
      <w:r w:rsidRPr="002D3FA8">
        <w:rPr>
          <w:sz w:val="20"/>
        </w:rPr>
        <w:t>Seda kuninglikku määrust kohaldatakse kõikide riigi territooriumil turule lastud plastkandekottide ja nendest kandekottidest tulenevate jäätmete suhtes.</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3. </w:t>
      </w:r>
      <w:r w:rsidRPr="002D3FA8">
        <w:rPr>
          <w:i/>
          <w:sz w:val="20"/>
        </w:rPr>
        <w:t>Mõisted</w:t>
      </w:r>
    </w:p>
    <w:p w:rsidR="001B208E" w:rsidRPr="002D3FA8" w:rsidRDefault="001B208E" w:rsidP="007D7D7B">
      <w:pPr>
        <w:pStyle w:val="Default"/>
        <w:widowControl/>
        <w:spacing w:before="120" w:after="120"/>
        <w:ind w:firstLine="720"/>
        <w:rPr>
          <w:sz w:val="20"/>
          <w:szCs w:val="20"/>
        </w:rPr>
      </w:pPr>
      <w:r w:rsidRPr="002D3FA8">
        <w:rPr>
          <w:sz w:val="20"/>
        </w:rPr>
        <w:t>Lisaks mõistetele, mis on esitatud 28. juuli 2011. aasta seaduses 22/2011 saastatud pinnase ja jäätmete kohta, 24. aprilli 1997. aasta seaduses 11/1997 pakendite ja pakendijäätmete kohta ning 30. aprilli 1998. aasta kuninglikus dekreedis 782/1998, millega võetakse vastu 24. aprilli 1997. aasta seaduse 11/1997 rakendusmäärus, on alljärgnevatel mõistetel selle kuningliku dekreedi raames järgmised tähendused:</w:t>
      </w:r>
    </w:p>
    <w:p w:rsidR="00694AFB" w:rsidRPr="002D3FA8" w:rsidRDefault="001B208E" w:rsidP="007D7D7B">
      <w:pPr>
        <w:pStyle w:val="Default"/>
        <w:widowControl/>
        <w:spacing w:before="120" w:after="120"/>
        <w:ind w:firstLine="720"/>
        <w:rPr>
          <w:sz w:val="20"/>
          <w:szCs w:val="20"/>
        </w:rPr>
      </w:pPr>
      <w:r w:rsidRPr="002D3FA8">
        <w:rPr>
          <w:sz w:val="20"/>
        </w:rPr>
        <w:t>a) plast – polümeer Euroopa Parlamendi ja nõukogu 18. detsembri 2006. aasta määruse (EÜ) nr 1907/2006 artikli 3 punkti 5 tähenduses, millele võib olla lisatud lisaaineid või muid aineid ning mis võib olla kandekottide peamiseks struktuurikomponendiks;</w:t>
      </w:r>
    </w:p>
    <w:p w:rsidR="001B208E" w:rsidRPr="002D3FA8" w:rsidRDefault="001B208E" w:rsidP="007D7D7B">
      <w:pPr>
        <w:pStyle w:val="Default"/>
        <w:widowControl/>
        <w:spacing w:before="120" w:after="120"/>
        <w:ind w:firstLine="720"/>
        <w:rPr>
          <w:sz w:val="20"/>
          <w:szCs w:val="20"/>
        </w:rPr>
      </w:pPr>
      <w:r w:rsidRPr="002D3FA8">
        <w:rPr>
          <w:sz w:val="20"/>
        </w:rPr>
        <w:t xml:space="preserve">b) plastkandekott – plastist valmistatud sangadega või sangadeta kandekott, mille tarbija saab kaupade või toodete müügikohast, sealhulgas veebiostude või </w:t>
      </w:r>
      <w:proofErr w:type="spellStart"/>
      <w:r w:rsidRPr="002D3FA8">
        <w:rPr>
          <w:sz w:val="20"/>
        </w:rPr>
        <w:t>kojutarnete</w:t>
      </w:r>
      <w:proofErr w:type="spellEnd"/>
      <w:r w:rsidRPr="002D3FA8">
        <w:rPr>
          <w:sz w:val="20"/>
        </w:rPr>
        <w:t xml:space="preserve"> puhul;</w:t>
      </w:r>
    </w:p>
    <w:p w:rsidR="001B208E" w:rsidRPr="002D3FA8" w:rsidRDefault="001B208E" w:rsidP="007D7D7B">
      <w:pPr>
        <w:pStyle w:val="Default"/>
        <w:widowControl/>
        <w:spacing w:before="120" w:after="120"/>
        <w:ind w:firstLine="720"/>
        <w:rPr>
          <w:sz w:val="20"/>
          <w:szCs w:val="20"/>
        </w:rPr>
      </w:pPr>
      <w:r w:rsidRPr="002D3FA8">
        <w:rPr>
          <w:sz w:val="20"/>
        </w:rPr>
        <w:t>c) õhuke plastkandekott – plastkandekott, mis on õhem kui 50 mikromeetrit;</w:t>
      </w:r>
    </w:p>
    <w:p w:rsidR="001B208E" w:rsidRPr="002D3FA8" w:rsidRDefault="001B208E" w:rsidP="007D7D7B">
      <w:pPr>
        <w:pStyle w:val="Default"/>
        <w:widowControl/>
        <w:spacing w:before="120" w:after="120"/>
        <w:ind w:firstLine="720"/>
        <w:rPr>
          <w:sz w:val="20"/>
          <w:szCs w:val="20"/>
        </w:rPr>
      </w:pPr>
      <w:r w:rsidRPr="002D3FA8">
        <w:rPr>
          <w:sz w:val="20"/>
        </w:rPr>
        <w:t>d) väga õhuke plastkandekott – hügieenilistel eesmärkidel vajalik või pakendamata toidukaupade (nagu puuviljad, köögiviljad, liha, kala jms) pakendamiseks kasutatav plastkandekott, mis on õhem kui 15 mikromeetrit, kui selle kasutamine aitab vähendada toidujäätmeid;</w:t>
      </w:r>
    </w:p>
    <w:p w:rsidR="001B208E" w:rsidRPr="002D3FA8" w:rsidRDefault="001B208E" w:rsidP="007D7D7B">
      <w:pPr>
        <w:pStyle w:val="Default"/>
        <w:widowControl/>
        <w:spacing w:before="120" w:after="120"/>
        <w:ind w:firstLine="720"/>
        <w:rPr>
          <w:sz w:val="20"/>
          <w:szCs w:val="20"/>
        </w:rPr>
      </w:pPr>
      <w:r w:rsidRPr="002D3FA8">
        <w:rPr>
          <w:sz w:val="20"/>
        </w:rPr>
        <w:t>e) </w:t>
      </w:r>
      <w:proofErr w:type="spellStart"/>
      <w:r w:rsidRPr="002D3FA8">
        <w:rPr>
          <w:sz w:val="20"/>
        </w:rPr>
        <w:t>fragmenteeruv</w:t>
      </w:r>
      <w:proofErr w:type="spellEnd"/>
      <w:r w:rsidRPr="002D3FA8">
        <w:rPr>
          <w:sz w:val="20"/>
        </w:rPr>
        <w:t xml:space="preserve"> plastkandekott – plastkandekott, mis on valmistatud plastmaterjalidest, mis sisaldavad lisaaineid, et põhjustada plastmaterjali lagunemist mikroosakesteks. </w:t>
      </w:r>
      <w:proofErr w:type="spellStart"/>
      <w:r w:rsidRPr="002D3FA8">
        <w:rPr>
          <w:sz w:val="20"/>
        </w:rPr>
        <w:t>Fragmenteeruva</w:t>
      </w:r>
      <w:proofErr w:type="spellEnd"/>
      <w:r w:rsidRPr="002D3FA8">
        <w:rPr>
          <w:sz w:val="20"/>
        </w:rPr>
        <w:t xml:space="preserve"> plasti tähendus hõlmab nii </w:t>
      </w:r>
      <w:proofErr w:type="spellStart"/>
      <w:r w:rsidRPr="002D3FA8">
        <w:rPr>
          <w:sz w:val="20"/>
        </w:rPr>
        <w:t>okso-fragmenteeruvaid</w:t>
      </w:r>
      <w:proofErr w:type="spellEnd"/>
      <w:r w:rsidRPr="002D3FA8">
        <w:rPr>
          <w:sz w:val="20"/>
        </w:rPr>
        <w:t xml:space="preserve"> plaste kui ka </w:t>
      </w:r>
      <w:proofErr w:type="spellStart"/>
      <w:r w:rsidRPr="002D3FA8">
        <w:rPr>
          <w:sz w:val="20"/>
        </w:rPr>
        <w:t>fotofragmenteeruvaid</w:t>
      </w:r>
      <w:proofErr w:type="spellEnd"/>
      <w:r w:rsidRPr="002D3FA8">
        <w:rPr>
          <w:sz w:val="20"/>
        </w:rPr>
        <w:t xml:space="preserve">, </w:t>
      </w:r>
      <w:proofErr w:type="spellStart"/>
      <w:r w:rsidRPr="002D3FA8">
        <w:rPr>
          <w:sz w:val="20"/>
        </w:rPr>
        <w:t>termofragmenteeruvaid</w:t>
      </w:r>
      <w:proofErr w:type="spellEnd"/>
      <w:r w:rsidRPr="002D3FA8">
        <w:rPr>
          <w:sz w:val="20"/>
        </w:rPr>
        <w:t xml:space="preserve"> ja </w:t>
      </w:r>
      <w:proofErr w:type="spellStart"/>
      <w:r w:rsidRPr="002D3FA8">
        <w:rPr>
          <w:sz w:val="20"/>
        </w:rPr>
        <w:t>hüdrofragmenteeruvaid</w:t>
      </w:r>
      <w:proofErr w:type="spellEnd"/>
      <w:r w:rsidRPr="002D3FA8">
        <w:rPr>
          <w:sz w:val="20"/>
        </w:rPr>
        <w:t xml:space="preserve"> plaste;</w:t>
      </w:r>
    </w:p>
    <w:p w:rsidR="001B208E" w:rsidRPr="002D3FA8" w:rsidRDefault="001B208E" w:rsidP="007D7D7B">
      <w:pPr>
        <w:pStyle w:val="Default"/>
        <w:widowControl/>
        <w:spacing w:before="120" w:after="120"/>
        <w:ind w:firstLine="720"/>
        <w:rPr>
          <w:sz w:val="20"/>
          <w:szCs w:val="20"/>
        </w:rPr>
      </w:pPr>
      <w:r w:rsidRPr="002D3FA8">
        <w:rPr>
          <w:sz w:val="20"/>
        </w:rPr>
        <w:t xml:space="preserve">f) kompostitav plastkandekott – plastkandekott, mis vastab kohaldatavas Euroopa standardis EN 13432:2000 „Pakend. Kompostimise ja biolagunemise teel taaskasutatavale pakendile esitatavad nõuded. Pakendi lõplikult kõlblikuks tunnistamisel kasutatava testimise kord ja hindamiskriteeriumid“ ja selle tulevaste kohaldatavate versioonide nõuetele, samuti plastkandekotid, mis vastavad Euroopa või riiklikele standarditele </w:t>
      </w:r>
      <w:proofErr w:type="spellStart"/>
      <w:r w:rsidRPr="002D3FA8">
        <w:rPr>
          <w:sz w:val="20"/>
        </w:rPr>
        <w:t>biolagunevuse</w:t>
      </w:r>
      <w:proofErr w:type="spellEnd"/>
      <w:r w:rsidRPr="002D3FA8">
        <w:rPr>
          <w:sz w:val="20"/>
        </w:rPr>
        <w:t xml:space="preserve"> kohta koduse kompostimise kaudu;</w:t>
      </w:r>
    </w:p>
    <w:p w:rsidR="001B208E" w:rsidRPr="002D3FA8" w:rsidRDefault="001B208E" w:rsidP="007D7D7B">
      <w:pPr>
        <w:pStyle w:val="Default"/>
        <w:widowControl/>
        <w:spacing w:before="120" w:after="120"/>
        <w:ind w:firstLine="720"/>
        <w:rPr>
          <w:sz w:val="20"/>
          <w:szCs w:val="20"/>
        </w:rPr>
      </w:pPr>
      <w:r w:rsidRPr="002D3FA8">
        <w:rPr>
          <w:sz w:val="20"/>
        </w:rPr>
        <w:t>g) plastkandekottide tootja – pool, kes laseb valmis plastkandekotid riiklikule turule. Valmis plastkandekottide importijaid peetakse samuti tootjateks.</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II PEATÜKK</w:t>
      </w:r>
    </w:p>
    <w:p w:rsidR="001B208E" w:rsidRPr="002D3FA8" w:rsidRDefault="001B208E" w:rsidP="007D7D7B">
      <w:pPr>
        <w:pStyle w:val="Pa1"/>
        <w:keepNext/>
        <w:keepLines/>
        <w:widowControl/>
        <w:spacing w:before="120" w:after="120" w:line="240" w:lineRule="auto"/>
        <w:jc w:val="center"/>
        <w:rPr>
          <w:sz w:val="20"/>
          <w:szCs w:val="20"/>
        </w:rPr>
      </w:pPr>
      <w:r w:rsidRPr="002D3FA8">
        <w:rPr>
          <w:b/>
          <w:sz w:val="20"/>
        </w:rPr>
        <w:t>Meetmed, kohustused ja kampaaniad plastkandekottide tarbimise vähendamiseks</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4. </w:t>
      </w:r>
      <w:r w:rsidRPr="002D3FA8">
        <w:rPr>
          <w:i/>
          <w:sz w:val="20"/>
        </w:rPr>
        <w:t>Meetmed plastkandekottide kasutamise vähendamiseks</w:t>
      </w:r>
    </w:p>
    <w:p w:rsidR="001B208E" w:rsidRPr="002D3FA8" w:rsidRDefault="001B208E" w:rsidP="007D7D7B">
      <w:pPr>
        <w:pStyle w:val="Default"/>
        <w:widowControl/>
        <w:spacing w:before="120" w:after="120"/>
        <w:ind w:firstLine="720"/>
        <w:rPr>
          <w:sz w:val="20"/>
          <w:szCs w:val="20"/>
        </w:rPr>
      </w:pPr>
      <w:r w:rsidRPr="002D3FA8">
        <w:rPr>
          <w:sz w:val="20"/>
        </w:rPr>
        <w:t>Märgitud jõustumiskuupäevadel tuleb võtta vastu järgmised plastkandekottide kasutamise vähendamiseks mõeldud meetmed.</w:t>
      </w:r>
    </w:p>
    <w:p w:rsidR="001B208E" w:rsidRPr="002D3FA8" w:rsidRDefault="001B208E" w:rsidP="007D7D7B">
      <w:pPr>
        <w:pStyle w:val="Default"/>
        <w:keepNext/>
        <w:keepLines/>
        <w:widowControl/>
        <w:spacing w:before="120" w:after="120"/>
        <w:ind w:firstLine="720"/>
        <w:rPr>
          <w:sz w:val="20"/>
          <w:szCs w:val="20"/>
        </w:rPr>
      </w:pPr>
      <w:r w:rsidRPr="002D3FA8">
        <w:rPr>
          <w:sz w:val="20"/>
        </w:rPr>
        <w:t>1. Alates 1. juulist 2018</w:t>
      </w:r>
    </w:p>
    <w:p w:rsidR="001B208E" w:rsidRPr="002D3FA8" w:rsidRDefault="001B208E" w:rsidP="007D7D7B">
      <w:pPr>
        <w:pStyle w:val="Default"/>
        <w:widowControl/>
        <w:spacing w:before="120" w:after="120"/>
        <w:ind w:firstLine="720"/>
        <w:rPr>
          <w:sz w:val="20"/>
          <w:szCs w:val="20"/>
        </w:rPr>
      </w:pPr>
      <w:r w:rsidRPr="002D3FA8">
        <w:rPr>
          <w:sz w:val="20"/>
        </w:rPr>
        <w:t xml:space="preserve">a) on keelatud anda tarbijatele kaupade või toodete müügikohtades tasuta plastkandekotte, jättes erandiks vaid väga õhukesed kilekotid ja plastkandekotid, mille paksus on vähemalt 50 mikromeetrit või enam, ning mis sisaldavad vähemalt 70% ulatuses </w:t>
      </w:r>
      <w:proofErr w:type="spellStart"/>
      <w:r w:rsidRPr="002D3FA8">
        <w:rPr>
          <w:sz w:val="20"/>
        </w:rPr>
        <w:t>ringlussevõetud</w:t>
      </w:r>
      <w:proofErr w:type="spellEnd"/>
      <w:r w:rsidRPr="002D3FA8">
        <w:rPr>
          <w:sz w:val="20"/>
        </w:rPr>
        <w:t xml:space="preserve"> plastikut;</w:t>
      </w:r>
    </w:p>
    <w:p w:rsidR="001B208E" w:rsidRPr="002D3FA8" w:rsidRDefault="001B208E" w:rsidP="007D7D7B">
      <w:pPr>
        <w:pStyle w:val="Default"/>
        <w:widowControl/>
        <w:spacing w:before="120" w:after="120"/>
        <w:ind w:firstLine="720"/>
        <w:rPr>
          <w:sz w:val="20"/>
          <w:szCs w:val="20"/>
        </w:rPr>
      </w:pPr>
      <w:r w:rsidRPr="002D3FA8">
        <w:rPr>
          <w:sz w:val="20"/>
        </w:rPr>
        <w:t>b) peavad müüjad eelmises lõigus märgitud erandile vastavate kilekottide puhul, mille paksus on 50 mikromeetrit või rohkem, esitama nende kohta tootja väljastatud dokumendid, mis kinnitavad seda protsenti;</w:t>
      </w:r>
    </w:p>
    <w:p w:rsidR="001B208E" w:rsidRPr="002D3FA8" w:rsidRDefault="001B208E" w:rsidP="007D7D7B">
      <w:pPr>
        <w:pStyle w:val="Default"/>
        <w:widowControl/>
        <w:spacing w:before="120" w:after="120"/>
        <w:ind w:firstLine="720"/>
        <w:rPr>
          <w:sz w:val="20"/>
          <w:szCs w:val="20"/>
        </w:rPr>
      </w:pPr>
      <w:r w:rsidRPr="002D3FA8">
        <w:rPr>
          <w:sz w:val="20"/>
        </w:rPr>
        <w:t>c) peavad müüjad küsima tasu iga tarbijale jagatud plastkandekoti eest. Plastkandekottide hinna kindlaksmääramiseks võivad müüjad kasutada viitena I lisas esitatud soovituslikke hindu;</w:t>
      </w:r>
    </w:p>
    <w:p w:rsidR="001B208E" w:rsidRPr="002D3FA8" w:rsidRDefault="001B208E" w:rsidP="007D7D7B">
      <w:pPr>
        <w:pStyle w:val="Default"/>
        <w:widowControl/>
        <w:spacing w:before="120" w:after="120"/>
        <w:ind w:firstLine="720"/>
        <w:rPr>
          <w:sz w:val="20"/>
          <w:szCs w:val="20"/>
        </w:rPr>
      </w:pPr>
      <w:r w:rsidRPr="002D3FA8">
        <w:rPr>
          <w:sz w:val="20"/>
        </w:rPr>
        <w:t>d) peavad müüjad lisaks teavitama tarbijaid kehtestatud hindadest, näidates neid avalikult nähtavas kohas ning viidates sealjuures eelnevates jaotises sätestatud kohustuste täitmisele.</w:t>
      </w:r>
    </w:p>
    <w:p w:rsidR="001B208E" w:rsidRPr="002D3FA8" w:rsidRDefault="001B208E" w:rsidP="007D7D7B">
      <w:pPr>
        <w:pStyle w:val="Default"/>
        <w:keepNext/>
        <w:keepLines/>
        <w:widowControl/>
        <w:spacing w:before="120" w:after="120"/>
        <w:ind w:firstLine="720"/>
        <w:rPr>
          <w:sz w:val="20"/>
          <w:szCs w:val="20"/>
        </w:rPr>
      </w:pPr>
      <w:r w:rsidRPr="002D3FA8">
        <w:rPr>
          <w:sz w:val="20"/>
        </w:rPr>
        <w:lastRenderedPageBreak/>
        <w:t>2. Alates 1. jaanuarist 2020:</w:t>
      </w:r>
    </w:p>
    <w:p w:rsidR="001B208E" w:rsidRPr="002D3FA8" w:rsidRDefault="001B208E" w:rsidP="007D7D7B">
      <w:pPr>
        <w:pStyle w:val="Default"/>
        <w:widowControl/>
        <w:spacing w:before="120" w:after="120"/>
        <w:ind w:firstLine="720"/>
        <w:rPr>
          <w:sz w:val="20"/>
          <w:szCs w:val="20"/>
        </w:rPr>
      </w:pPr>
      <w:r w:rsidRPr="002D3FA8">
        <w:rPr>
          <w:sz w:val="20"/>
        </w:rPr>
        <w:t xml:space="preserve">a) on keelatud jagada tarbijatele kaupade või toodete müügikohtades </w:t>
      </w:r>
      <w:proofErr w:type="spellStart"/>
      <w:r w:rsidRPr="002D3FA8">
        <w:rPr>
          <w:sz w:val="20"/>
        </w:rPr>
        <w:t>fragmenteeruvaid</w:t>
      </w:r>
      <w:proofErr w:type="spellEnd"/>
      <w:r w:rsidRPr="002D3FA8">
        <w:rPr>
          <w:sz w:val="20"/>
        </w:rPr>
        <w:t xml:space="preserve"> plastkandekotte;</w:t>
      </w:r>
    </w:p>
    <w:p w:rsidR="00694AFB" w:rsidRPr="002D3FA8" w:rsidRDefault="001B208E" w:rsidP="007D7D7B">
      <w:pPr>
        <w:pStyle w:val="Default"/>
        <w:widowControl/>
        <w:spacing w:before="120" w:after="120"/>
        <w:ind w:firstLine="720"/>
        <w:rPr>
          <w:sz w:val="20"/>
          <w:szCs w:val="20"/>
        </w:rPr>
      </w:pPr>
      <w:r w:rsidRPr="002D3FA8">
        <w:rPr>
          <w:sz w:val="20"/>
        </w:rPr>
        <w:t>b) peavad vähemalt 50 mikromeetri paksused plastkandekotid olema valmistatud vähemalt 50 % ulatuses ümbertöödeldud plastist.</w:t>
      </w:r>
    </w:p>
    <w:p w:rsidR="001B208E" w:rsidRPr="002D3FA8" w:rsidRDefault="001B208E" w:rsidP="007D7D7B">
      <w:pPr>
        <w:pStyle w:val="Default"/>
        <w:widowControl/>
        <w:spacing w:before="120" w:after="120"/>
        <w:ind w:firstLine="720"/>
        <w:rPr>
          <w:sz w:val="20"/>
          <w:szCs w:val="20"/>
        </w:rPr>
      </w:pPr>
      <w:r w:rsidRPr="002D3FA8">
        <w:rPr>
          <w:sz w:val="20"/>
        </w:rPr>
        <w:t>3. Alates 1. jaanuarist 2021 on keelatud jagada tarbijatele kaupade või toodete müügikohtades õhukesi või väga õhukesi plastkandekotte, välja arvatud kompostitavast plastist kotte. Samuti võivad müüjad valida plastkottide asemel muid pakendamisviise.</w:t>
      </w:r>
    </w:p>
    <w:p w:rsidR="001B208E" w:rsidRPr="002D3FA8" w:rsidRDefault="001B208E" w:rsidP="007D7D7B">
      <w:pPr>
        <w:pStyle w:val="Default"/>
        <w:widowControl/>
        <w:spacing w:before="120" w:after="120"/>
        <w:ind w:firstLine="720"/>
        <w:rPr>
          <w:sz w:val="20"/>
          <w:szCs w:val="20"/>
        </w:rPr>
      </w:pPr>
      <w:r w:rsidRPr="002D3FA8">
        <w:rPr>
          <w:sz w:val="20"/>
        </w:rPr>
        <w:t xml:space="preserve">4. Kõik selles artiklis sätestatud meetmed kehtivad kaupade või toodete müügikohtades pakutavate ning selliste plastkandekottide puhul, mida võidakse anda kaasa veebiostude või </w:t>
      </w:r>
      <w:proofErr w:type="spellStart"/>
      <w:r w:rsidRPr="002D3FA8">
        <w:rPr>
          <w:sz w:val="20"/>
        </w:rPr>
        <w:t>kojutarnete</w:t>
      </w:r>
      <w:proofErr w:type="spellEnd"/>
      <w:r w:rsidRPr="002D3FA8">
        <w:rPr>
          <w:sz w:val="20"/>
        </w:rPr>
        <w:t xml:space="preserve"> korral. See ei hõlma kaugmüügi puhul kasutatavaid plastpakendeid, kuigi neid käsitatakse pakendina, kui need vastavad pakendi määratlusele, mis on sätestatud 24. aprilli 1997. aasta seaduses 11/1997.</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5. </w:t>
      </w:r>
      <w:r w:rsidRPr="002D3FA8">
        <w:rPr>
          <w:i/>
          <w:sz w:val="20"/>
        </w:rPr>
        <w:t>Plastkandekottide märgistamise kohustused</w:t>
      </w:r>
    </w:p>
    <w:p w:rsidR="001B208E" w:rsidRPr="002D3FA8" w:rsidRDefault="001B208E" w:rsidP="007D7D7B">
      <w:pPr>
        <w:pStyle w:val="Default"/>
        <w:widowControl/>
        <w:spacing w:before="120" w:after="120"/>
        <w:ind w:firstLine="720"/>
        <w:rPr>
          <w:sz w:val="20"/>
          <w:szCs w:val="20"/>
        </w:rPr>
      </w:pPr>
      <w:r w:rsidRPr="002D3FA8">
        <w:rPr>
          <w:sz w:val="20"/>
        </w:rPr>
        <w:t>18 kuu jooksul pärast Euroopa Parlamendi ja nõukogu 20. detsembri 1994. aasta direktiivi 94/62/EÜ (pakendite ja pakendijäätmete kohta) artiklis 8a sätestatud Euroopa eeskirjade vastuvõtmist tähistamise ja märgistamise kirjelduste sätestamiseks, et võimaldada kompostitavate plastkandekottide tunnustamist kogu Euroopa Liidus, tuleb märgistada riigi territooriumil turule lastud kompostitavad plastkandekotid vastavalt kohaldatavatele Euroopa õigusnormidele.</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6. </w:t>
      </w:r>
      <w:r w:rsidRPr="002D3FA8">
        <w:rPr>
          <w:i/>
          <w:sz w:val="20"/>
        </w:rPr>
        <w:t>Teavitus- ja teadlikkuse tõstmise kampaaniad</w:t>
      </w:r>
    </w:p>
    <w:p w:rsidR="001B208E" w:rsidRPr="002D3FA8" w:rsidRDefault="001B208E" w:rsidP="007D7D7B">
      <w:pPr>
        <w:pStyle w:val="Default"/>
        <w:widowControl/>
        <w:spacing w:before="120" w:after="120"/>
        <w:ind w:firstLine="720"/>
        <w:rPr>
          <w:sz w:val="20"/>
          <w:szCs w:val="20"/>
        </w:rPr>
      </w:pPr>
      <w:r w:rsidRPr="002D3FA8">
        <w:rPr>
          <w:sz w:val="20"/>
        </w:rPr>
        <w:t>1. Põllumajandus-, kalandus-, toidu- ja keskkonnaministeerium ning autonoomsed piirkonnad peavad korraldama teavituskampaaniaid selle kuningliku dekreediga vastu võetud meetmete kohta ja teadlikkuse tõstmise kampaaniaid igat laadi plastkandekottide liigse tarbimise kahjuliku keskkonnamõju ja nende kõrvaldamise mõju kohta, samuti edendama jäätmehierarhia põhimõtte rakendamist. Need kampaaniad peavad hõlmama teavet prügikastide kohta, millesse nii kompostitavad kui ka mittekompostitavad kotid pärast jäätmeteks muutumist panema peab.</w:t>
      </w:r>
    </w:p>
    <w:p w:rsidR="001B208E" w:rsidRPr="002D3FA8" w:rsidRDefault="001B208E" w:rsidP="007D7D7B">
      <w:pPr>
        <w:pStyle w:val="Default"/>
        <w:widowControl/>
        <w:spacing w:before="120" w:after="120"/>
        <w:ind w:firstLine="720"/>
        <w:rPr>
          <w:sz w:val="20"/>
          <w:szCs w:val="20"/>
        </w:rPr>
      </w:pPr>
      <w:r w:rsidRPr="002D3FA8">
        <w:rPr>
          <w:sz w:val="20"/>
        </w:rPr>
        <w:t>Need kampaaniad peavad toimuma vähemalt esimese aasta jooksul pärast selle kuningliku dekreedi jõustumist ja jätkuma juhul, kui neid peetakse vajalikeks seatud eesmärkide saavutamiseks.</w:t>
      </w:r>
    </w:p>
    <w:p w:rsidR="001B208E" w:rsidRPr="002D3FA8" w:rsidRDefault="001B208E" w:rsidP="007D7D7B">
      <w:pPr>
        <w:pStyle w:val="Default"/>
        <w:widowControl/>
        <w:spacing w:before="120" w:after="120"/>
        <w:ind w:firstLine="720"/>
        <w:rPr>
          <w:sz w:val="20"/>
          <w:szCs w:val="20"/>
        </w:rPr>
      </w:pPr>
      <w:r w:rsidRPr="002D3FA8">
        <w:rPr>
          <w:sz w:val="20"/>
        </w:rPr>
        <w:t>2. Kohalikud kogukonnad ja müüjad võivad samuti korraldada teavitus- ja teadlikkuse tõstmise kampaaniaid kooskõlas pädevate asutuste kampaaniatega.</w:t>
      </w:r>
    </w:p>
    <w:p w:rsidR="001B208E" w:rsidRPr="002D3FA8" w:rsidRDefault="001B208E" w:rsidP="007D7D7B">
      <w:pPr>
        <w:pStyle w:val="Default"/>
        <w:widowControl/>
        <w:spacing w:before="120" w:after="120"/>
        <w:ind w:firstLine="720"/>
        <w:rPr>
          <w:sz w:val="20"/>
          <w:szCs w:val="20"/>
        </w:rPr>
      </w:pPr>
      <w:r w:rsidRPr="002D3FA8">
        <w:rPr>
          <w:sz w:val="20"/>
        </w:rPr>
        <w:t>3. Valitsuse korraldatavaid kampaaniaid võib rahastada kollektiivsete laiendatud vastutuse süsteemidega kõnealuste süsteemide ja autonoomsete piirkondade või vajaduse korral kohalike kogukondade vahel sõlmitud rahastamislepingute raames.</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III PEATÜKK</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b/>
          <w:color w:val="000000"/>
          <w:sz w:val="20"/>
        </w:rPr>
        <w:t>Toodete tootjate register</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7. </w:t>
      </w:r>
      <w:r w:rsidRPr="002D3FA8">
        <w:rPr>
          <w:i/>
          <w:sz w:val="20"/>
        </w:rPr>
        <w:t>Toodete tootjate registri loomine</w:t>
      </w:r>
    </w:p>
    <w:p w:rsidR="001B208E" w:rsidRPr="002D3FA8" w:rsidRDefault="001B208E" w:rsidP="007D7D7B">
      <w:pPr>
        <w:pStyle w:val="Default"/>
        <w:widowControl/>
        <w:spacing w:before="120" w:after="120"/>
        <w:ind w:firstLine="720"/>
        <w:rPr>
          <w:sz w:val="20"/>
          <w:szCs w:val="20"/>
        </w:rPr>
      </w:pPr>
      <w:r w:rsidRPr="002D3FA8">
        <w:rPr>
          <w:sz w:val="20"/>
        </w:rPr>
        <w:t>1. Põllumajandus-, kalandus-, toidu- ja keskkonnaministeeriumi keskkonnakvaliteedi ja -hindamise ning looduskeskkonna peadirektoraadi vastutuse all luuakse toodete tootjate administratiivset ja deklareerivat laadi register.</w:t>
      </w:r>
    </w:p>
    <w:p w:rsidR="001B208E" w:rsidRPr="002D3FA8" w:rsidRDefault="001B208E" w:rsidP="007D7D7B">
      <w:pPr>
        <w:pStyle w:val="Default"/>
        <w:widowControl/>
        <w:spacing w:before="120" w:after="120"/>
        <w:ind w:firstLine="720"/>
        <w:rPr>
          <w:sz w:val="20"/>
          <w:szCs w:val="20"/>
        </w:rPr>
      </w:pPr>
      <w:r w:rsidRPr="002D3FA8">
        <w:rPr>
          <w:sz w:val="20"/>
        </w:rPr>
        <w:t>2. Toodete tootjate register tuleb jaotada tootjate kaupa sektsioonideks ja see peab koondama teavet toodete turule laskmise kohta, et vastata jäätmekäitlust käsitleva aruandluse nõuetele. Toodete tootjate register peab sisaldama vähemalt üht sektsiooni plastkandekottide tootjate jaoks.</w:t>
      </w:r>
    </w:p>
    <w:p w:rsidR="00694AFB" w:rsidRPr="002D3FA8" w:rsidRDefault="001B208E" w:rsidP="007D7D7B">
      <w:pPr>
        <w:pStyle w:val="Default"/>
        <w:widowControl/>
        <w:spacing w:before="120" w:after="120"/>
        <w:ind w:firstLine="720"/>
        <w:rPr>
          <w:sz w:val="20"/>
          <w:szCs w:val="20"/>
        </w:rPr>
      </w:pPr>
      <w:r w:rsidRPr="002D3FA8">
        <w:rPr>
          <w:sz w:val="20"/>
        </w:rPr>
        <w:t>Uusi toodete tootjate registri sektsioone võib luua vastavate jäätmeid käsitlevate eeskirjadega, kus on määratletud nende sisu.</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8. </w:t>
      </w:r>
      <w:r w:rsidRPr="002D3FA8">
        <w:rPr>
          <w:i/>
          <w:sz w:val="20"/>
        </w:rPr>
        <w:t>Plastkandekottide tootjate registreerimine toodete tootjate registris</w:t>
      </w:r>
    </w:p>
    <w:p w:rsidR="001B208E" w:rsidRPr="002D3FA8" w:rsidRDefault="001B208E" w:rsidP="007D7D7B">
      <w:pPr>
        <w:pStyle w:val="Default"/>
        <w:widowControl/>
        <w:spacing w:before="120" w:after="120"/>
        <w:ind w:firstLine="720"/>
        <w:rPr>
          <w:sz w:val="20"/>
          <w:szCs w:val="20"/>
        </w:rPr>
      </w:pPr>
      <w:r w:rsidRPr="002D3FA8">
        <w:rPr>
          <w:sz w:val="20"/>
        </w:rPr>
        <w:t>Plastkandekottide tootjad peavad registreeruma põllumajandus-, kalandus-, toidu- ja keskkonnaministeeriumi toodete tootjate registri plastkandekottide tootjate sektsioonis kolme kuu jooksul alates selle kuningliku dekreedi jõustumise kuupäevast. Registreerimise ajal esitatakse ja avalikustatakse II lisa punktis 1 osutatud teave. Isikuandmeid kaitstakse isikuandmete kaitsele kohaldatavate riiklike õigusaktidega.</w:t>
      </w:r>
    </w:p>
    <w:p w:rsidR="001B208E" w:rsidRPr="002D3FA8" w:rsidRDefault="001B208E" w:rsidP="007D7D7B">
      <w:pPr>
        <w:pStyle w:val="Default"/>
        <w:keepNext/>
        <w:keepLines/>
        <w:widowControl/>
        <w:spacing w:before="120" w:after="120"/>
        <w:ind w:firstLine="720"/>
        <w:rPr>
          <w:sz w:val="20"/>
          <w:szCs w:val="20"/>
        </w:rPr>
      </w:pPr>
      <w:r w:rsidRPr="002D3FA8">
        <w:rPr>
          <w:sz w:val="20"/>
        </w:rPr>
        <w:lastRenderedPageBreak/>
        <w:t>Artikkel 9. </w:t>
      </w:r>
      <w:r w:rsidRPr="002D3FA8">
        <w:rPr>
          <w:i/>
          <w:sz w:val="20"/>
        </w:rPr>
        <w:t>Plastkandekotte käsitlevad aruandluskohustused</w:t>
      </w:r>
    </w:p>
    <w:p w:rsidR="001B208E" w:rsidRPr="002D3FA8" w:rsidRDefault="001B208E" w:rsidP="007D7D7B">
      <w:pPr>
        <w:pStyle w:val="Default"/>
        <w:widowControl/>
        <w:spacing w:before="120" w:after="120"/>
        <w:ind w:firstLine="720"/>
        <w:rPr>
          <w:sz w:val="20"/>
          <w:szCs w:val="20"/>
        </w:rPr>
      </w:pPr>
      <w:r w:rsidRPr="002D3FA8">
        <w:rPr>
          <w:sz w:val="20"/>
        </w:rPr>
        <w:t>Plastkandekottide tootjad koguvad II lisa punktis 2 osutatud teavet igal kalendriaastal riigi turule lastud kandekottide kohta. Kõnealune teave esitatakse põllumajandus-, kalandus-, toidu- ja keskkonnaministeeriumile enne baasaastale järgneva aasta 31. märtsi, et valmistada ette plastkandekotte käsitlev teave, mis esitatakse kohaldatavate eeskirjade kohaselt Euroopa Komisjonile ja avaldatakse igal aastal.</w:t>
      </w:r>
    </w:p>
    <w:p w:rsidR="001B208E" w:rsidRPr="002D3FA8" w:rsidRDefault="001B208E" w:rsidP="007D7D7B">
      <w:pPr>
        <w:pStyle w:val="Default"/>
        <w:widowControl/>
        <w:spacing w:before="120" w:after="120"/>
        <w:ind w:firstLine="720"/>
        <w:rPr>
          <w:sz w:val="20"/>
          <w:szCs w:val="20"/>
        </w:rPr>
      </w:pPr>
      <w:r w:rsidRPr="002D3FA8">
        <w:rPr>
          <w:sz w:val="20"/>
        </w:rPr>
        <w:t>Kandekottide tootjate esitatud teave peab inspekteerimiseks ja kontrollimiseks olema pädevatele asutustele kättesaadav.</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color w:val="000000"/>
          <w:sz w:val="20"/>
        </w:rPr>
        <w:t>IV PEATÜKK</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b/>
          <w:color w:val="000000"/>
          <w:sz w:val="20"/>
        </w:rPr>
        <w:t>Karistused</w:t>
      </w:r>
    </w:p>
    <w:p w:rsidR="001B208E" w:rsidRPr="002D3FA8" w:rsidRDefault="001B208E" w:rsidP="007D7D7B">
      <w:pPr>
        <w:pStyle w:val="Default"/>
        <w:keepNext/>
        <w:keepLines/>
        <w:widowControl/>
        <w:spacing w:before="120" w:after="120"/>
        <w:ind w:firstLine="720"/>
        <w:rPr>
          <w:sz w:val="20"/>
          <w:szCs w:val="20"/>
        </w:rPr>
      </w:pPr>
      <w:r w:rsidRPr="002D3FA8">
        <w:rPr>
          <w:sz w:val="20"/>
        </w:rPr>
        <w:t>Artikkel 10. </w:t>
      </w:r>
      <w:r w:rsidRPr="002D3FA8">
        <w:rPr>
          <w:i/>
          <w:sz w:val="20"/>
        </w:rPr>
        <w:t>Karistused</w:t>
      </w:r>
    </w:p>
    <w:p w:rsidR="001B208E" w:rsidRPr="002D3FA8" w:rsidRDefault="001B208E" w:rsidP="007D7D7B">
      <w:pPr>
        <w:pStyle w:val="Default"/>
        <w:widowControl/>
        <w:spacing w:before="120" w:after="120"/>
        <w:ind w:firstLine="720"/>
        <w:rPr>
          <w:sz w:val="20"/>
          <w:szCs w:val="20"/>
        </w:rPr>
      </w:pPr>
      <w:r w:rsidRPr="002D3FA8">
        <w:rPr>
          <w:sz w:val="20"/>
        </w:rPr>
        <w:t>Selle kuningliku dekreedi sätete mittejärgimine toob kaasa karistused, mis on sätestatud 28. juuli 2011. aasta seaduses 22/2011 saastunud pinnase ja jäätmete kohta.</w:t>
      </w:r>
    </w:p>
    <w:p w:rsidR="001B208E" w:rsidRPr="002D3FA8" w:rsidRDefault="001B208E" w:rsidP="007D7D7B">
      <w:pPr>
        <w:pStyle w:val="Default"/>
        <w:keepNext/>
        <w:keepLines/>
        <w:widowControl/>
        <w:spacing w:before="120" w:after="120"/>
        <w:ind w:firstLine="720"/>
        <w:rPr>
          <w:sz w:val="20"/>
          <w:szCs w:val="20"/>
        </w:rPr>
      </w:pPr>
      <w:r w:rsidRPr="002D3FA8">
        <w:rPr>
          <w:sz w:val="20"/>
        </w:rPr>
        <w:t>Esimene lisasäte. </w:t>
      </w:r>
      <w:r w:rsidRPr="002D3FA8">
        <w:rPr>
          <w:i/>
          <w:sz w:val="20"/>
        </w:rPr>
        <w:t>Kuningliku dekreedi kohaldamise aruanne ja kavandatud meetmete läbivaatamine</w:t>
      </w:r>
    </w:p>
    <w:p w:rsidR="001B208E" w:rsidRPr="002D3FA8" w:rsidRDefault="001B208E" w:rsidP="007D7D7B">
      <w:pPr>
        <w:pStyle w:val="Default"/>
        <w:widowControl/>
        <w:spacing w:before="120" w:after="120"/>
        <w:ind w:firstLine="720"/>
        <w:rPr>
          <w:sz w:val="20"/>
          <w:szCs w:val="20"/>
        </w:rPr>
      </w:pPr>
      <w:r w:rsidRPr="002D3FA8">
        <w:rPr>
          <w:sz w:val="20"/>
        </w:rPr>
        <w:t>Enne 1. jaanuari 2023. aastal koostab põllumajandus-, kalandus-, toidu- ja keskkonnaministeerium aruande, milles hinnatakse selle kuningliku dekreedi meetmete tõhusust plastkandekottide tarbimise vähendamise, tarbijate käitumise muutmise ja jäätmete vähendamise edendamise valdkonnas. Kui hindamine näitab, et võetud meetmed ei ole tõhusad, uurib põllumajandus-, kalandus-, toidu- ja keskkonnaministeerium muid võimalikke viise plastkandekottide tarbimise vähendamiseks ja esitab vajaduse korral uue regulatiivse ettepaneku.</w:t>
      </w:r>
    </w:p>
    <w:p w:rsidR="001B208E" w:rsidRPr="002D3FA8" w:rsidRDefault="001B208E" w:rsidP="007D7D7B">
      <w:pPr>
        <w:pStyle w:val="Default"/>
        <w:keepNext/>
        <w:keepLines/>
        <w:widowControl/>
        <w:spacing w:before="120" w:after="120"/>
        <w:ind w:firstLine="720"/>
        <w:rPr>
          <w:sz w:val="20"/>
          <w:szCs w:val="20"/>
        </w:rPr>
      </w:pPr>
      <w:r w:rsidRPr="002D3FA8">
        <w:rPr>
          <w:sz w:val="20"/>
        </w:rPr>
        <w:t>Teine lisasäte. </w:t>
      </w:r>
      <w:r w:rsidRPr="002D3FA8">
        <w:rPr>
          <w:i/>
          <w:sz w:val="20"/>
        </w:rPr>
        <w:t>Vastavus 28. juuli 2011. aasta seaduse 22/2011 teisele lisasättele.</w:t>
      </w:r>
    </w:p>
    <w:p w:rsidR="001B208E" w:rsidRPr="002D3FA8" w:rsidRDefault="001B208E" w:rsidP="007D7D7B">
      <w:pPr>
        <w:pStyle w:val="Default"/>
        <w:widowControl/>
        <w:spacing w:before="120" w:after="120"/>
        <w:ind w:firstLine="720"/>
        <w:rPr>
          <w:sz w:val="20"/>
          <w:szCs w:val="20"/>
        </w:rPr>
      </w:pPr>
      <w:r w:rsidRPr="002D3FA8">
        <w:rPr>
          <w:sz w:val="20"/>
        </w:rPr>
        <w:t xml:space="preserve">Selles kuninglikus dekreedis õhukestele plastkandekottidele ette nähtud meetmed võimaldavad järgida 28. juuli 2011. aasta seaduse 22/2011 teist lisasätet, eelkõige seoses lõikes 3 osutatud ajakava </w:t>
      </w:r>
      <w:proofErr w:type="spellStart"/>
      <w:r w:rsidRPr="002D3FA8">
        <w:rPr>
          <w:sz w:val="20"/>
        </w:rPr>
        <w:t>paikapanemisega</w:t>
      </w:r>
      <w:proofErr w:type="spellEnd"/>
      <w:r w:rsidRPr="002D3FA8">
        <w:rPr>
          <w:sz w:val="20"/>
        </w:rPr>
        <w:t>.</w:t>
      </w:r>
    </w:p>
    <w:p w:rsidR="00694AFB" w:rsidRPr="002D3FA8" w:rsidRDefault="001B208E" w:rsidP="007D7D7B">
      <w:pPr>
        <w:pStyle w:val="Default"/>
        <w:widowControl/>
        <w:spacing w:before="120" w:after="120"/>
        <w:ind w:firstLine="720"/>
        <w:rPr>
          <w:sz w:val="20"/>
          <w:szCs w:val="20"/>
        </w:rPr>
      </w:pPr>
      <w:r w:rsidRPr="002D3FA8">
        <w:rPr>
          <w:sz w:val="20"/>
        </w:rPr>
        <w:t>28. juuli 2011. aasta seaduse 22/2011 teise lisasätte lõikes 4 viidatud töörühm on jäätmete koordineerimise komisjoni pakendite ja pakendijäätmete töörühm keskkonnakvaliteedi ja -hindamise ning looduskeskkonna peadirektoraadi juures.</w:t>
      </w:r>
    </w:p>
    <w:p w:rsidR="001B208E" w:rsidRPr="002D3FA8" w:rsidRDefault="001B208E" w:rsidP="007D7D7B">
      <w:pPr>
        <w:pStyle w:val="Default"/>
        <w:keepNext/>
        <w:keepLines/>
        <w:widowControl/>
        <w:spacing w:before="120" w:after="120"/>
        <w:ind w:firstLine="720"/>
        <w:rPr>
          <w:sz w:val="20"/>
          <w:szCs w:val="20"/>
        </w:rPr>
      </w:pPr>
      <w:r w:rsidRPr="002D3FA8">
        <w:rPr>
          <w:sz w:val="20"/>
        </w:rPr>
        <w:t>Kolmas lisasäte. </w:t>
      </w:r>
      <w:r w:rsidRPr="002D3FA8">
        <w:rPr>
          <w:i/>
          <w:sz w:val="20"/>
        </w:rPr>
        <w:t>Teave plastkandekottide kohta 2017. aastaks</w:t>
      </w:r>
    </w:p>
    <w:p w:rsidR="001B208E" w:rsidRPr="002D3FA8" w:rsidRDefault="001B208E" w:rsidP="007D7D7B">
      <w:pPr>
        <w:pStyle w:val="Default"/>
        <w:widowControl/>
        <w:spacing w:before="120" w:after="120"/>
        <w:ind w:firstLine="720"/>
        <w:rPr>
          <w:sz w:val="20"/>
          <w:szCs w:val="20"/>
        </w:rPr>
      </w:pPr>
      <w:r w:rsidRPr="002D3FA8">
        <w:rPr>
          <w:sz w:val="20"/>
        </w:rPr>
        <w:t>Teave 2017. aastal riiklikule turule lastud plastkandekottide kohta tuleb tootjatel esitada kolme kuu jooksul pärast nende registreerimist toodete tootjate registrisse.</w:t>
      </w:r>
    </w:p>
    <w:p w:rsidR="001B208E" w:rsidRPr="002D3FA8" w:rsidRDefault="001B208E" w:rsidP="007D7D7B">
      <w:pPr>
        <w:pStyle w:val="Default"/>
        <w:keepNext/>
        <w:keepLines/>
        <w:widowControl/>
        <w:spacing w:before="120" w:after="120"/>
        <w:ind w:firstLine="720"/>
        <w:rPr>
          <w:sz w:val="20"/>
          <w:szCs w:val="20"/>
        </w:rPr>
      </w:pPr>
      <w:r w:rsidRPr="002D3FA8">
        <w:rPr>
          <w:sz w:val="20"/>
        </w:rPr>
        <w:t>Neljas lisasäte. </w:t>
      </w:r>
      <w:r w:rsidRPr="002D3FA8">
        <w:rPr>
          <w:i/>
          <w:sz w:val="20"/>
        </w:rPr>
        <w:t>Riiklikud kulutused ei suurene</w:t>
      </w:r>
    </w:p>
    <w:p w:rsidR="001B208E" w:rsidRPr="002D3FA8" w:rsidRDefault="001B208E" w:rsidP="007D7D7B">
      <w:pPr>
        <w:pStyle w:val="Default"/>
        <w:widowControl/>
        <w:spacing w:before="120" w:after="120"/>
        <w:ind w:firstLine="720"/>
        <w:rPr>
          <w:sz w:val="20"/>
          <w:szCs w:val="20"/>
        </w:rPr>
      </w:pPr>
      <w:r w:rsidRPr="002D3FA8">
        <w:rPr>
          <w:sz w:val="20"/>
        </w:rPr>
        <w:t xml:space="preserve">Selle kuningliku dekreedi meetmed rakendatakse, kasutades riigi keskvalitsuse olemasolevaid </w:t>
      </w:r>
      <w:proofErr w:type="spellStart"/>
      <w:r w:rsidRPr="002D3FA8">
        <w:rPr>
          <w:sz w:val="20"/>
        </w:rPr>
        <w:t>inim</w:t>
      </w:r>
      <w:proofErr w:type="spellEnd"/>
      <w:r w:rsidRPr="002D3FA8">
        <w:rPr>
          <w:sz w:val="20"/>
        </w:rPr>
        <w:t>- ja materiaalseid ressursse. Need meetmed ei tohi mitte mingil tingimusel suurendada riiklikke kulutusi.</w:t>
      </w:r>
    </w:p>
    <w:p w:rsidR="001B208E" w:rsidRPr="002D3FA8" w:rsidRDefault="001B208E" w:rsidP="007D7D7B">
      <w:pPr>
        <w:pStyle w:val="Default"/>
        <w:keepNext/>
        <w:keepLines/>
        <w:widowControl/>
        <w:spacing w:before="120" w:after="120"/>
        <w:ind w:firstLine="720"/>
        <w:rPr>
          <w:sz w:val="20"/>
          <w:szCs w:val="20"/>
        </w:rPr>
      </w:pPr>
      <w:r w:rsidRPr="002D3FA8">
        <w:rPr>
          <w:sz w:val="20"/>
        </w:rPr>
        <w:t>Ainus kehtetuks tunnistav säte. </w:t>
      </w:r>
      <w:r w:rsidRPr="002D3FA8">
        <w:rPr>
          <w:i/>
          <w:sz w:val="20"/>
        </w:rPr>
        <w:t>Eeskirjade kehtetuks tunnistamine</w:t>
      </w:r>
    </w:p>
    <w:p w:rsidR="001B208E" w:rsidRPr="002D3FA8" w:rsidRDefault="001B208E" w:rsidP="007D7D7B">
      <w:pPr>
        <w:pStyle w:val="Default"/>
        <w:widowControl/>
        <w:spacing w:before="120" w:after="120"/>
        <w:ind w:firstLine="720"/>
        <w:rPr>
          <w:sz w:val="20"/>
          <w:szCs w:val="20"/>
        </w:rPr>
      </w:pPr>
      <w:r w:rsidRPr="002D3FA8">
        <w:rPr>
          <w:sz w:val="20"/>
        </w:rPr>
        <w:t>Kõik selle kuningliku dekreediga vastuolus olevad või sellele vastu rääkivad sätted või sätted, mis sellega vastavuses ei ole, tunnistatakse kehtetuks.</w:t>
      </w:r>
    </w:p>
    <w:p w:rsidR="001B208E" w:rsidRPr="002D3FA8" w:rsidRDefault="001B208E" w:rsidP="007D7D7B">
      <w:pPr>
        <w:pStyle w:val="Default"/>
        <w:keepNext/>
        <w:keepLines/>
        <w:widowControl/>
        <w:spacing w:before="120" w:after="120"/>
        <w:ind w:firstLine="720"/>
        <w:rPr>
          <w:sz w:val="20"/>
          <w:szCs w:val="20"/>
        </w:rPr>
      </w:pPr>
      <w:r w:rsidRPr="002D3FA8">
        <w:rPr>
          <w:sz w:val="20"/>
        </w:rPr>
        <w:t>Esimene lõppsäte. </w:t>
      </w:r>
      <w:r w:rsidRPr="002D3FA8">
        <w:rPr>
          <w:i/>
          <w:sz w:val="20"/>
        </w:rPr>
        <w:t>Pädevus</w:t>
      </w:r>
    </w:p>
    <w:p w:rsidR="001B208E" w:rsidRPr="002D3FA8" w:rsidRDefault="001B208E" w:rsidP="007D7D7B">
      <w:pPr>
        <w:pStyle w:val="Default"/>
        <w:widowControl/>
        <w:spacing w:before="120" w:after="120"/>
        <w:ind w:firstLine="720"/>
        <w:rPr>
          <w:sz w:val="20"/>
          <w:szCs w:val="20"/>
        </w:rPr>
      </w:pPr>
      <w:r w:rsidRPr="002D3FA8">
        <w:rPr>
          <w:sz w:val="20"/>
        </w:rPr>
        <w:t>See kuninglik dekreet on alustekst ja see on vastu võetud Hispaania põhiseaduse artikli 149 lõike 1 punktide 13 ja 23 alusel, millega antakse vastavalt riigile ainupädevus põhieeskirjade ning üldise majandusliku planeerimise ja keskkonnakaitsealaste õigusaktide kooskõlastamise valdkonnas.</w:t>
      </w:r>
    </w:p>
    <w:p w:rsidR="001B208E" w:rsidRPr="002D3FA8" w:rsidRDefault="001B208E" w:rsidP="007D7D7B">
      <w:pPr>
        <w:pStyle w:val="Default"/>
        <w:keepNext/>
        <w:keepLines/>
        <w:widowControl/>
        <w:spacing w:before="120" w:after="120"/>
        <w:ind w:firstLine="720"/>
        <w:rPr>
          <w:sz w:val="20"/>
          <w:szCs w:val="20"/>
        </w:rPr>
      </w:pPr>
      <w:r w:rsidRPr="002D3FA8">
        <w:rPr>
          <w:sz w:val="20"/>
        </w:rPr>
        <w:t>Teine lõppsäte. </w:t>
      </w:r>
      <w:r w:rsidRPr="002D3FA8">
        <w:rPr>
          <w:i/>
          <w:sz w:val="20"/>
        </w:rPr>
        <w:t>Euroopa Liidu õiguse ülevõtmine</w:t>
      </w:r>
    </w:p>
    <w:p w:rsidR="001B208E" w:rsidRPr="002D3FA8" w:rsidRDefault="001B208E" w:rsidP="007D7D7B">
      <w:pPr>
        <w:pStyle w:val="Default"/>
        <w:widowControl/>
        <w:spacing w:before="120" w:after="120"/>
        <w:ind w:firstLine="720"/>
        <w:rPr>
          <w:sz w:val="20"/>
          <w:szCs w:val="20"/>
        </w:rPr>
      </w:pPr>
      <w:r w:rsidRPr="002D3FA8">
        <w:rPr>
          <w:sz w:val="20"/>
        </w:rPr>
        <w:t>Selle kuningliku dekreediga võetakse Hispaania õigusesse üle Euroopa Parlamendi ja nõukogu 29. aprilli 2015. aasta direktiiv (EL) 2015/720, millega muudetakse direktiivi 94/62/EÜ seoses õhukeste plastkandekottide tarbimise vähendamisega.</w:t>
      </w:r>
    </w:p>
    <w:p w:rsidR="001B208E" w:rsidRPr="002D3FA8" w:rsidRDefault="001B208E" w:rsidP="007D7D7B">
      <w:pPr>
        <w:pStyle w:val="Default"/>
        <w:keepNext/>
        <w:keepLines/>
        <w:widowControl/>
        <w:spacing w:before="120" w:after="120"/>
        <w:ind w:firstLine="720"/>
        <w:rPr>
          <w:sz w:val="20"/>
          <w:szCs w:val="20"/>
        </w:rPr>
      </w:pPr>
      <w:r w:rsidRPr="002D3FA8">
        <w:rPr>
          <w:sz w:val="20"/>
        </w:rPr>
        <w:lastRenderedPageBreak/>
        <w:t>Kolmas lõppsäte. </w:t>
      </w:r>
      <w:r w:rsidRPr="002D3FA8">
        <w:rPr>
          <w:i/>
          <w:sz w:val="20"/>
        </w:rPr>
        <w:t>Rakendamise luba</w:t>
      </w:r>
    </w:p>
    <w:p w:rsidR="001B208E" w:rsidRPr="002D3FA8" w:rsidRDefault="001B208E" w:rsidP="007D7D7B">
      <w:pPr>
        <w:pStyle w:val="Default"/>
        <w:widowControl/>
        <w:spacing w:before="120" w:after="120"/>
        <w:ind w:firstLine="720"/>
        <w:rPr>
          <w:sz w:val="20"/>
          <w:szCs w:val="20"/>
        </w:rPr>
      </w:pPr>
      <w:r w:rsidRPr="002D3FA8">
        <w:rPr>
          <w:sz w:val="20"/>
        </w:rPr>
        <w:t>Põllumajandus-, kalandus-, toidu- ja keskkonnaministeeriumi vastutav isik on käesolevaga volitatud oma ülesannete piires andma välja sätteid, mis on vajalikud selle kuningliku dekreedi kohaldamiseks ja rakendamiseks ning eelkõige lisade kohandamiseks rahvusvahelistes määrustes, Euroopa Liidu õigusaktides ja esimeses lisasättes osutatud aruannete põhjal tehtud kohaldatavates järeldustes kehtestatud sätete ja muudatustega.</w:t>
      </w:r>
    </w:p>
    <w:p w:rsidR="001B208E" w:rsidRPr="002D3FA8" w:rsidRDefault="001B208E" w:rsidP="007D7D7B">
      <w:pPr>
        <w:pStyle w:val="Default"/>
        <w:keepNext/>
        <w:keepLines/>
        <w:widowControl/>
        <w:spacing w:before="120" w:after="120"/>
        <w:ind w:firstLine="720"/>
        <w:rPr>
          <w:sz w:val="20"/>
          <w:szCs w:val="20"/>
        </w:rPr>
      </w:pPr>
      <w:r w:rsidRPr="002D3FA8">
        <w:rPr>
          <w:sz w:val="20"/>
        </w:rPr>
        <w:t>Neljas lõppsäte. </w:t>
      </w:r>
      <w:r w:rsidRPr="002D3FA8">
        <w:rPr>
          <w:i/>
          <w:sz w:val="20"/>
        </w:rPr>
        <w:t>Jõustumine</w:t>
      </w:r>
    </w:p>
    <w:p w:rsidR="001B208E" w:rsidRPr="002D3FA8" w:rsidRDefault="001B208E" w:rsidP="007D7D7B">
      <w:pPr>
        <w:pStyle w:val="Default"/>
        <w:widowControl/>
        <w:spacing w:before="120" w:after="120"/>
        <w:ind w:firstLine="720"/>
        <w:rPr>
          <w:sz w:val="20"/>
          <w:szCs w:val="20"/>
        </w:rPr>
      </w:pPr>
      <w:r w:rsidRPr="002D3FA8">
        <w:rPr>
          <w:sz w:val="20"/>
        </w:rPr>
        <w:t>See kuninglik dekreet jõustub järgmisel päeval pärast selle avaldamist riigi ametlikus väljaandes.</w:t>
      </w:r>
    </w:p>
    <w:p w:rsidR="001B208E" w:rsidRPr="002D3FA8" w:rsidRDefault="001B208E" w:rsidP="007D7D7B">
      <w:pPr>
        <w:pStyle w:val="Default"/>
        <w:widowControl/>
        <w:spacing w:before="120" w:after="120"/>
        <w:ind w:firstLine="720"/>
        <w:rPr>
          <w:sz w:val="20"/>
          <w:szCs w:val="20"/>
        </w:rPr>
      </w:pPr>
      <w:r w:rsidRPr="002D3FA8">
        <w:rPr>
          <w:sz w:val="20"/>
        </w:rPr>
        <w:t>Madrid, 18. mai 2018.</w:t>
      </w:r>
    </w:p>
    <w:p w:rsidR="001B208E" w:rsidRPr="002D3FA8" w:rsidRDefault="001B208E" w:rsidP="007D7D7B">
      <w:pPr>
        <w:pStyle w:val="Default"/>
        <w:widowControl/>
        <w:spacing w:before="120" w:after="120"/>
        <w:ind w:firstLine="720"/>
        <w:jc w:val="right"/>
        <w:rPr>
          <w:sz w:val="20"/>
          <w:szCs w:val="20"/>
        </w:rPr>
      </w:pPr>
      <w:r w:rsidRPr="002D3FA8">
        <w:rPr>
          <w:sz w:val="20"/>
        </w:rPr>
        <w:t>FELIPE R.</w:t>
      </w:r>
    </w:p>
    <w:p w:rsidR="001B208E" w:rsidRPr="002D3FA8" w:rsidRDefault="001B208E" w:rsidP="007D7D7B">
      <w:pPr>
        <w:pStyle w:val="Pa1"/>
        <w:widowControl/>
        <w:spacing w:before="120" w:after="120" w:line="240" w:lineRule="auto"/>
        <w:jc w:val="center"/>
        <w:rPr>
          <w:color w:val="000000"/>
          <w:sz w:val="16"/>
          <w:szCs w:val="16"/>
        </w:rPr>
      </w:pPr>
      <w:r w:rsidRPr="002D3FA8">
        <w:rPr>
          <w:color w:val="000000"/>
          <w:sz w:val="16"/>
        </w:rPr>
        <w:t>Põllumajandus-, kalandus-, toidu- ja keskkonnaministeerium</w:t>
      </w:r>
    </w:p>
    <w:p w:rsidR="001B208E" w:rsidRPr="002D3FA8" w:rsidRDefault="001B208E" w:rsidP="007D7D7B">
      <w:pPr>
        <w:pStyle w:val="Pa1"/>
        <w:widowControl/>
        <w:spacing w:before="120" w:after="120" w:line="240" w:lineRule="auto"/>
        <w:jc w:val="center"/>
        <w:rPr>
          <w:color w:val="000000"/>
          <w:sz w:val="16"/>
          <w:szCs w:val="16"/>
        </w:rPr>
      </w:pPr>
      <w:r w:rsidRPr="002D3FA8">
        <w:rPr>
          <w:color w:val="000000"/>
          <w:sz w:val="16"/>
        </w:rPr>
        <w:t>ISABEL GARCÍA TEJERINA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b/>
          <w:color w:val="000000"/>
          <w:sz w:val="20"/>
        </w:rPr>
        <w:t>I LISA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b/>
          <w:color w:val="000000"/>
          <w:sz w:val="20"/>
        </w:rPr>
        <w:t>Plastkandekottide soovituslikud hinnad</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i/>
          <w:color w:val="000000"/>
          <w:sz w:val="20"/>
        </w:rPr>
        <w:t>Plastkandekottide soovituslikud hinnad vastavalt paksusele</w:t>
      </w:r>
    </w:p>
    <w:p w:rsidR="001B208E" w:rsidRPr="002D3FA8" w:rsidRDefault="001B208E" w:rsidP="007D7D7B">
      <w:pPr>
        <w:pStyle w:val="Default"/>
        <w:widowControl/>
        <w:spacing w:before="120" w:after="120"/>
        <w:ind w:firstLine="720"/>
        <w:rPr>
          <w:sz w:val="20"/>
          <w:szCs w:val="20"/>
        </w:rPr>
      </w:pPr>
      <w:r w:rsidRPr="002D3FA8">
        <w:rPr>
          <w:sz w:val="20"/>
        </w:rPr>
        <w:t>Kandekotid, mis on õhemad kui 15 mikromeetrit ja mis on ette nähtud kasutamiseks muudel eesmärkidel kui need, mis on sätestatud artikli 3 lõikes d viidatud väga õhukeste plastkandekottide määratluses: 5 senti/kott.</w:t>
      </w:r>
    </w:p>
    <w:p w:rsidR="001B208E" w:rsidRPr="002D3FA8" w:rsidRDefault="001B208E" w:rsidP="007D7D7B">
      <w:pPr>
        <w:pStyle w:val="Default"/>
        <w:widowControl/>
        <w:spacing w:before="120" w:after="120"/>
        <w:ind w:firstLine="720"/>
        <w:rPr>
          <w:sz w:val="20"/>
          <w:szCs w:val="20"/>
        </w:rPr>
      </w:pPr>
      <w:r w:rsidRPr="002D3FA8">
        <w:rPr>
          <w:sz w:val="20"/>
        </w:rPr>
        <w:t>Kandekotid, mille paksus on 15 kuni 49 mikromeetrit: 15 senti/kott.</w:t>
      </w:r>
    </w:p>
    <w:p w:rsidR="001B208E" w:rsidRPr="002D3FA8" w:rsidRDefault="001B208E" w:rsidP="007D7D7B">
      <w:pPr>
        <w:pStyle w:val="Default"/>
        <w:widowControl/>
        <w:spacing w:before="120" w:after="120"/>
        <w:ind w:firstLine="720"/>
        <w:rPr>
          <w:sz w:val="20"/>
          <w:szCs w:val="20"/>
        </w:rPr>
      </w:pPr>
      <w:r w:rsidRPr="002D3FA8">
        <w:rPr>
          <w:sz w:val="20"/>
        </w:rPr>
        <w:t>Kandekotid, mille paksus on 50 mikromeetrit või rohkem: 15 senti/kott.</w:t>
      </w:r>
    </w:p>
    <w:p w:rsidR="001B208E" w:rsidRPr="002D3FA8" w:rsidRDefault="001B208E" w:rsidP="007D7D7B">
      <w:pPr>
        <w:pStyle w:val="Default"/>
        <w:widowControl/>
        <w:spacing w:before="120" w:after="120"/>
        <w:ind w:firstLine="720"/>
        <w:rPr>
          <w:sz w:val="20"/>
          <w:szCs w:val="20"/>
        </w:rPr>
      </w:pPr>
      <w:r w:rsidRPr="002D3FA8">
        <w:rPr>
          <w:sz w:val="20"/>
        </w:rPr>
        <w:t>Kandekotid, mille paksus on 50 mikromeetrit või rohkem ja mis on tehtud 50 % kuni 70 % ulatuses ümbertöödeldud plastist: 10 senti/kott.</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b/>
          <w:color w:val="000000"/>
          <w:sz w:val="20"/>
        </w:rPr>
        <w:t>II LISA</w:t>
      </w:r>
    </w:p>
    <w:p w:rsidR="001B208E" w:rsidRPr="002D3FA8" w:rsidRDefault="001B208E" w:rsidP="007D7D7B">
      <w:pPr>
        <w:pStyle w:val="Pa1"/>
        <w:keepNext/>
        <w:keepLines/>
        <w:widowControl/>
        <w:spacing w:before="120" w:after="120" w:line="240" w:lineRule="auto"/>
        <w:jc w:val="center"/>
        <w:rPr>
          <w:color w:val="000000"/>
          <w:sz w:val="20"/>
          <w:szCs w:val="20"/>
        </w:rPr>
      </w:pPr>
      <w:r w:rsidRPr="002D3FA8">
        <w:rPr>
          <w:b/>
          <w:color w:val="000000"/>
          <w:sz w:val="20"/>
        </w:rPr>
        <w:t>Registreerimine ja toodete tootjate registrile esitatav plastkandekotte käsitlev iga-aastane teave</w:t>
      </w:r>
    </w:p>
    <w:p w:rsidR="001B208E" w:rsidRPr="002D3FA8" w:rsidRDefault="001B208E" w:rsidP="007D7D7B">
      <w:pPr>
        <w:pStyle w:val="Default"/>
        <w:widowControl/>
        <w:spacing w:before="120" w:after="120"/>
        <w:ind w:firstLine="720"/>
        <w:rPr>
          <w:sz w:val="20"/>
          <w:szCs w:val="20"/>
        </w:rPr>
      </w:pPr>
      <w:r w:rsidRPr="002D3FA8">
        <w:rPr>
          <w:sz w:val="20"/>
        </w:rPr>
        <w:t>1. Teave toodete tootjate registrisse kandmise kohta.</w:t>
      </w:r>
    </w:p>
    <w:p w:rsidR="001B208E" w:rsidRPr="002D3FA8" w:rsidRDefault="001B208E" w:rsidP="007D7D7B">
      <w:pPr>
        <w:pStyle w:val="Default"/>
        <w:widowControl/>
        <w:spacing w:before="120" w:after="120"/>
        <w:ind w:firstLine="720"/>
        <w:rPr>
          <w:sz w:val="20"/>
          <w:szCs w:val="20"/>
        </w:rPr>
      </w:pPr>
      <w:r w:rsidRPr="002D3FA8">
        <w:rPr>
          <w:sz w:val="20"/>
        </w:rPr>
        <w:t>Registreerimise ajal peavad plastkandekottide tootjad esitama ja ajakohastama järgmise teabe:</w:t>
      </w:r>
    </w:p>
    <w:p w:rsidR="001B208E" w:rsidRPr="002D3FA8" w:rsidRDefault="001B208E" w:rsidP="007D7D7B">
      <w:pPr>
        <w:pStyle w:val="Default"/>
        <w:widowControl/>
        <w:spacing w:before="120" w:after="120"/>
        <w:ind w:firstLine="720"/>
        <w:rPr>
          <w:sz w:val="20"/>
          <w:szCs w:val="20"/>
        </w:rPr>
      </w:pPr>
      <w:r w:rsidRPr="002D3FA8">
        <w:rPr>
          <w:sz w:val="20"/>
        </w:rPr>
        <w:t>a) tootja või tema volitatud esindaja nimi ja aadress, sealhulgas postiindeks, linn, tänav ja majanumber, riik, telefoninumber, faks, e-posti aadress ja kontaktisik. Volitatud esindaja puhul esitatakse ka esindatava tootja kontaktandmed;</w:t>
      </w:r>
    </w:p>
    <w:p w:rsidR="001B208E" w:rsidRPr="002D3FA8" w:rsidRDefault="001B208E" w:rsidP="007D7D7B">
      <w:pPr>
        <w:pStyle w:val="Default"/>
        <w:widowControl/>
        <w:spacing w:before="120" w:after="120"/>
        <w:ind w:firstLine="720"/>
        <w:rPr>
          <w:sz w:val="20"/>
          <w:szCs w:val="20"/>
        </w:rPr>
      </w:pPr>
      <w:r w:rsidRPr="002D3FA8">
        <w:rPr>
          <w:sz w:val="20"/>
        </w:rPr>
        <w:t>b) Euroopa maksukohustuslase number või Hispaania riiklik maksukohustuslase number;</w:t>
      </w:r>
    </w:p>
    <w:p w:rsidR="001B208E" w:rsidRPr="002D3FA8" w:rsidRDefault="001B208E" w:rsidP="007D7D7B">
      <w:pPr>
        <w:pStyle w:val="Default"/>
        <w:widowControl/>
        <w:spacing w:before="120" w:after="120"/>
        <w:ind w:firstLine="720"/>
        <w:rPr>
          <w:sz w:val="20"/>
          <w:szCs w:val="20"/>
        </w:rPr>
      </w:pPr>
      <w:r w:rsidRPr="002D3FA8">
        <w:rPr>
          <w:sz w:val="20"/>
        </w:rPr>
        <w:t>c) esitatud teabe õigsuse kinnitus.</w:t>
      </w:r>
    </w:p>
    <w:p w:rsidR="001B208E" w:rsidRPr="002D3FA8" w:rsidRDefault="001B208E" w:rsidP="007D7D7B">
      <w:pPr>
        <w:pStyle w:val="Default"/>
        <w:widowControl/>
        <w:spacing w:before="120" w:after="120"/>
        <w:ind w:firstLine="720"/>
        <w:rPr>
          <w:sz w:val="20"/>
          <w:szCs w:val="20"/>
        </w:rPr>
      </w:pPr>
      <w:r w:rsidRPr="002D3FA8">
        <w:rPr>
          <w:sz w:val="20"/>
        </w:rPr>
        <w:t>2. Iga-aastane teave riiklikule turule lastud plastkandekottide kohta, mille peavad esitama tootjad.</w:t>
      </w:r>
    </w:p>
    <w:tbl>
      <w:tblPr>
        <w:tblW w:w="5000" w:type="pct"/>
        <w:tblCellMar>
          <w:left w:w="29" w:type="dxa"/>
          <w:right w:w="29" w:type="dxa"/>
        </w:tblCellMar>
        <w:tblLook w:val="0000" w:firstRow="0" w:lastRow="0" w:firstColumn="0" w:lastColumn="0" w:noHBand="0" w:noVBand="0"/>
      </w:tblPr>
      <w:tblGrid>
        <w:gridCol w:w="882"/>
        <w:gridCol w:w="550"/>
        <w:gridCol w:w="548"/>
        <w:gridCol w:w="759"/>
        <w:gridCol w:w="1223"/>
        <w:gridCol w:w="549"/>
        <w:gridCol w:w="548"/>
        <w:gridCol w:w="759"/>
        <w:gridCol w:w="1223"/>
        <w:gridCol w:w="549"/>
        <w:gridCol w:w="548"/>
        <w:gridCol w:w="759"/>
        <w:gridCol w:w="549"/>
        <w:gridCol w:w="548"/>
        <w:gridCol w:w="759"/>
      </w:tblGrid>
      <w:tr w:rsidR="007D7D7B" w:rsidRPr="002D3FA8" w:rsidTr="00700587">
        <w:trPr>
          <w:cantSplit/>
        </w:trPr>
        <w:tc>
          <w:tcPr>
            <w:tcW w:w="365" w:type="pct"/>
            <w:vMerge w:val="restar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Seina paksus</w:t>
            </w:r>
          </w:p>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(mikronites)</w:t>
            </w:r>
          </w:p>
        </w:tc>
        <w:tc>
          <w:tcPr>
            <w:tcW w:w="1279" w:type="pct"/>
            <w:gridSpan w:val="4"/>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Suure tihedusega polüetüleenist plastkandekotid</w:t>
            </w:r>
          </w:p>
        </w:tc>
        <w:tc>
          <w:tcPr>
            <w:tcW w:w="1264" w:type="pct"/>
            <w:gridSpan w:val="4"/>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Väikese tihedusega polüetüleenist plastkandekotid</w:t>
            </w:r>
          </w:p>
        </w:tc>
        <w:tc>
          <w:tcPr>
            <w:tcW w:w="1059" w:type="pct"/>
            <w:gridSpan w:val="3"/>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Kompostitavad plastkandekotid</w:t>
            </w:r>
          </w:p>
        </w:tc>
        <w:tc>
          <w:tcPr>
            <w:tcW w:w="1032" w:type="pct"/>
            <w:gridSpan w:val="3"/>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Muud tüüpi plastikust tehtud kotid</w:t>
            </w:r>
          </w:p>
        </w:tc>
      </w:tr>
      <w:tr w:rsidR="007D7D7B" w:rsidRPr="002D3FA8" w:rsidTr="00700587">
        <w:trPr>
          <w:cantSplit/>
        </w:trPr>
        <w:tc>
          <w:tcPr>
            <w:tcW w:w="365" w:type="pct"/>
            <w:vMerge/>
          </w:tcPr>
          <w:p w:rsidR="007D7D7B" w:rsidRPr="002D3FA8" w:rsidRDefault="007D7D7B" w:rsidP="00F84860">
            <w:pPr>
              <w:pStyle w:val="Default"/>
              <w:keepNext/>
              <w:keepLines/>
              <w:widowControl/>
              <w:rPr>
                <w:color w:val="auto"/>
                <w:sz w:val="16"/>
                <w:szCs w:val="16"/>
              </w:rPr>
            </w:pPr>
          </w:p>
        </w:tc>
        <w:tc>
          <w:tcPr>
            <w:tcW w:w="320"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Ühikud</w:t>
            </w:r>
          </w:p>
        </w:tc>
        <w:tc>
          <w:tcPr>
            <w:tcW w:w="320"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 kaal (g/kott)</w:t>
            </w:r>
          </w:p>
        </w:tc>
        <w:tc>
          <w:tcPr>
            <w:tcW w:w="320"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Kaal (tonnides)</w:t>
            </w:r>
          </w:p>
        </w:tc>
        <w:tc>
          <w:tcPr>
            <w:tcW w:w="320"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Ümbertöödeldud plasti sisaldus (%)</w:t>
            </w:r>
          </w:p>
        </w:tc>
        <w:tc>
          <w:tcPr>
            <w:tcW w:w="316"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Ühikud</w:t>
            </w:r>
          </w:p>
        </w:tc>
        <w:tc>
          <w:tcPr>
            <w:tcW w:w="316"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 kaal (g/kott)</w:t>
            </w:r>
          </w:p>
        </w:tc>
        <w:tc>
          <w:tcPr>
            <w:tcW w:w="316"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Kaal (tonnides)</w:t>
            </w:r>
          </w:p>
        </w:tc>
        <w:tc>
          <w:tcPr>
            <w:tcW w:w="316"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Ümbertöödeldud plasti sisaldus (%)</w:t>
            </w:r>
          </w:p>
        </w:tc>
        <w:tc>
          <w:tcPr>
            <w:tcW w:w="353"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Ühikud</w:t>
            </w:r>
          </w:p>
        </w:tc>
        <w:tc>
          <w:tcPr>
            <w:tcW w:w="353"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 kaal (g/kott)</w:t>
            </w:r>
          </w:p>
        </w:tc>
        <w:tc>
          <w:tcPr>
            <w:tcW w:w="353"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Kaal (tonnides)</w:t>
            </w:r>
          </w:p>
        </w:tc>
        <w:tc>
          <w:tcPr>
            <w:tcW w:w="344"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Ühikud</w:t>
            </w:r>
          </w:p>
        </w:tc>
        <w:tc>
          <w:tcPr>
            <w:tcW w:w="344"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Ühiku kaal (g/kott)</w:t>
            </w:r>
          </w:p>
        </w:tc>
        <w:tc>
          <w:tcPr>
            <w:tcW w:w="344" w:type="pct"/>
          </w:tcPr>
          <w:p w:rsidR="007D7D7B" w:rsidRPr="002D3FA8" w:rsidRDefault="007D7D7B" w:rsidP="00F84860">
            <w:pPr>
              <w:pStyle w:val="Pa16"/>
              <w:keepNext/>
              <w:keepLines/>
              <w:widowControl/>
              <w:spacing w:line="240" w:lineRule="auto"/>
              <w:jc w:val="center"/>
              <w:rPr>
                <w:color w:val="000000"/>
                <w:sz w:val="16"/>
                <w:szCs w:val="16"/>
              </w:rPr>
            </w:pPr>
            <w:r w:rsidRPr="002D3FA8">
              <w:rPr>
                <w:color w:val="000000"/>
                <w:sz w:val="16"/>
              </w:rPr>
              <w:t>Kaal (tonnides)</w:t>
            </w:r>
          </w:p>
        </w:tc>
      </w:tr>
      <w:tr w:rsidR="007D7D7B" w:rsidRPr="002D3FA8" w:rsidTr="00700587">
        <w:trPr>
          <w:cantSplit/>
        </w:trPr>
        <w:tc>
          <w:tcPr>
            <w:tcW w:w="365" w:type="pct"/>
          </w:tcPr>
          <w:p w:rsidR="007D7D7B" w:rsidRPr="002D3FA8" w:rsidRDefault="007D7D7B" w:rsidP="00761256">
            <w:pPr>
              <w:pStyle w:val="Pa17"/>
              <w:widowControl/>
              <w:spacing w:line="240" w:lineRule="auto"/>
              <w:rPr>
                <w:color w:val="000000"/>
                <w:sz w:val="16"/>
                <w:szCs w:val="16"/>
              </w:rPr>
            </w:pPr>
            <w:r w:rsidRPr="002D3FA8">
              <w:rPr>
                <w:color w:val="000000"/>
                <w:sz w:val="16"/>
              </w:rPr>
              <w:t>Alla 15 ja jagatakse tasuta.</w:t>
            </w: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r>
      <w:tr w:rsidR="007D7D7B" w:rsidRPr="002D3FA8" w:rsidTr="00700587">
        <w:trPr>
          <w:cantSplit/>
        </w:trPr>
        <w:tc>
          <w:tcPr>
            <w:tcW w:w="365" w:type="pct"/>
          </w:tcPr>
          <w:p w:rsidR="007D7D7B" w:rsidRPr="002D3FA8" w:rsidRDefault="007D7D7B" w:rsidP="00761256">
            <w:pPr>
              <w:pStyle w:val="Pa17"/>
              <w:widowControl/>
              <w:spacing w:line="240" w:lineRule="auto"/>
              <w:rPr>
                <w:color w:val="000000"/>
                <w:sz w:val="16"/>
                <w:szCs w:val="16"/>
              </w:rPr>
            </w:pPr>
            <w:r w:rsidRPr="002D3FA8">
              <w:rPr>
                <w:color w:val="000000"/>
                <w:sz w:val="16"/>
              </w:rPr>
              <w:t>Alla 15 ja ei jagata tasuta.</w:t>
            </w: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r>
      <w:tr w:rsidR="007D7D7B" w:rsidRPr="002D3FA8" w:rsidTr="00700587">
        <w:trPr>
          <w:cantSplit/>
        </w:trPr>
        <w:tc>
          <w:tcPr>
            <w:tcW w:w="365" w:type="pct"/>
          </w:tcPr>
          <w:p w:rsidR="007D7D7B" w:rsidRPr="002D3FA8" w:rsidRDefault="007D7D7B" w:rsidP="00761256">
            <w:pPr>
              <w:pStyle w:val="Pa17"/>
              <w:widowControl/>
              <w:spacing w:line="240" w:lineRule="auto"/>
              <w:rPr>
                <w:color w:val="000000"/>
                <w:sz w:val="16"/>
                <w:szCs w:val="16"/>
              </w:rPr>
            </w:pPr>
            <w:r w:rsidRPr="002D3FA8">
              <w:rPr>
                <w:color w:val="000000"/>
                <w:sz w:val="16"/>
              </w:rPr>
              <w:t>15 kuni 49.</w:t>
            </w: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r>
      <w:tr w:rsidR="007D7D7B" w:rsidRPr="002D3FA8" w:rsidTr="00700587">
        <w:trPr>
          <w:cantSplit/>
        </w:trPr>
        <w:tc>
          <w:tcPr>
            <w:tcW w:w="365" w:type="pct"/>
          </w:tcPr>
          <w:p w:rsidR="007D7D7B" w:rsidRPr="002D3FA8" w:rsidRDefault="007D7D7B" w:rsidP="00761256">
            <w:pPr>
              <w:pStyle w:val="Pa17"/>
              <w:widowControl/>
              <w:spacing w:line="240" w:lineRule="auto"/>
              <w:rPr>
                <w:color w:val="000000"/>
                <w:sz w:val="16"/>
                <w:szCs w:val="16"/>
              </w:rPr>
            </w:pPr>
            <w:r w:rsidRPr="002D3FA8">
              <w:rPr>
                <w:color w:val="000000"/>
                <w:sz w:val="16"/>
              </w:rPr>
              <w:t>50 või rohkem.</w:t>
            </w: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20"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16"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53"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c>
          <w:tcPr>
            <w:tcW w:w="344" w:type="pct"/>
          </w:tcPr>
          <w:p w:rsidR="007D7D7B" w:rsidRPr="002D3FA8" w:rsidRDefault="007D7D7B" w:rsidP="00761256">
            <w:pPr>
              <w:pStyle w:val="Default"/>
              <w:widowControl/>
              <w:rPr>
                <w:color w:val="auto"/>
                <w:sz w:val="16"/>
                <w:szCs w:val="16"/>
              </w:rPr>
            </w:pPr>
          </w:p>
        </w:tc>
      </w:tr>
    </w:tbl>
    <w:p w:rsidR="007D7D7B" w:rsidRPr="002D3FA8" w:rsidRDefault="007D7D7B" w:rsidP="007D7D7B">
      <w:pPr>
        <w:pStyle w:val="Default"/>
        <w:widowControl/>
        <w:spacing w:before="120" w:after="120"/>
        <w:ind w:firstLine="720"/>
        <w:rPr>
          <w:sz w:val="20"/>
          <w:szCs w:val="20"/>
        </w:rPr>
      </w:pPr>
    </w:p>
    <w:sectPr w:rsidR="007D7D7B" w:rsidRPr="002D3FA8"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C52" w:rsidRDefault="001C5C52" w:rsidP="00751786">
      <w:pPr>
        <w:spacing w:after="0" w:line="240" w:lineRule="auto"/>
      </w:pPr>
      <w:r>
        <w:separator/>
      </w:r>
    </w:p>
  </w:endnote>
  <w:endnote w:type="continuationSeparator" w:id="0">
    <w:p w:rsidR="001C5C52" w:rsidRDefault="001C5C52"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C52" w:rsidRDefault="001C5C52" w:rsidP="00751786">
      <w:pPr>
        <w:spacing w:after="0" w:line="240" w:lineRule="auto"/>
      </w:pPr>
      <w:r>
        <w:separator/>
      </w:r>
    </w:p>
  </w:footnote>
  <w:footnote w:type="continuationSeparator" w:id="0">
    <w:p w:rsidR="001C5C52" w:rsidRDefault="001C5C52"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FB"/>
    <w:rsid w:val="00147EEC"/>
    <w:rsid w:val="001B208E"/>
    <w:rsid w:val="001C5C52"/>
    <w:rsid w:val="002D3FA8"/>
    <w:rsid w:val="003C24A4"/>
    <w:rsid w:val="00651F5D"/>
    <w:rsid w:val="00694AFB"/>
    <w:rsid w:val="00700587"/>
    <w:rsid w:val="00751786"/>
    <w:rsid w:val="007D2CBC"/>
    <w:rsid w:val="007D7D7B"/>
    <w:rsid w:val="008E1C8A"/>
    <w:rsid w:val="00A67DA9"/>
    <w:rsid w:val="00C1192B"/>
    <w:rsid w:val="00DD0252"/>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t-EE" w:eastAsia="et-EE" w:bidi="et-EE"/>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et-EE" w:eastAsia="et-EE"/>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et-EE" w:eastAsia="et-EE"/>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56A8-2ECC-4FD5-9092-A0B90DE7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4986</Words>
  <Characters>28422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revision>4</cp:revision>
  <dcterms:created xsi:type="dcterms:W3CDTF">2018-05-23T01:31:00Z</dcterms:created>
  <dcterms:modified xsi:type="dcterms:W3CDTF">2018-10-04T06:27:00Z</dcterms:modified>
</cp:coreProperties>
</file>