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8E" w:rsidRPr="00B14189" w:rsidRDefault="001B208E" w:rsidP="007D7D7B">
      <w:pPr>
        <w:pStyle w:val="Default"/>
        <w:widowControl/>
        <w:spacing w:before="120" w:after="120"/>
        <w:ind w:left="284" w:firstLine="720"/>
      </w:pPr>
    </w:p>
    <w:p w:rsidR="007D2CBC" w:rsidRPr="00B14189" w:rsidRDefault="007D2CBC" w:rsidP="007D2CBC">
      <w:pPr>
        <w:pStyle w:val="Vaintekstin"/>
        <w:rPr>
          <w:rFonts w:ascii="Courier New" w:hAnsi="Courier New" w:cs="Courier New"/>
          <w:sz w:val="20"/>
          <w:szCs w:val="20"/>
        </w:rPr>
      </w:pPr>
    </w:p>
    <w:p w:rsidR="007D2CBC" w:rsidRPr="00B14189" w:rsidRDefault="007D2CBC" w:rsidP="007D2CBC">
      <w:pPr>
        <w:pStyle w:val="Vaintekstin"/>
        <w:rPr>
          <w:rFonts w:ascii="Courier New" w:hAnsi="Courier New" w:cs="Courier New"/>
          <w:sz w:val="20"/>
          <w:szCs w:val="20"/>
        </w:rPr>
      </w:pPr>
      <w:r w:rsidRPr="00B14189">
        <w:rPr>
          <w:rFonts w:ascii="Courier New" w:hAnsi="Courier New"/>
          <w:sz w:val="20"/>
        </w:rPr>
        <w:t>1. ------IND- 2017 0525 E-- FI- ------ 20181003 --- --- FINAL</w:t>
      </w:r>
    </w:p>
    <w:p w:rsidR="001B208E" w:rsidRPr="00B14189" w:rsidRDefault="001B208E" w:rsidP="007D7D7B">
      <w:pPr>
        <w:pStyle w:val="Default"/>
        <w:widowControl/>
        <w:spacing w:before="120" w:after="120"/>
        <w:ind w:left="284" w:firstLine="720"/>
      </w:pPr>
    </w:p>
    <w:p w:rsidR="001B208E" w:rsidRPr="00B14189" w:rsidRDefault="00E22FFA" w:rsidP="007D7D7B">
      <w:pPr>
        <w:pStyle w:val="Default"/>
        <w:framePr w:w="1986" w:wrap="auto" w:vAnchor="page" w:hAnchor="page" w:x="569" w:y="705"/>
        <w:widowControl/>
        <w:spacing w:before="120" w:after="120"/>
      </w:pPr>
      <w:r w:rsidRPr="00B14189">
        <w:rPr>
          <w:noProof/>
          <w:lang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http://schemas.openxmlformats.org/wordprocessingml/2006/main"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Pr="00B14189" w:rsidRDefault="001B208E" w:rsidP="007D7D7B">
      <w:pPr>
        <w:pStyle w:val="Default"/>
        <w:framePr w:w="1986" w:wrap="auto" w:vAnchor="page" w:hAnchor="page" w:x="569" w:y="705"/>
        <w:widowControl/>
        <w:spacing w:before="120" w:after="120"/>
        <w:ind w:left="284" w:firstLine="720"/>
      </w:pPr>
    </w:p>
    <w:p w:rsidR="001B208E" w:rsidRPr="00B14189" w:rsidRDefault="00E22FFA" w:rsidP="007D7D7B">
      <w:pPr>
        <w:pStyle w:val="Default"/>
        <w:framePr w:w="1397" w:wrap="auto" w:vAnchor="page" w:hAnchor="page" w:x="10739" w:y="611"/>
        <w:widowControl/>
        <w:spacing w:before="120" w:after="120"/>
        <w:jc w:val="both"/>
      </w:pPr>
      <w:r w:rsidRPr="00B14189">
        <w:rPr>
          <w:noProof/>
          <w:lang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http://schemas.openxmlformats.org/wordprocessingml/2006/main"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Pr="00B14189" w:rsidRDefault="001B208E" w:rsidP="007D7D7B">
      <w:pPr>
        <w:pStyle w:val="Default"/>
        <w:widowControl/>
        <w:spacing w:before="120" w:after="120"/>
        <w:jc w:val="center"/>
        <w:rPr>
          <w:sz w:val="30"/>
          <w:szCs w:val="30"/>
        </w:rPr>
      </w:pPr>
      <w:r w:rsidRPr="00B14189">
        <w:rPr>
          <w:b/>
          <w:sz w:val="30"/>
        </w:rPr>
        <w:t>I. YLEISET SÄÄNNÖKSET</w:t>
      </w:r>
    </w:p>
    <w:p w:rsidR="001B208E" w:rsidRPr="00B14189" w:rsidRDefault="001B208E" w:rsidP="007D7D7B">
      <w:pPr>
        <w:pStyle w:val="Pa3"/>
        <w:widowControl/>
        <w:spacing w:before="120" w:after="120" w:line="360" w:lineRule="auto"/>
        <w:jc w:val="center"/>
        <w:rPr>
          <w:color w:val="000000"/>
          <w:sz w:val="39"/>
          <w:szCs w:val="39"/>
        </w:rPr>
      </w:pPr>
      <w:r w:rsidRPr="00B14189">
        <w:rPr>
          <w:color w:val="000000"/>
          <w:sz w:val="39"/>
        </w:rPr>
        <w:t xml:space="preserve">MAATALOUS-, </w:t>
      </w:r>
      <w:r w:rsidRPr="00B14189">
        <w:rPr>
          <w:color w:val="000000"/>
          <w:sz w:val="39"/>
          <w:szCs w:val="39"/>
        </w:rPr>
        <w:br/>
      </w:r>
      <w:r w:rsidRPr="00B14189">
        <w:rPr>
          <w:color w:val="000000"/>
          <w:sz w:val="39"/>
        </w:rPr>
        <w:t xml:space="preserve">KALASTUS-, </w:t>
      </w:r>
      <w:r w:rsidRPr="00B14189">
        <w:rPr>
          <w:color w:val="000000"/>
          <w:sz w:val="39"/>
          <w:szCs w:val="39"/>
        </w:rPr>
        <w:br/>
      </w:r>
      <w:r w:rsidRPr="00B14189">
        <w:rPr>
          <w:color w:val="000000"/>
          <w:sz w:val="39"/>
        </w:rPr>
        <w:t>ELINTARVIKE- JA YMPÄRISTÖMINISTERIÖ</w:t>
      </w:r>
    </w:p>
    <w:p w:rsidR="00694AFB" w:rsidRPr="00B14189" w:rsidRDefault="00694AFB" w:rsidP="007D7D7B">
      <w:pPr>
        <w:pStyle w:val="Default"/>
        <w:widowControl/>
        <w:rPr>
          <w:b/>
          <w:bCs/>
          <w:color w:val="004378"/>
          <w:sz w:val="20"/>
          <w:szCs w:val="20"/>
        </w:rPr>
      </w:pPr>
      <w:r w:rsidRPr="00B14189">
        <w:rPr>
          <w:b/>
          <w:color w:val="004378"/>
          <w:sz w:val="20"/>
        </w:rPr>
        <w:t>Nro 122</w:t>
      </w:r>
      <w:r w:rsidRPr="00B14189">
        <w:tab/>
      </w:r>
      <w:r w:rsidRPr="00B14189">
        <w:rPr>
          <w:b/>
          <w:color w:val="004378"/>
          <w:sz w:val="20"/>
        </w:rPr>
        <w:t>Lauantai, 19 päivä toukokuuta 2018   Osio I.   Sivu 52591</w:t>
      </w:r>
    </w:p>
    <w:p w:rsidR="003C24A4" w:rsidRPr="00B14189" w:rsidRDefault="003C24A4" w:rsidP="007D7D7B">
      <w:pPr>
        <w:pStyle w:val="Default"/>
        <w:widowControl/>
        <w:spacing w:before="120" w:after="120"/>
        <w:ind w:firstLine="720"/>
        <w:rPr>
          <w:i/>
          <w:iCs/>
          <w:sz w:val="20"/>
          <w:szCs w:val="20"/>
        </w:rPr>
      </w:pPr>
    </w:p>
    <w:p w:rsidR="001B208E" w:rsidRPr="00B14189" w:rsidRDefault="001B208E" w:rsidP="007D7D7B">
      <w:pPr>
        <w:pStyle w:val="Default"/>
        <w:widowControl/>
        <w:spacing w:before="120" w:after="120"/>
        <w:ind w:firstLine="720"/>
        <w:rPr>
          <w:sz w:val="20"/>
          <w:szCs w:val="20"/>
        </w:rPr>
      </w:pPr>
      <w:r w:rsidRPr="00B14189">
        <w:rPr>
          <w:i/>
          <w:sz w:val="20"/>
        </w:rPr>
        <w:t>Kuninkaan asetus nro 293/2018, annettu 18 päivänä toukokuuta 2018, muovisten kantokassien kulutuksen vähentämisestä ja tuotteiden tuottajarekisterin perustamisesta.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w:t>
      </w:r>
    </w:p>
    <w:p w:rsidR="001B208E" w:rsidRPr="00B14189" w:rsidRDefault="001B208E" w:rsidP="007D7D7B">
      <w:pPr>
        <w:pStyle w:val="Default"/>
        <w:widowControl/>
        <w:spacing w:before="120" w:after="120"/>
        <w:ind w:firstLine="720"/>
        <w:rPr>
          <w:sz w:val="20"/>
          <w:szCs w:val="20"/>
        </w:rPr>
      </w:pPr>
      <w:r w:rsidRPr="00B14189">
        <w:rPr>
          <w:sz w:val="20"/>
        </w:rPr>
        <w:t>Pakkauksista ja pakkausjätteistä 20 päivänä joulukuuta 1994 annettu Euroopan parlamentin ja neuvoston direktiivi 94/62/EY annettiin pakkausten ja pakkausjätteiden ympäristövaikutusten ehkäisemiseksi ja lieventämiseksi. Direktiivi saatettiin osaksi Espanjan kansallista lainsäädäntöä pakkauksista ja pakkausjätteistä 24 päivänä huhtikuuta 1997 annetulla lailla nro 11/1997 ja pakkauksista ja pakkausjätteistä 24 päivänä huhtikuuta 1997 annetun lain nro 11/1997 täytäntöönpanosta 30 päivänä huhtikuuta 1998 annetulla kuninkaan asetuksella nro 782/1998. Vaikka muoviset kantokassit katsotaan pakkauksiksi 20 päivänä joulukuuta 1994 annetun Euroopan parlamentin ja neuvoston direktiivin 94/62/EY tarkoituksessa, kyseisen direktiivin alkuperäinen sanamuoto ei sisällä tämäntyyppisten pakkausten kulutusta koskevia erityissäännöksiä.</w:t>
      </w:r>
    </w:p>
    <w:p w:rsidR="001B208E" w:rsidRPr="00B14189" w:rsidRDefault="001B208E" w:rsidP="007D7D7B">
      <w:pPr>
        <w:pStyle w:val="Default"/>
        <w:widowControl/>
        <w:spacing w:before="120" w:after="120"/>
        <w:ind w:firstLine="720"/>
        <w:rPr>
          <w:sz w:val="20"/>
          <w:szCs w:val="20"/>
        </w:rPr>
      </w:pPr>
      <w:r w:rsidRPr="00B14189">
        <w:rPr>
          <w:sz w:val="20"/>
        </w:rPr>
        <w:t>Muovisten kantokassien nykyinen kulutuksen taso johtaa runsaaseen roskaantumiseen ja tehottomaan resurssien käyttöön, ja ilman lisätoimia kulutuksen odotetaan lisääntyvän. Muovisten kantokassien aiheuttama roskaantuminen saastuttaa ympäristöä ja pahentaa vesistöjen roskaantumisen laajalle levinnyttä ongelmaa, joka uhkaa vesistöjen ekosysteemejä maailmanlaajuisesti. Euroopan unionissa käytettävistä muovisista kantokasseista selvästi suurin osa on paksuudeltaan alle 50 mikronia (jäljempänä ”kevyet muoviset kantokassit”), ja niitä käytetään uudelleen huomattavasti harvemmin kuin paksumpia muovisia kantokasseja. Näin ollen kevyistä muovisista kantokasseista tulee nopeammin jätettä ja ne aiheuttavat keveytensä vuoksi helpommin roskaantumista. Kevyiden muovisten kantokassien nykyiset kierrätysasteet ovat hyvin alhaiset, ja monien käytännön ongelmien ja taloudellisten ongelmien vuoksi ne eivät todennäköisesti kohoa merkittäville tasoille lähitulevaisuudessa.</w:t>
      </w:r>
    </w:p>
    <w:p w:rsidR="001B208E" w:rsidRPr="00B14189" w:rsidRDefault="001B208E" w:rsidP="007D7D7B">
      <w:pPr>
        <w:pStyle w:val="Default"/>
        <w:widowControl/>
        <w:spacing w:before="120" w:after="120"/>
        <w:ind w:firstLine="720"/>
        <w:rPr>
          <w:sz w:val="20"/>
          <w:szCs w:val="20"/>
        </w:rPr>
      </w:pPr>
      <w:r w:rsidRPr="00B14189">
        <w:rPr>
          <w:sz w:val="20"/>
        </w:rPr>
        <w:t>Edellä kuvatun ongelman ratkaisemiseksi Euroopan unionin tasolla on hyväksytty direktiivin 94/62/EY muuttamisesta kevyiden muovisten kantokassien kulutuksen vähentämisen osalta 29 päivänä huhtikuuta 2015 annettu Euroopan parlamentin ja neuvoston direktiivi (EU) 2015/720. Tämän kuninkaan asetuksen tarkoituksena on saattaa 29 päivänä huhtikuuta 2015 annettu Euroopan parlamentin ja neuvoston direktiivi (EU) 2015/720 osaksi Espanjan kansallista lainsäädäntöä.</w:t>
      </w:r>
    </w:p>
    <w:p w:rsidR="001B208E" w:rsidRPr="00B14189" w:rsidRDefault="001B208E" w:rsidP="007D7D7B">
      <w:pPr>
        <w:pStyle w:val="Default"/>
        <w:widowControl/>
        <w:spacing w:before="120" w:after="120"/>
        <w:ind w:firstLine="720"/>
        <w:rPr>
          <w:sz w:val="20"/>
          <w:szCs w:val="20"/>
        </w:rPr>
      </w:pPr>
      <w:r w:rsidRPr="00B14189">
        <w:rPr>
          <w:sz w:val="20"/>
        </w:rPr>
        <w:t>Kyseisessä yhteisön direktiivissä säädetään, että jäsenvaltioiden on toteutettava toimenpiteitä, joilla pyritään saavuttamaan kevyiden muovisten kantokassien kulutuksen kestävä väheneminen alueellaan. Tätä varten jäsenvaltioille tarjotaan erilaisia vaihtoehtoja, joihin sisältyvät kansallisten vähennystavoitteiden asettaminen, taloudellisten ohjauskeinojen käyttöönotto sekä tarvittaessa markkinoille saattamisen rajoittaminen edellyttäen, että nämä rajoitukset ovat oikeasuhteisia ja syrjimättömiä Lisäksi säädetään, että nämä toimenpiteet voivat vaihdella sen mukaan, mitkä ovat kevyiden muovisten kantokassien ympäristövaikutukset, kun niitä hyödynnetään tai ne poistetaan käytöstä, kuten niiden kierrätys- ja kompostointiominaisuudet, kestävyys tai erityinen käyttötarkoitus.</w:t>
      </w:r>
    </w:p>
    <w:p w:rsidR="00694AFB" w:rsidRPr="00B14189" w:rsidRDefault="001B208E" w:rsidP="007D7D7B">
      <w:pPr>
        <w:pStyle w:val="Default"/>
        <w:widowControl/>
        <w:spacing w:before="120" w:after="120"/>
        <w:ind w:firstLine="720"/>
        <w:rPr>
          <w:sz w:val="20"/>
          <w:szCs w:val="20"/>
        </w:rPr>
      </w:pPr>
      <w:r w:rsidRPr="00B14189">
        <w:rPr>
          <w:sz w:val="20"/>
        </w:rPr>
        <w:t xml:space="preserve">Jäsenvaltioiden on joka tapauksessa toteutettava vähintään toinen seuraavista toimenpiteistä: a) hyväksytään toimenpiteitä sen varmistamiseksi, että vuosittaisen kulutuksen taso ei ylitä 90:tä kevyttä muovista kantokassia henkeä kohti 31 päivään joulukuuta 2019 mennessä ja 40:tä kevyttä muovista kantokassia henkeä kohti 31 päivään joulukuuta 2025 mennessä, tai vastaavia painon avulla ilmaistuja tavoitteita; b) hyväksytään ohjauskeinoja, joilla varmistetaan, että 31 päivään joulukuuta 2018 mennessä kevyitä muovisia kantokasseja ei jaeta ilmaiseksi tavaroiden ja </w:t>
      </w:r>
      <w:r w:rsidRPr="00B14189">
        <w:rPr>
          <w:sz w:val="20"/>
        </w:rPr>
        <w:lastRenderedPageBreak/>
        <w:t>tuotteiden myyntipisteissä, paitsi jos yhtä tehokkaita ohjauskeinoja otetaan käyttöön. Jäsenvaltiot voivat direktiivin nojalla päättää poikkeuksesta sellaisten kevyiden muovisten kantokassien osalta, joiden paksuus on alle 15 mikronia, kun tämä on tarpeen hygieniasyistä tai kun niiden käyttö auttaa ehkäisemään elintarvikkeiden hävikkiä. Lisäksi direktiivissä säädetään, että jäsenvaltioiden on raportoitava 27 päivästä toukokuuta 2018 alkaen kevyiden muovisten kantokassien vuosittaisesta kulutuksesta antaessaan tietoja pakkauksista ja pakkausjätteistä Euroopan komissiolle voimassaolevan lainsäädännön mukaisesti. Muiden muovisten kantokassien eli vähintään 50 mikronin paksuisten muovisten kantokassien osalta direktiivissä säädetään, että jäsenvaltiot voivat ottaa käyttöön kansallisten vähennystavoitteiden ja taloudellisten ohjauskeinojen kaltaisia toimenpiteitä. Direktiivissä pidetään erityisen tärkeinä jäsenvaltioiden toteutettavaksi annettavia julkisia tiedotuskampanjoita ja tietoisuutta lisääviä kampanjoita kevyiden muovisten kantokassien liiallisen kulutuksen haitallisista ympäristövaikutuksista.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II</w:t>
      </w:r>
    </w:p>
    <w:p w:rsidR="001B208E" w:rsidRPr="00B14189" w:rsidRDefault="001B208E" w:rsidP="007D7D7B">
      <w:pPr>
        <w:pStyle w:val="Default"/>
        <w:widowControl/>
        <w:spacing w:before="120" w:after="120"/>
        <w:ind w:firstLine="720"/>
        <w:rPr>
          <w:sz w:val="20"/>
          <w:szCs w:val="20"/>
        </w:rPr>
      </w:pPr>
      <w:r w:rsidRPr="00B14189">
        <w:rPr>
          <w:sz w:val="20"/>
        </w:rPr>
        <w:t>Vuosien 2008–2015 kansallisessa jätehuoltosuunnitelmassa (Plan Nacional Integrado de Residuos 2008–2015, PNIR) on pohdittu muovisten kantokassien kulutuksen osalta erilaisia toimenpiteitä kertakäyttöisten kantokassien vähittäiseksi korvaamiseksi. Kyseisistä toimenpiteistä voidaan nostaa esille 50 prosentin vähennys kertakäyttöisten kantokassien käytössä vuoteen 2010 mennessä, aikataulun asettaminen biohajoamattomien muovien korvaamiselle, jakelualojen välisten sopimusten edistäminen kantokassijätteiden syntymisen vähentämiseksi, uudelleenkäytettävien kantokassien käytön edistäminen liikkeissä ja tavarataloissa sekä biohajoamattomien kertakäyttöisten muovisten kantokassien korvaaminen biohajoavasta materiaalista valmistetuilla kantokasseilla. Mainittakoon myös, että biohajoavuuden käsitteellä tarkoitetaan kompostoituvuutta edellä mainitun 29 päivänä huhtikuuta 2015 annetun Euroopan parlamentin ja neuvoston direktiivin (EU) 2015/720 mukaisesti.</w:t>
      </w:r>
    </w:p>
    <w:p w:rsidR="001B208E" w:rsidRPr="00B14189" w:rsidRDefault="001B208E" w:rsidP="007D7D7B">
      <w:pPr>
        <w:pStyle w:val="Default"/>
        <w:widowControl/>
        <w:spacing w:before="120" w:after="120"/>
        <w:ind w:firstLine="720"/>
        <w:rPr>
          <w:sz w:val="20"/>
          <w:szCs w:val="20"/>
        </w:rPr>
      </w:pPr>
      <w:r w:rsidRPr="00B14189">
        <w:rPr>
          <w:sz w:val="20"/>
        </w:rPr>
        <w:t>Jätteistä ja saastuneista maaperistä 28 päivänä heinäkuuta 2011 annetulla lailla nro 22/2011 on puolestaan velvoitettu julkishallintoja ottamaan käyttöön tarvittavat toimenpiteet kaupan alan biohajoamattomista kertakäyttöisistä muovisista kantokasseista ja niiden vaihtoehdoista syntyvien jätteiden ehkäisemis-, vähentämis- ja käsittelyjärjestelmien edistämiseksi, mikä pitää sisällään julkishallinnon toimet kuluttajana julkisten hankintojen yhteydessä.</w:t>
      </w:r>
    </w:p>
    <w:p w:rsidR="001B208E" w:rsidRPr="00B14189" w:rsidRDefault="001B208E" w:rsidP="007D7D7B">
      <w:pPr>
        <w:pStyle w:val="Default"/>
        <w:widowControl/>
        <w:spacing w:before="120" w:after="120"/>
        <w:ind w:firstLine="720"/>
        <w:rPr>
          <w:sz w:val="20"/>
          <w:szCs w:val="20"/>
        </w:rPr>
      </w:pPr>
      <w:r w:rsidRPr="00B14189">
        <w:rPr>
          <w:sz w:val="20"/>
        </w:rPr>
        <w:t>Myöhemmin annetussa vuosien 2014–2020 valtiollisessa jätteiden syntymisen ehkäisemisohjelmassa (Programa Estatal de Prevención de Residuos 2014–2020), joka on hyväksytty 13 päivänä joulukuuta 2013 tehdyllä ministerineuvoston päätöksellä, pakkaukset on sisällytetty omaksi painopistealueekseen, jonka osalta mainitaan erikseen joitakin keinoja muovisten kantokassien kulutuksen vähentämiseksi. Lisäksi myös vuosien 2016–2022 valtiollisen jätehuoltoalan kehyssuunnitelman (Plan Estatal Marco de Gestión de Residuos 2016–2022), joka on hyväksytty 6 päivänä marraskuuta 2015 tehdyllä ministerineuvoston päätöksellä, pakkauksia ja pakkausjätteitä koskeva luku sisältää muovisia kantokasseja koskevia tietoja ja tavoitteita.</w:t>
      </w:r>
    </w:p>
    <w:p w:rsidR="001B208E" w:rsidRPr="00B14189" w:rsidRDefault="001B208E" w:rsidP="007D7D7B">
      <w:pPr>
        <w:pStyle w:val="Default"/>
        <w:widowControl/>
        <w:spacing w:before="120" w:after="120"/>
        <w:ind w:firstLine="720"/>
        <w:rPr>
          <w:sz w:val="20"/>
          <w:szCs w:val="20"/>
        </w:rPr>
      </w:pPr>
      <w:r w:rsidRPr="00B14189">
        <w:rPr>
          <w:sz w:val="20"/>
        </w:rPr>
        <w:t xml:space="preserve">Vuosien 2008–2015 kansallisen jätehuoltosuunnitelman, 28 päivänä heinäkuuta 2011 annetun lain nro 22/2011 ja niiden jälkeen laadittujen jätealan ohjelmasuunnittelu- ja suunnitteluvälineiden hyväksymisestä ja toimeenpanosta lähtien julkishallinnot ja jakeluala ovat toteuttaneet lukuisia toimenpiteitä tämänkaltaisten pakkausten kulutuksen </w:t>
      </w:r>
      <w:r w:rsidR="00B14189" w:rsidRPr="00B14189">
        <w:rPr>
          <w:sz w:val="20"/>
        </w:rPr>
        <w:t>vähentämiseksi</w:t>
      </w:r>
      <w:r w:rsidRPr="00B14189">
        <w:rPr>
          <w:sz w:val="20"/>
        </w:rPr>
        <w:t>. Näitä ovat muun muassa jakelijoiden kanssa tehdyt vapaaehtoiset sopimukset, tietoisuutta lisäävät kampanjat, verojen määrääminen, kestokassien käytön edistäminen ja hinnan määrääminen. Näiden toimenpiteiden myötä ja toimialaa koskevien tietojen perusteella kulutus on kuluneiden vuosien aikana laskenut lähes puoleen – vuonna 2007 taso oli 317 kantokassia asukasta kohden ja vuonna 2014 enää 144 kantokassia asukasta kohden – mikä johtuu pohjimmiltaan kyseessä olevan pakkauksen kulutustapojen muutoksesta.</w:t>
      </w:r>
    </w:p>
    <w:p w:rsidR="001B208E" w:rsidRPr="00B14189" w:rsidRDefault="001B208E" w:rsidP="007D7D7B">
      <w:pPr>
        <w:pStyle w:val="Default"/>
        <w:widowControl/>
        <w:spacing w:before="120" w:after="120"/>
        <w:ind w:firstLine="720"/>
        <w:rPr>
          <w:sz w:val="20"/>
          <w:szCs w:val="20"/>
        </w:rPr>
      </w:pPr>
      <w:r w:rsidRPr="00B14189">
        <w:rPr>
          <w:sz w:val="20"/>
        </w:rPr>
        <w:t>Toimialan toimittamien tietojen perusteella Espanjassa saatettiin vuonna 2014 markkinoille noin 62 560 tonnin verran alle 50 mikronin paksuisia muovisia kantokasseja (6 730 miljoonaa yksittäistä kantokassia), joista 23 prosenttia oli alle 15 mikronin paksuisia kantokasseja, ja yli 50 mikronin paksuisia muovisia kantokasseja saatettiin markkinoille noin 4 670 tonnin verran (158 miljoonaa yksittäistä kantokassia). Tämän vuoksi on tarpeellista jatkaa muovisten kantokassien kulutustapoja koskevien muutosten edistämistä erityisesti tietyillä aloilla, kuten vähittäiskaupassa, ja saattaa kantokassien kuluttamista koskeva uusi Euroopan unionin direktiivi osaksi Espanjan kansallista lainsäädäntöä.</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III</w:t>
      </w:r>
    </w:p>
    <w:p w:rsidR="001B208E" w:rsidRPr="00B14189" w:rsidRDefault="001B208E" w:rsidP="007D7D7B">
      <w:pPr>
        <w:pStyle w:val="Default"/>
        <w:widowControl/>
        <w:spacing w:before="120" w:after="120"/>
        <w:ind w:firstLine="720"/>
        <w:rPr>
          <w:sz w:val="20"/>
          <w:szCs w:val="20"/>
        </w:rPr>
      </w:pPr>
      <w:r w:rsidRPr="00B14189">
        <w:rPr>
          <w:sz w:val="20"/>
        </w:rPr>
        <w:t xml:space="preserve">Direktiivissä kevyiden muovisten kantokassien osalta mainituista mahdollisista toimenpiteistä asianmukaisimpina pidetään seuraavia: Kielletään ensiksi kevyiden muovisten kantokassien maksuton tarjoaminen kuluttajille myyntipisteissä 1 päivästä heinäkuuta 2018 alkaen. Liikkeenharjoittajien on kyseisestä päivämäärästä lähtien toisin sanoen veloitettava maksu kustakin kuluttajalle antamastaan muovisesta kantokassista. Toimenpiteestä jätetään pois erittäin kevyet muoviset kantokassit eli muoviset kantokassit, joiden paksuus on alle 15 mikronia ja joita tarvitaan hygieniasyistä tai joita käytetään irtomyynnissä olevien elintarvikkeiden kuluttajapakkauksina. Toiseksi kielletään kevyiden ja erittäin kevyiden kompostoitumattomien muovisten kantokassien maksuton ja maksullinen tarjoaminen kuluttajille myyntipisteissä 1 päivästä tammikuuta 2021 alkaen. Tämän määräajan tarkoituksena on yhdenmukaistaa vaatimus kevyiden ja erittäin kevyiden muovisten kantokassien kompostoitavuudesta biojätteiden erilliskeräyksen kokonaisvaltaisen käyttöönoton kanssa. Se on tarpeen sellaisten yhdyskuntajätteiden uudelleenkäyttöä ja kierrättämistä koskevien yhteisön valmisteltavien tavoitteiden noudattamiseksi, joista on säädetty 28 päivänä heinäkuuta 2011 annetussa laissa nro 22/2011 ja jätteitä koskevissa uusissa Euroopan unionin direktiiveissä. Näin ollen kompostoituvia kantokasseja, joiden osalta sopivin </w:t>
      </w:r>
      <w:r w:rsidRPr="00B14189">
        <w:rPr>
          <w:sz w:val="20"/>
        </w:rPr>
        <w:lastRenderedPageBreak/>
        <w:t>käsittelytapa ovat biologiset menettelyt, käsitellään yhdessä yhdyskuntajätteisiin sisältyvän biojätteen kanssa. Näin vältytään siltä, että ne voisivat sekoittua muiden jätevirtojen, kuten muovipakkausten, kanssa, sillä sekoittuminen voisi vaikeuttaa kompostoitumattomien muovien koneellista kierrättämistä.</w:t>
      </w:r>
    </w:p>
    <w:p w:rsidR="001B208E" w:rsidRPr="00B14189" w:rsidRDefault="001B208E" w:rsidP="007D7D7B">
      <w:pPr>
        <w:pStyle w:val="Default"/>
        <w:widowControl/>
        <w:spacing w:before="120" w:after="120"/>
        <w:ind w:firstLine="720"/>
        <w:rPr>
          <w:sz w:val="20"/>
          <w:szCs w:val="20"/>
        </w:rPr>
      </w:pPr>
      <w:r w:rsidRPr="00B14189">
        <w:rPr>
          <w:sz w:val="20"/>
        </w:rPr>
        <w:t>On korostettava, että 29 päivänä huhtikuuta 2015 annetun Euroopan parlamentin ja neuvoston direktiivin (EU) 2015/720 ja siten myös tämän kuninkaan asetuksen tavoitteena on vähentää kevyiden muovisten kantokassien kulutusta. Kompostoituvien muovisten kantokassien käyttö ei ole ainut mahdollinen ratkaisu. Liikkeenharjoittajilta ei edellytetä kompostoitumattomien muovisten kantokassien korvaamista kompostoituvilla muovisilla kantokasseilla, vaan he voivat myös käyttää mitä tahansa muuta ratkaisua, joka ei johda pakkausjätteen määrän kasvuun.</w:t>
      </w:r>
    </w:p>
    <w:p w:rsidR="001B208E" w:rsidRPr="00B14189" w:rsidRDefault="001B208E" w:rsidP="007D7D7B">
      <w:pPr>
        <w:pStyle w:val="Default"/>
        <w:widowControl/>
        <w:spacing w:before="120" w:after="120"/>
        <w:ind w:firstLine="720"/>
        <w:rPr>
          <w:sz w:val="20"/>
          <w:szCs w:val="20"/>
        </w:rPr>
      </w:pPr>
      <w:r w:rsidRPr="00B14189">
        <w:rPr>
          <w:sz w:val="20"/>
        </w:rPr>
        <w:t>Viime vuosina markkinoille on saatettu muovisia kantokasseja, jotka on varustettu merkinnällä ”oxobiodegradables” [okso-biohajoavat] tai ”oxodegradables” [oksohajoavat]. Kyseisissä kantokasseissa perinteisiin muoveihin on lisätty lisäaineita, jotka ajan kuluessa hajottavat muovin ympäristöön jääviksi pienhiukkasiksi. Näiden kantokassien nimittäminen ”biohajoaviksi” voi johtaa harhaan, sillä ne eivät ratkaise poisheittämisestä johtuvaa saastumisongelmaa vaan voivat jopa pahentaa sitä. Oksohajoavasta muovista valmistettujen kantokassien tapaan käyttäytyvät myös valo-, lämpö-, ja vesihajoavasta muovista valmistetut kantokassit, minkä vuoksi tulisikin puhua hajoavista muoveista valmistetuista kantokasseista. Pienhiukkasina ympäristöön jäävästä muovista maaperään, veteen ja eliöstöön aiheutuvien vahinkojen välttämiseksi on päätetty kieltää 1 päivästä tammikuuta 2020 alkaen myös hajoavasta muovista valmistettujen kantokassien jakelu. Tällaisiksi katsotaan muoviset kantokassit, jotka on valmistettu muovimateriaalista, joka sisältää muovimateriaalin pienhiukkasiksi hajoamista edistäviä lisäaineita.</w:t>
      </w:r>
    </w:p>
    <w:p w:rsidR="00694AFB" w:rsidRPr="00B14189" w:rsidRDefault="001B208E" w:rsidP="007D7D7B">
      <w:pPr>
        <w:pStyle w:val="Default"/>
        <w:widowControl/>
        <w:spacing w:before="120" w:after="120"/>
        <w:ind w:firstLine="720"/>
        <w:rPr>
          <w:sz w:val="20"/>
          <w:szCs w:val="20"/>
        </w:rPr>
      </w:pPr>
      <w:r w:rsidRPr="00B14189">
        <w:rPr>
          <w:sz w:val="20"/>
        </w:rPr>
        <w:t>Koska 29 päivänä huhtikuuta 2015 annetussa Euroopan parlamentin ja neuvoston direktiivissä (EU) 2015/720 jäsenvaltioille tarjotaan mahdollisuus ottaa käyttöön toimenpiteitä minkä tahansa tyyppisten muovisten kantokassien kulutuksen vähentämiseksi niiden paksuudesta riippumatta, on katsottu asianmukaiseksi ottaa käyttöön toimenpiteet myös vähintään 50 mikronin paksuisten kantokassien osalta: Kyseisistä kantokasseista on veloitettava maksu 1 päivästä heinäkuuta 2018 alkaen, lukuun ottamatta kantokasseja, joiden materiaalista vähintään 70 prosenttia on kierrätettyä muovia. Jotta voitaisiin myös edistää kierrätystaloutta ja jätteistä peräisin olevien materiaalien hyödyntämistä uusien tuotteiden valmistamisessa, lisäksi säädetään, että 1 päivästä tammikuuta 2020 alkaen kantokassien materiaaleista vähintään 50 prosentin on oltava kierrätettyä muovia, ja tällaisille kantokasseille esitetään pienempää ohjehintaa. Vähintään 70 prosenttia kierrätettyä muovia sisältäville kantokasseille myönnetyn veloituspoikkeuksen valvontaa ja tarkastamista varten liikkeenharjoittajilla on oltava mainitun prosenttimäärän todistamiseksi tarvittavat asiakirjat.</w:t>
      </w:r>
    </w:p>
    <w:p w:rsidR="001B208E" w:rsidRPr="00B14189" w:rsidRDefault="001B208E" w:rsidP="007D7D7B">
      <w:pPr>
        <w:pStyle w:val="Default"/>
        <w:widowControl/>
        <w:spacing w:before="120" w:after="120"/>
        <w:ind w:firstLine="720"/>
        <w:rPr>
          <w:sz w:val="20"/>
          <w:szCs w:val="20"/>
        </w:rPr>
      </w:pPr>
      <w:r w:rsidRPr="00B14189">
        <w:rPr>
          <w:sz w:val="20"/>
        </w:rPr>
        <w:t>Lopuksi on tarpeen selventää, että kaikki nämä toimenpiteet koskevat myös verkkomyynnin välityksellä jaeltavia kantokasseja ja kotiinkuljetuksien yhteydessä toimitettavia kantokasseja. Tämä ei koske etämyynnissä käytettäviä muovisia kääreitä, joita voidaan kuitenkin pitää pakkauksina, jos ne ovat 24 päivänä huhtikuuta 1997 annetussa laissa nro 11/1997 annetun pakkauksen määritelmän ja sen esimerkkien mukaisia.</w:t>
      </w:r>
    </w:p>
    <w:p w:rsidR="001B208E" w:rsidRPr="00B14189" w:rsidRDefault="001B208E" w:rsidP="007D7D7B">
      <w:pPr>
        <w:pStyle w:val="Default"/>
        <w:widowControl/>
        <w:spacing w:before="120" w:after="120"/>
        <w:ind w:firstLine="720"/>
        <w:rPr>
          <w:sz w:val="20"/>
          <w:szCs w:val="20"/>
        </w:rPr>
      </w:pPr>
      <w:r w:rsidRPr="00B14189">
        <w:rPr>
          <w:sz w:val="20"/>
        </w:rPr>
        <w:t>Jotta kansalaisille voitaisiin tiedottaa ja heitä voitaisiin valistaa tällä kuninkaan asetuksella käyttöön otettavista toimenpiteistä ja kevyiden muovisten kantokassien liiallisen kulutuksen ja poisheiton ympäristövaikutuksista ja jotta jätehierarkian periaatteen soveltamista voitaisiin edistää, maatalous-, kalastus-, elintarvike- ja ympäristöministeriön ja itsehallintoalueiden toimivaltaisten viranomaisten on toteutettava tietoisuutta lisääviä kampanjoita vähintään ensimmäisen vuoden aikana tämän kuninkaan asetuksen voimaantulosta. Lisäksi näihin kampanjoihin on sisällyttävä tiedot säiliöistä, joihin kompostoituvat ja kompostoitumattomat muoviset kantokassit on toimitettava. Myös paikallisviranomaiset ja yksityinen sektori voivat toteuttaa tietoisuutta lisääviä kampanjoita. Koska muoviset kantokassit ovat pakkauksia, julkishallintojen toteuttamat kampanjat voivat olla laajennetun vastuun kollektiivisten järjestelmien (joita on aiemmin kutsuttu kokonaisvaltaisiksi hallintajärjestelmiksi) rahoittamia niiden rahoitussopimusten mukaisesti, joita kyseisillä järjestelmillä on itsehallintoalueiden tai mahdollisesti paikallisten viranomaisten kanssa.</w:t>
      </w:r>
    </w:p>
    <w:p w:rsidR="001B208E" w:rsidRPr="00B14189" w:rsidRDefault="001B208E" w:rsidP="007D7D7B">
      <w:pPr>
        <w:pStyle w:val="Default"/>
        <w:widowControl/>
        <w:spacing w:before="120" w:after="120"/>
        <w:ind w:firstLine="720"/>
        <w:rPr>
          <w:sz w:val="20"/>
          <w:szCs w:val="20"/>
        </w:rPr>
      </w:pPr>
      <w:r w:rsidRPr="00B14189">
        <w:rPr>
          <w:sz w:val="20"/>
        </w:rPr>
        <w:t>Euroopan unionin lainsäädännön mukaisesti säädetään myös velvollisuudesta merkitä kompostoituvat kantokassit 18 kuukauden kuluessa siitä, kun Euroopan komissio antaa säännöksen, jolla säädetään merkintöjä ja merkkejä koskevista eritelmistä, joiden avulla voidaan taata kyseisten kantokassien tunnustaminen koko Euroopan unionissa sekä tarjota kuluttajille paikkansa pitävää tietoa kyseisten kantokassien ominaisuuksista.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IV</w:t>
      </w:r>
    </w:p>
    <w:p w:rsidR="001B208E" w:rsidRPr="00B14189" w:rsidRDefault="001B208E" w:rsidP="007D7D7B">
      <w:pPr>
        <w:pStyle w:val="Default"/>
        <w:widowControl/>
        <w:spacing w:before="120" w:after="120"/>
        <w:ind w:firstLine="720"/>
        <w:rPr>
          <w:sz w:val="20"/>
          <w:szCs w:val="20"/>
        </w:rPr>
      </w:pPr>
      <w:r w:rsidRPr="00B14189">
        <w:rPr>
          <w:sz w:val="20"/>
        </w:rPr>
        <w:t>Jätteiden ehkäisemistä, hyödyntämistä ja kierrättämistä koskevien toimenpiteiden toimeenpanoa edistetään 28 päivänä heinäkuuta 2011 annetulla lailla nro 22/2011, jätteistä ja tiettyjen direktiivien kumoamisesta 19 päivänä marraskuuta 2008 annetussa Euroopan parlamentin ja neuvoston direktiivissä 2008/98/EY (jätepolitiikan puitedirektiivi) säädetyn mukaisesti. Laissa esitetään suunnitteluvälineiksi jätehuoltosuunnitelmia ja -ohjelmia ja jätteiden syntymisen ehkäisemistä koskevia ohjelmia, ja laissa myös asetetaan tavoitteet jätteiden synnyn ehkäisemiselle ja jätteiden erilliskeräykselle. Nämä jätteiden synnyn ehkäisemistä ja jätteiden erilliskeräystä koskevat tavoitteet ovat yhteydessä esimerkiksi saatavilla oleviin tietoihin sellaisten markkinoille saatettavien tuotteiden määrästä ja tyypistä, jotka muuttuvat käytön myötä jätteeksi.</w:t>
      </w:r>
    </w:p>
    <w:p w:rsidR="001B208E" w:rsidRPr="00B14189" w:rsidRDefault="001B208E" w:rsidP="007D7D7B">
      <w:pPr>
        <w:pStyle w:val="Default"/>
        <w:widowControl/>
        <w:spacing w:before="120" w:after="120"/>
        <w:ind w:firstLine="720"/>
        <w:rPr>
          <w:sz w:val="20"/>
          <w:szCs w:val="20"/>
        </w:rPr>
      </w:pPr>
      <w:r w:rsidRPr="00B14189">
        <w:rPr>
          <w:sz w:val="20"/>
        </w:rPr>
        <w:lastRenderedPageBreak/>
        <w:t>Koska on yhä tärkeämpää vähentää entisestään tietyntyyppisten jätteiden syntymistä, kehittää keräystapoja, nostaa kierrätysastetta ja tarvittaessa myös toteuttaa rahoitustoimenpiteitä, ympäristöviranomaiset tarvitsevat tarkempia tietoja sellaisten markkinoille saatettavien tuotteiden määrästä ja tyyppistä, jotka muuttuvat käytön myötä jätteeksi.</w:t>
      </w:r>
    </w:p>
    <w:p w:rsidR="00694AFB" w:rsidRPr="00B14189" w:rsidRDefault="001B208E" w:rsidP="007D7D7B">
      <w:pPr>
        <w:pStyle w:val="Default"/>
        <w:widowControl/>
        <w:spacing w:before="120" w:after="120"/>
        <w:ind w:firstLine="720"/>
        <w:rPr>
          <w:sz w:val="20"/>
          <w:szCs w:val="20"/>
        </w:rPr>
      </w:pPr>
      <w:r w:rsidRPr="00B14189">
        <w:rPr>
          <w:sz w:val="20"/>
        </w:rPr>
        <w:t>Markkinoille saatettavia tuotteita, joista syntyy tietyntyyppisiä jätteitä, koskevien tietojen kerääminen rekistereihin on velvollisuus, josta on säädetty lukuisissa yhteisön jätehuoltoa koskevissa direktiiveissä ja erityisesti säännöksissä, joissa sovelletaan tuottajan laajennetun vastuun periaatetta. Näissä tapauksissa kunkin tuottajan taloudellinen panos jätehuollon rahoituksessa on suhteessa tuottajan markkinoille saattamien tuotteiden määrään ja tyyppiin.</w:t>
      </w:r>
    </w:p>
    <w:p w:rsidR="001B208E" w:rsidRPr="00B14189" w:rsidRDefault="001B208E" w:rsidP="007D7D7B">
      <w:pPr>
        <w:pStyle w:val="Default"/>
        <w:widowControl/>
        <w:spacing w:before="120" w:after="120"/>
        <w:ind w:firstLine="720"/>
        <w:rPr>
          <w:sz w:val="20"/>
          <w:szCs w:val="20"/>
        </w:rPr>
      </w:pPr>
      <w:r w:rsidRPr="00B14189">
        <w:rPr>
          <w:sz w:val="20"/>
        </w:rPr>
        <w:t>Tietynlaisten pakkausten, kuten muovisten kantokassien, markkinoille saattamista koskevien tietojen saanti on olennaista sen arvioimiseksi, täyttyvätkö niiden kulutuksen vähentämistä koskevat Euroopan unionin tavoitteet, sekä Euroopan komissiolle tehtäviä vuosittaisia tiedonantoja koskevien velvoitteiden täyttämiseksi. Näistä syistä on vaadittava, että tuottajat toimittavat vuosittain tietoja muovisten kantokassien markkinoille saattamisesta. Tätä tarkoitusta varten perustetaan tuotteiden tuottajarekisteri (Registro de Productores de Productos), joka on luonteeltaan hallinnollinen ja ilmoituksiin perustuva rekisteri. Se toimii maatalous-, kalastus-, elintarvike- ja ympäristöministeriön ympäristön laadusta ja arvioinnista ja luonnonympäristöstä vastaavan pääosaston yhteydessä.</w:t>
      </w:r>
    </w:p>
    <w:p w:rsidR="001B208E" w:rsidRPr="00B14189" w:rsidRDefault="001B208E" w:rsidP="007D7D7B">
      <w:pPr>
        <w:pStyle w:val="Default"/>
        <w:widowControl/>
        <w:spacing w:before="120" w:after="120"/>
        <w:ind w:firstLine="720"/>
        <w:rPr>
          <w:sz w:val="20"/>
          <w:szCs w:val="20"/>
        </w:rPr>
      </w:pPr>
      <w:r w:rsidRPr="00B14189">
        <w:rPr>
          <w:sz w:val="20"/>
        </w:rPr>
        <w:t>Tuotteiden tuottajarekisteriin perustetaan muovisten kantokassien valmistajien osasto, ja rekisteriin voidaan perustaa uusia osastoja muilla yksittäisiä jätevirtoja koskevilla säädöksillä.</w:t>
      </w:r>
    </w:p>
    <w:p w:rsidR="001B208E" w:rsidRPr="00B14189" w:rsidRDefault="001B208E" w:rsidP="007D7D7B">
      <w:pPr>
        <w:pStyle w:val="Default"/>
        <w:widowControl/>
        <w:spacing w:before="120" w:after="120"/>
        <w:ind w:firstLine="720"/>
        <w:rPr>
          <w:sz w:val="20"/>
          <w:szCs w:val="20"/>
        </w:rPr>
      </w:pPr>
      <w:r w:rsidRPr="00B14189">
        <w:rPr>
          <w:sz w:val="20"/>
        </w:rPr>
        <w:t>Tässä kuninkaan asetuksessa säädetään velvollisuudesta, jonka mukaan muovisten kantokassien valmistajien ja maahantuojien on rekisteröidyttävä tuotteiden tuottajarekisterin muovisten kantokassien osastoon kolmen kuukauden kuluttua tämän kuninkaan asetuksen voimaantulosta, sekä velvollisuudesta, jonka mukaan muovisten kantokassien valmistajien ja maahantuojien on toimitettava muovisten kantokassien markkinoille saattamista koskevia tietoja, joiden avulla täytetään Euroopan komissiolle tehtäviä vuosittaisia tiedonantoja koskevat velvoitteet.</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V</w:t>
      </w:r>
    </w:p>
    <w:p w:rsidR="001B208E" w:rsidRPr="00B14189" w:rsidRDefault="001B208E" w:rsidP="007D7D7B">
      <w:pPr>
        <w:pStyle w:val="Default"/>
        <w:widowControl/>
        <w:spacing w:before="120" w:after="120"/>
        <w:ind w:firstLine="720"/>
        <w:rPr>
          <w:sz w:val="20"/>
          <w:szCs w:val="20"/>
        </w:rPr>
      </w:pPr>
      <w:r w:rsidRPr="00B14189">
        <w:rPr>
          <w:sz w:val="20"/>
        </w:rPr>
        <w:t>Tämä kuninkaan asetus annetaan Espanjan perustuslain 149 §:n 1 momentin 13 ja 23 alamomentin nojalla. Niillä valtiolle annetaan yksinomainen toimivalta taloustoiminnan perusteita ja yleisen suunnittelun yhdenmukaistamista koskevissa asioissa sekä ympäristönsuojeluun liittyvää peruslainsäädäntöä koskevissa asioissa. Toimivalta tämän lainsäädännön antamiseen on annettu 28 päivänä heinäkuuta 2011 annetun lain nro 22/2011 kolmannessa loppusäännöksessä, jolla Espanjan hallitukselle annetaan valtuudet laatia toimivaltuuksiensa rajoissa tarvittava lainsäädäntö kyseisen lain toimeenpanoa ja soveltamista varten sekä erityisesti antaa erityyppisten jätteiden osalta säädökset, jotka sisältävät jätteiden tuotantoa ja käsittelyä koskevat erityissäännökset, ja saman lain kahdeksannessa loppusäännöksessä, jossa säädetään jätteitä koskevien toimeenpanosäännösten muuttamisesta.</w:t>
      </w:r>
    </w:p>
    <w:p w:rsidR="001B208E" w:rsidRPr="00B14189" w:rsidRDefault="001B208E" w:rsidP="007D7D7B">
      <w:pPr>
        <w:pStyle w:val="Default"/>
        <w:widowControl/>
        <w:spacing w:before="120" w:after="120"/>
        <w:ind w:firstLine="720"/>
        <w:rPr>
          <w:sz w:val="20"/>
          <w:szCs w:val="20"/>
        </w:rPr>
      </w:pPr>
      <w:r w:rsidRPr="00B14189">
        <w:rPr>
          <w:sz w:val="20"/>
        </w:rPr>
        <w:t>Tällä kuninkaan asetuksella käyttöön otettavat toimenpiteet kuuluvat luonteeltaan 28 päivänä heinäkuuta 2011 annetun lain nro 22/2011 16 §:n 1 momentin soveltamisalaan. Siinä säädetään, että toimivaltaiset viranomaiset voivat toteuttaa taloudellisia, rahoituksellisia ja verotuksellisia toimia, joilla edistetään jätteiden syntymisen ehkäisemistä, toteutetaan jätteiden erilliskeräys, parannetaan jätehuoltoa, kehitetään ja lujitetaan kierrätysmarkkinoita ja varmistetaan, että jäteala osallistuu kasvihuonekaasupäästöjen vähentämiseen.</w:t>
      </w:r>
    </w:p>
    <w:p w:rsidR="001B208E" w:rsidRPr="00B14189" w:rsidRDefault="001B208E" w:rsidP="007D7D7B">
      <w:pPr>
        <w:pStyle w:val="Default"/>
        <w:widowControl/>
        <w:spacing w:before="120" w:after="120"/>
        <w:ind w:firstLine="720"/>
        <w:rPr>
          <w:sz w:val="20"/>
          <w:szCs w:val="20"/>
        </w:rPr>
      </w:pPr>
      <w:r w:rsidRPr="00B14189">
        <w:rPr>
          <w:sz w:val="20"/>
        </w:rPr>
        <w:t>Ennalta tehtävä julkinen kuuleminen, josta säädetään julkishallintojen yhteisestä hallintomenettelystä 1 päivänä lokakuuta 2015 annetun lain nro 39/2015 133 §:ssä 27 päivänä marraskuuta 1997 annetun hallituslain nro 50/1997 26 §:n 2 momentin mukaisesti, on järjestetty maatalous-, kalastus-, elintarvike- ja ympäristöministeriön verkkosivuston välityksellä ennen tämän kuninkaan asetuksen tekstin laatimista.</w:t>
      </w:r>
    </w:p>
    <w:p w:rsidR="00694AFB" w:rsidRPr="00B14189" w:rsidRDefault="001B208E" w:rsidP="007D7D7B">
      <w:pPr>
        <w:pStyle w:val="Default"/>
        <w:widowControl/>
        <w:spacing w:before="120" w:after="120"/>
        <w:ind w:firstLine="720"/>
        <w:rPr>
          <w:sz w:val="20"/>
          <w:szCs w:val="20"/>
        </w:rPr>
      </w:pPr>
      <w:r w:rsidRPr="00B14189">
        <w:rPr>
          <w:sz w:val="20"/>
        </w:rPr>
        <w:t>Tämän kuninkaan asetuksen laatimisen aikana on kuultu taloudellisia ja yhteiskunnallisia toimijoita, itsehallintoalueita, Ceutan ja Melillan autonomisia kaupunkeja, paikallisviranomaisia ja toimialoja, joihin asetus todennäköisesti vaikuttaa eniten. Lisäksi luonnoksen osalta on kuultu neuvoa-antavaa ympäristöalan toimikuntaa ja siitä on annettu julkinen tiedonanto tiedonsaantia, julkista osallistumista ja oikeuden saatavuutta ympäristöalan asioissa koskevista oikeuksista 18 päivänä heinäkuuta 2006 annetun lain nro 27/2006 (jolla direktiivit 2003/4/EY ja 2003/35/EY saatetaan osaksi kansallista lainsäädäntöä) ja 27 päivänä marraskuuta 1997 annetun hallituslain nro 50/1997 säännösten mukaisesti.</w:t>
      </w:r>
    </w:p>
    <w:p w:rsidR="001B208E" w:rsidRPr="00B14189" w:rsidRDefault="001B208E" w:rsidP="007D7D7B">
      <w:pPr>
        <w:pStyle w:val="Default"/>
        <w:widowControl/>
        <w:spacing w:before="120" w:after="120"/>
        <w:ind w:firstLine="720"/>
        <w:rPr>
          <w:sz w:val="20"/>
          <w:szCs w:val="20"/>
        </w:rPr>
      </w:pPr>
      <w:r w:rsidRPr="00B14189">
        <w:rPr>
          <w:sz w:val="20"/>
        </w:rPr>
        <w:t>Tästä kuninkaan asetuksesta on lisäksi ilmoitettu ennalta Euroopan komissiolle pakkauksista ja pakkausjätteistä 20 päivänä joulukuuta 1994 annetun Euroopan parlamentin ja neuvoston direktiivin 94/62/EY 16 artiklan mukaisesti ja noudattaen menettelyä, josta säädetään teknisiä määräyksiä ja tietoyhteiskunnan palveluja koskevia määräyksiä koskevien tietojen toimittamisessa noudatettavasta menettelystä 9 päivänä syyskuuta 2015 annetussa Euroopan parlamentin ja neuvoston direktiivissä (EU) 2015/1535, sekä säännöksiä, jotka on annettu teknisiä standardeja ja määräyksiä ja tietoyhteiskunnan palveluja koskevia määräyksiä koskevien tietojen toimittamisesta 31 päivänä heinäkuuta 1999 annetussa kuninkaan asetuksessa nro 1337/1999.</w:t>
      </w:r>
    </w:p>
    <w:p w:rsidR="001B208E" w:rsidRPr="00B14189" w:rsidRDefault="001B208E" w:rsidP="007D7D7B">
      <w:pPr>
        <w:pStyle w:val="Default"/>
        <w:widowControl/>
        <w:spacing w:before="120" w:after="120"/>
        <w:ind w:firstLine="720"/>
        <w:rPr>
          <w:sz w:val="20"/>
          <w:szCs w:val="20"/>
        </w:rPr>
      </w:pPr>
      <w:r w:rsidRPr="00B14189">
        <w:rPr>
          <w:sz w:val="20"/>
        </w:rPr>
        <w:lastRenderedPageBreak/>
        <w:t>Mainittujen seikkojen perusteella tämä kuninkaan asetus noudattaa sisältönsä ja käsittelytapansa osalta välttämättömyyden, tehokkuuden, suhteellisuuden, oikeusvarmuuden, läpinäkyvyyden ja vaikuttavuuden periaatteita 1 päivänä lokakuuta 2015 annetun lain nro 39/2015 129 §:n mukaisesti.</w:t>
      </w:r>
    </w:p>
    <w:p w:rsidR="001B208E" w:rsidRPr="00B14189" w:rsidRDefault="001B208E" w:rsidP="007D7D7B">
      <w:pPr>
        <w:pStyle w:val="Default"/>
        <w:widowControl/>
        <w:spacing w:before="120" w:after="120"/>
        <w:ind w:firstLine="720"/>
        <w:rPr>
          <w:sz w:val="20"/>
          <w:szCs w:val="20"/>
        </w:rPr>
      </w:pPr>
      <w:r w:rsidRPr="00B14189">
        <w:rPr>
          <w:sz w:val="20"/>
        </w:rPr>
        <w:t>Lisäksi tämä kuninkaan asetus on osa vuoden 2018 vuotuista lainsäädäntösuunnitelmaa (Plan Anual Normativo de 2018) 27 päivänä marraskuuta 1997 annetun lain nro 50/1997 25 §:n mukaisesti.</w:t>
      </w:r>
    </w:p>
    <w:p w:rsidR="001B208E" w:rsidRPr="00B14189" w:rsidRDefault="001B208E" w:rsidP="007D7D7B">
      <w:pPr>
        <w:pStyle w:val="Default"/>
        <w:widowControl/>
        <w:spacing w:before="120" w:after="120"/>
        <w:ind w:firstLine="720"/>
        <w:rPr>
          <w:sz w:val="20"/>
          <w:szCs w:val="20"/>
        </w:rPr>
      </w:pPr>
      <w:r w:rsidRPr="00B14189">
        <w:rPr>
          <w:sz w:val="20"/>
        </w:rPr>
        <w:t>Tämän nojalla, maatalous-, kalastus-, elintarvike- ja ympäristöministerin ehdotuksesta, valtiovarain- ja julkishallintoministerin annettua ennakkohyväksyntänsä, valtioneuvoston hyväksynnän/kuulemisen mukaisesti ja asian oltua ministerineuvoston käsiteltävänä 18 päivänä toukokuuta 2018 pidetyssä kokouksessa,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SÄÄDETÄÄN SEURAAVAA: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 OSASTO</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Yleiset säännökset</w:t>
      </w:r>
    </w:p>
    <w:p w:rsidR="001B208E" w:rsidRPr="00B14189" w:rsidRDefault="001B208E" w:rsidP="007D7D7B">
      <w:pPr>
        <w:pStyle w:val="Default"/>
        <w:keepNext/>
        <w:keepLines/>
        <w:widowControl/>
        <w:spacing w:before="120" w:after="120"/>
        <w:ind w:firstLine="720"/>
        <w:rPr>
          <w:sz w:val="20"/>
          <w:szCs w:val="20"/>
        </w:rPr>
      </w:pPr>
      <w:r w:rsidRPr="00B14189">
        <w:rPr>
          <w:sz w:val="20"/>
        </w:rPr>
        <w:t>1 §. </w:t>
      </w:r>
      <w:r w:rsidRPr="00B14189">
        <w:rPr>
          <w:i/>
          <w:sz w:val="20"/>
        </w:rPr>
        <w:t>Tarkoitus ja tavoitteet</w:t>
      </w:r>
    </w:p>
    <w:p w:rsidR="001B208E" w:rsidRPr="00B14189" w:rsidRDefault="001B208E" w:rsidP="007D7D7B">
      <w:pPr>
        <w:pStyle w:val="Default"/>
        <w:widowControl/>
        <w:spacing w:before="120" w:after="120"/>
        <w:ind w:firstLine="720"/>
        <w:rPr>
          <w:sz w:val="20"/>
          <w:szCs w:val="20"/>
        </w:rPr>
      </w:pPr>
      <w:r w:rsidRPr="00B14189">
        <w:rPr>
          <w:sz w:val="20"/>
        </w:rPr>
        <w:t>1. Tämän kuninkaan asetuksen tarkoituksena on ottaa käyttöön toimenpiteitä, joiden avulla voidaan vähentää muovisten kantokassien kulutusta, minkä tavoitteena on estää ja vähentää kielteisiä vaikutuksia, joita kyseisistä muovisista kantokasseista aiheutuu ympäristölle ja etenkin vesistöjen ekosysteemeille sekä tietyille taloudellisille toiminnoille, kuten kalastukselle ja matkailualalle. Lisäksi tarkoituksena on välttää materiaalien ja taloudellisten resurssien hävikkiä, joka aiheutuu muovisten kantokassien poisheitosta ja niiden leviämisestä luontoon.</w:t>
      </w:r>
    </w:p>
    <w:p w:rsidR="001B208E" w:rsidRPr="00B14189" w:rsidRDefault="001B208E" w:rsidP="007D7D7B">
      <w:pPr>
        <w:pStyle w:val="Default"/>
        <w:widowControl/>
        <w:spacing w:before="120" w:after="120"/>
        <w:ind w:firstLine="720"/>
        <w:rPr>
          <w:sz w:val="20"/>
          <w:szCs w:val="20"/>
        </w:rPr>
      </w:pPr>
      <w:r w:rsidRPr="00B14189">
        <w:rPr>
          <w:sz w:val="20"/>
        </w:rPr>
        <w:t>2. Tämän kuninkaan asetuksen tarkoituksena on myös perustaa tuotteiden tuottajarekisteri (Registro de Productores de Productos), joka on luonteeltaan hallinnollinen ja ilmoituksiin perustuva. Se perustetaan maatalous-, kalastus-, elintarvike- ja ympäristöministeriön ympäristön laadusta ja arvioinnista ja luonnonympäristöstä vastaavan pääosaston yhteyteen.</w:t>
      </w:r>
    </w:p>
    <w:p w:rsidR="001B208E" w:rsidRPr="00B14189" w:rsidRDefault="001B208E" w:rsidP="007D7D7B">
      <w:pPr>
        <w:pStyle w:val="Default"/>
        <w:keepNext/>
        <w:keepLines/>
        <w:widowControl/>
        <w:spacing w:before="120" w:after="120"/>
        <w:ind w:firstLine="720"/>
        <w:rPr>
          <w:sz w:val="20"/>
          <w:szCs w:val="20"/>
        </w:rPr>
      </w:pPr>
      <w:r w:rsidRPr="00B14189">
        <w:rPr>
          <w:sz w:val="20"/>
        </w:rPr>
        <w:t>2 §.</w:t>
      </w:r>
      <w:r w:rsidRPr="00B14189">
        <w:rPr>
          <w:i/>
          <w:sz w:val="20"/>
        </w:rPr>
        <w:t> </w:t>
      </w:r>
      <w:r w:rsidRPr="00B14189">
        <w:rPr>
          <w:i/>
          <w:sz w:val="20"/>
        </w:rPr>
        <w:t>Soveltamisala.</w:t>
      </w:r>
    </w:p>
    <w:p w:rsidR="001B208E" w:rsidRPr="00B14189" w:rsidRDefault="001B208E" w:rsidP="007D7D7B">
      <w:pPr>
        <w:pStyle w:val="Default"/>
        <w:widowControl/>
        <w:spacing w:before="120" w:after="120"/>
        <w:ind w:firstLine="720"/>
        <w:rPr>
          <w:sz w:val="20"/>
          <w:szCs w:val="20"/>
        </w:rPr>
      </w:pPr>
      <w:r w:rsidRPr="00B14189">
        <w:rPr>
          <w:sz w:val="20"/>
        </w:rPr>
        <w:t>Tätä kuninkaan asetusta sovelletaan kaikkiin muovisiin kantokasseihin, jotka saatetaan markkinoille Espanjan valtion alueella, sekä kyseisistä kantokasseista syntyviin jätteisiin.</w:t>
      </w:r>
    </w:p>
    <w:p w:rsidR="001B208E" w:rsidRPr="00B14189" w:rsidRDefault="001B208E" w:rsidP="007D7D7B">
      <w:pPr>
        <w:pStyle w:val="Default"/>
        <w:keepNext/>
        <w:keepLines/>
        <w:widowControl/>
        <w:spacing w:before="120" w:after="120"/>
        <w:ind w:firstLine="720"/>
        <w:rPr>
          <w:sz w:val="20"/>
          <w:szCs w:val="20"/>
        </w:rPr>
      </w:pPr>
      <w:r w:rsidRPr="00B14189">
        <w:rPr>
          <w:sz w:val="20"/>
        </w:rPr>
        <w:t>3 §. </w:t>
      </w:r>
      <w:r w:rsidRPr="00B14189">
        <w:rPr>
          <w:i/>
          <w:sz w:val="20"/>
        </w:rPr>
        <w:t>Määritelmät.</w:t>
      </w:r>
    </w:p>
    <w:p w:rsidR="001B208E" w:rsidRPr="00B14189" w:rsidRDefault="001B208E" w:rsidP="007D7D7B">
      <w:pPr>
        <w:pStyle w:val="Default"/>
        <w:widowControl/>
        <w:spacing w:before="120" w:after="120"/>
        <w:ind w:firstLine="720"/>
        <w:rPr>
          <w:sz w:val="20"/>
          <w:szCs w:val="20"/>
        </w:rPr>
      </w:pPr>
      <w:r w:rsidRPr="00B14189">
        <w:rPr>
          <w:sz w:val="20"/>
        </w:rPr>
        <w:t>Jätteistä ja saastuneista maaperistä 28 päivänä heinäkuuta 2011 annetun lain nro 22/2011, pakkauksista ja pakkausjätteistä 24 päivänä huhtikuuta 1997 annetun lain nro 11/1997 ja 24 päivänä huhtikuuta 1997 annetun lain nro 11/1997 täytäntöönpanosta 30 päivänä huhtikuuta 1998 annetun kuninkaan asetuksen nro 782/1998 määritelmien lisäksi käytetään seuraavia määritelmiä:</w:t>
      </w:r>
    </w:p>
    <w:p w:rsidR="00694AFB" w:rsidRPr="00B14189" w:rsidRDefault="001B208E" w:rsidP="007D7D7B">
      <w:pPr>
        <w:pStyle w:val="Default"/>
        <w:widowControl/>
        <w:spacing w:before="120" w:after="120"/>
        <w:ind w:firstLine="720"/>
        <w:rPr>
          <w:sz w:val="20"/>
          <w:szCs w:val="20"/>
        </w:rPr>
      </w:pPr>
      <w:r w:rsidRPr="00B14189">
        <w:rPr>
          <w:sz w:val="20"/>
        </w:rPr>
        <w:t>a) ”muovi”: 18 päivänä joulukuuta 2006 annetun Euroopan parlamentin ja neuvoston asetuksen (EY) N:o 1907/2006 3 artiklan 5 kohdassa tarkoitettu polymeeri, johon on voitu lisätä lisäaineita tai muita aineita ja joka voi olla kantokassien päärakenneosa;</w:t>
      </w:r>
    </w:p>
    <w:p w:rsidR="001B208E" w:rsidRPr="00B14189" w:rsidRDefault="001B208E" w:rsidP="007D7D7B">
      <w:pPr>
        <w:pStyle w:val="Default"/>
        <w:widowControl/>
        <w:spacing w:before="120" w:after="120"/>
        <w:ind w:firstLine="720"/>
        <w:rPr>
          <w:sz w:val="20"/>
          <w:szCs w:val="20"/>
        </w:rPr>
      </w:pPr>
      <w:r w:rsidRPr="00B14189">
        <w:rPr>
          <w:sz w:val="20"/>
        </w:rPr>
        <w:t>b) ”muoviset kantokassit”: kantokahvalliset tai kantokahvattomat muovista valmistetut kantokassit, joita tarjotaan kuluttajille tavaroiden tai tuotteiden myyntipisteessä, mukaan luettuina verkkokaupat ja kotiinkuljetukset;</w:t>
      </w:r>
    </w:p>
    <w:p w:rsidR="001B208E" w:rsidRPr="00B14189" w:rsidRDefault="001B208E" w:rsidP="007D7D7B">
      <w:pPr>
        <w:pStyle w:val="Default"/>
        <w:widowControl/>
        <w:spacing w:before="120" w:after="120"/>
        <w:ind w:firstLine="720"/>
        <w:rPr>
          <w:sz w:val="20"/>
          <w:szCs w:val="20"/>
        </w:rPr>
      </w:pPr>
      <w:r w:rsidRPr="00B14189">
        <w:rPr>
          <w:sz w:val="20"/>
        </w:rPr>
        <w:t>c) ”kevyet muoviset kantokassit”: muoviset kantokassit, joiden paksuus on alle 50 mikronia;</w:t>
      </w:r>
    </w:p>
    <w:p w:rsidR="001B208E" w:rsidRPr="00B14189" w:rsidRDefault="001B208E" w:rsidP="007D7D7B">
      <w:pPr>
        <w:pStyle w:val="Default"/>
        <w:widowControl/>
        <w:spacing w:before="120" w:after="120"/>
        <w:ind w:firstLine="720"/>
        <w:rPr>
          <w:sz w:val="20"/>
          <w:szCs w:val="20"/>
        </w:rPr>
      </w:pPr>
      <w:r w:rsidRPr="00B14189">
        <w:rPr>
          <w:sz w:val="20"/>
        </w:rPr>
        <w:t>d) ”erittäin kevyet muoviset kantokassit”: muoviset kantokassit, joiden paksuus on alle 15 mikronia ja joita tarvitaan hygieniasyistä tai joita käytetään irtomyynnissä olevien elintarvikkeiden, kuten esimerkiksi hedelmien, vihannesten, lihan ja kalan, kuluttajapakkauksina silloin, kun niiden käyttö auttaa ehkäisemään elintarvikkeiden hävikkiä;</w:t>
      </w:r>
    </w:p>
    <w:p w:rsidR="001B208E" w:rsidRPr="00B14189" w:rsidRDefault="001B208E" w:rsidP="007D7D7B">
      <w:pPr>
        <w:pStyle w:val="Default"/>
        <w:widowControl/>
        <w:spacing w:before="120" w:after="120"/>
        <w:ind w:firstLine="720"/>
        <w:rPr>
          <w:sz w:val="20"/>
          <w:szCs w:val="20"/>
        </w:rPr>
      </w:pPr>
      <w:r w:rsidRPr="00B14189">
        <w:rPr>
          <w:sz w:val="20"/>
        </w:rPr>
        <w:t>e) ”hajoavasta muovista valmistetut kantokassit”: muoviset kantokassit, jotka on valmistettu muovimateriaalista, joka sisältää muovimateriaalin pienhiukkasiksi hajoamista edistäviä lisäaineita. Hajoavan muovin käsite sisältää okso-, valo-, lämpö-, ja vesihajoavan muovin;</w:t>
      </w:r>
    </w:p>
    <w:p w:rsidR="001B208E" w:rsidRPr="00B14189" w:rsidRDefault="001B208E" w:rsidP="007D7D7B">
      <w:pPr>
        <w:pStyle w:val="Default"/>
        <w:widowControl/>
        <w:spacing w:before="120" w:after="120"/>
        <w:ind w:firstLine="720"/>
        <w:rPr>
          <w:sz w:val="20"/>
          <w:szCs w:val="20"/>
        </w:rPr>
      </w:pPr>
      <w:r w:rsidRPr="00B14189">
        <w:rPr>
          <w:sz w:val="20"/>
        </w:rPr>
        <w:t>f) ”kompostoituvat muoviset kantokassit”: muoviset kantokassit, jotka täyttävät voimassaolevan eurooppalaisen standardin EN 13432:2000 ”Pakkaukset. Vaatimukset pakkauksille, jotka ovat hyödynnettävissä kompostoinnin ja biohajoamisen avulla. Testausmenettely ja arviointiperusteet pakkauksen hyväksynnälle” ja sen ajan tasalle saatettujen versioiden vaatimukset, ja muoviset kantokassit, jotka täyttävät kotikompostointiin liittyvää biohajoamista koskevat Euroopan unionin tai kansallisen tason standardit;</w:t>
      </w:r>
    </w:p>
    <w:p w:rsidR="001B208E" w:rsidRPr="00B14189" w:rsidRDefault="001B208E" w:rsidP="007D7D7B">
      <w:pPr>
        <w:pStyle w:val="Default"/>
        <w:widowControl/>
        <w:spacing w:before="120" w:after="120"/>
        <w:ind w:firstLine="720"/>
        <w:rPr>
          <w:sz w:val="20"/>
          <w:szCs w:val="20"/>
        </w:rPr>
      </w:pPr>
      <w:r w:rsidRPr="00B14189">
        <w:rPr>
          <w:sz w:val="20"/>
        </w:rPr>
        <w:lastRenderedPageBreak/>
        <w:t>g) ”muovisten kantokassien valmistaja”: toimija, joka saattaa Espanjan kansallisille markkinoille valmiita muovisia kantokasseja. Myös valmiiden muovisten kantokassien maahantuojien katsotaan olevan valmistajia.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II OSA</w:t>
      </w:r>
    </w:p>
    <w:p w:rsidR="001B208E" w:rsidRPr="00B14189" w:rsidRDefault="001B208E" w:rsidP="007D7D7B">
      <w:pPr>
        <w:pStyle w:val="Pa1"/>
        <w:keepNext/>
        <w:keepLines/>
        <w:widowControl/>
        <w:spacing w:before="120" w:after="120" w:line="240" w:lineRule="auto"/>
        <w:jc w:val="center"/>
        <w:rPr>
          <w:sz w:val="20"/>
          <w:szCs w:val="20"/>
        </w:rPr>
      </w:pPr>
      <w:r w:rsidRPr="00B14189">
        <w:rPr>
          <w:b/>
          <w:sz w:val="20"/>
        </w:rPr>
        <w:t>Toimenpiteet, velvollisuudet ja kampanjat muovisten kantokassien kulutuksen vähentämiseksi.</w:t>
      </w:r>
    </w:p>
    <w:p w:rsidR="001B208E" w:rsidRPr="00B14189" w:rsidRDefault="001B208E" w:rsidP="007D7D7B">
      <w:pPr>
        <w:pStyle w:val="Default"/>
        <w:keepNext/>
        <w:keepLines/>
        <w:widowControl/>
        <w:spacing w:before="120" w:after="120"/>
        <w:ind w:firstLine="720"/>
        <w:rPr>
          <w:sz w:val="20"/>
          <w:szCs w:val="20"/>
        </w:rPr>
      </w:pPr>
      <w:r w:rsidRPr="00B14189">
        <w:rPr>
          <w:sz w:val="20"/>
        </w:rPr>
        <w:t>4 §. </w:t>
      </w:r>
      <w:r w:rsidRPr="00B14189">
        <w:rPr>
          <w:i/>
          <w:sz w:val="20"/>
        </w:rPr>
        <w:t>Toimenpiteet muovisten kantokassien kulutuksen vähentämiseksi.</w:t>
      </w:r>
    </w:p>
    <w:p w:rsidR="001B208E" w:rsidRPr="00B14189" w:rsidRDefault="001B208E" w:rsidP="007D7D7B">
      <w:pPr>
        <w:pStyle w:val="Default"/>
        <w:widowControl/>
        <w:spacing w:before="120" w:after="120"/>
        <w:ind w:firstLine="720"/>
        <w:rPr>
          <w:sz w:val="20"/>
          <w:szCs w:val="20"/>
        </w:rPr>
      </w:pPr>
      <w:r w:rsidRPr="00B14189">
        <w:rPr>
          <w:sz w:val="20"/>
        </w:rPr>
        <w:t>Otetaan käyttöön seuraavat toimenpiteet muovisten kantokassien kulutuksen vähentämiseksi jäljempänä esitettyinä voimaantulopäivinä:</w:t>
      </w:r>
    </w:p>
    <w:p w:rsidR="001B208E" w:rsidRPr="00B14189" w:rsidRDefault="001B208E" w:rsidP="007D7D7B">
      <w:pPr>
        <w:pStyle w:val="Default"/>
        <w:keepNext/>
        <w:keepLines/>
        <w:widowControl/>
        <w:spacing w:before="120" w:after="120"/>
        <w:ind w:firstLine="720"/>
        <w:rPr>
          <w:sz w:val="20"/>
          <w:szCs w:val="20"/>
        </w:rPr>
      </w:pPr>
      <w:r w:rsidRPr="00B14189">
        <w:rPr>
          <w:sz w:val="20"/>
        </w:rPr>
        <w:t>1. Vuoden 2018 heinäkuun 1 päivästä lähtien:</w:t>
      </w:r>
    </w:p>
    <w:p w:rsidR="001B208E" w:rsidRPr="00B14189" w:rsidRDefault="001B208E" w:rsidP="007D7D7B">
      <w:pPr>
        <w:pStyle w:val="Default"/>
        <w:widowControl/>
        <w:spacing w:before="120" w:after="120"/>
        <w:ind w:firstLine="720"/>
        <w:rPr>
          <w:sz w:val="20"/>
          <w:szCs w:val="20"/>
        </w:rPr>
      </w:pPr>
      <w:r w:rsidRPr="00B14189">
        <w:rPr>
          <w:sz w:val="20"/>
        </w:rPr>
        <w:t>a) Kielletään muovisten kantokassien maksuton tarjoaminen kuluttajille tavaroiden tai tuotteiden myyntipisteessä, lukuun ottamatta erittäin kevyitä muovisia kantokasseja ja vähintään 50 mikronin paksuisia muovisia kantokasseja, joista vähintään 70 prosenttia on kierrätettyä muovia.</w:t>
      </w:r>
    </w:p>
    <w:p w:rsidR="001B208E" w:rsidRPr="00B14189" w:rsidRDefault="001B208E" w:rsidP="007D7D7B">
      <w:pPr>
        <w:pStyle w:val="Default"/>
        <w:widowControl/>
        <w:spacing w:before="120" w:after="120"/>
        <w:ind w:firstLine="720"/>
        <w:rPr>
          <w:sz w:val="20"/>
          <w:szCs w:val="20"/>
        </w:rPr>
      </w:pPr>
      <w:r w:rsidRPr="00B14189">
        <w:rPr>
          <w:sz w:val="20"/>
        </w:rPr>
        <w:t>b) Liikkeenharjoittajilla on oltava edellisessä alamomentissa vähintään 50 mikronin paksuisille muovisille kantokasseille myönnetyn poikkeuksen osalta valmistajien toimittamat asiakirjat, joiden avulla ne pystyvät osoittamaan mainitun prosenttimäärän.</w:t>
      </w:r>
    </w:p>
    <w:p w:rsidR="001B208E" w:rsidRPr="00B14189" w:rsidRDefault="001B208E" w:rsidP="007D7D7B">
      <w:pPr>
        <w:pStyle w:val="Default"/>
        <w:widowControl/>
        <w:spacing w:before="120" w:after="120"/>
        <w:ind w:firstLine="720"/>
        <w:rPr>
          <w:sz w:val="20"/>
          <w:szCs w:val="20"/>
        </w:rPr>
      </w:pPr>
      <w:r w:rsidRPr="00B14189">
        <w:rPr>
          <w:sz w:val="20"/>
        </w:rPr>
        <w:t>c) Liikkeenharjoittajien on veloitettava maksu kustakin kuluttajalle antamastaan muovisesta kantokassista. Muovisten kantokassien hinnan määrittämiseksi liikkeenharjoittajat voivat käyttää viitteenä liitteessä I annettuja ohjeellisia hintoja.</w:t>
      </w:r>
    </w:p>
    <w:p w:rsidR="001B208E" w:rsidRPr="00B14189" w:rsidRDefault="001B208E" w:rsidP="007D7D7B">
      <w:pPr>
        <w:pStyle w:val="Default"/>
        <w:widowControl/>
        <w:spacing w:before="120" w:after="120"/>
        <w:ind w:firstLine="720"/>
        <w:rPr>
          <w:sz w:val="20"/>
          <w:szCs w:val="20"/>
        </w:rPr>
      </w:pPr>
      <w:r w:rsidRPr="00B14189">
        <w:rPr>
          <w:sz w:val="20"/>
        </w:rPr>
        <w:t>d) Liikkeenharjoittajien on lisäksi ilmoitettava asettamansa hinnat kuluttajille asettamalla ne yleisön nähtäviksi näkyvälle paikalle ja samalla viitattava edellä olevissa alamomenteissa mainittujen velvoitteiden noudattamiseen.</w:t>
      </w:r>
    </w:p>
    <w:p w:rsidR="001B208E" w:rsidRPr="00B14189" w:rsidRDefault="001B208E" w:rsidP="007D7D7B">
      <w:pPr>
        <w:pStyle w:val="Default"/>
        <w:keepNext/>
        <w:keepLines/>
        <w:widowControl/>
        <w:spacing w:before="120" w:after="120"/>
        <w:ind w:firstLine="720"/>
        <w:rPr>
          <w:sz w:val="20"/>
          <w:szCs w:val="20"/>
        </w:rPr>
      </w:pPr>
      <w:r w:rsidRPr="00B14189">
        <w:rPr>
          <w:sz w:val="20"/>
        </w:rPr>
        <w:t>2. Vuoden 2020 tammikuun 1 päivästä lähtien:</w:t>
      </w:r>
    </w:p>
    <w:p w:rsidR="001B208E" w:rsidRPr="00B14189" w:rsidRDefault="001B208E" w:rsidP="007D7D7B">
      <w:pPr>
        <w:pStyle w:val="Default"/>
        <w:widowControl/>
        <w:spacing w:before="120" w:after="120"/>
        <w:ind w:firstLine="720"/>
        <w:rPr>
          <w:sz w:val="20"/>
          <w:szCs w:val="20"/>
        </w:rPr>
      </w:pPr>
      <w:r w:rsidRPr="00B14189">
        <w:rPr>
          <w:sz w:val="20"/>
        </w:rPr>
        <w:t>a) Kielletään hajoavasta muovista valmistettujen kantokassien tarjoaminen kuluttajille tavaroiden tai tuotteiden myyntipisteessä.</w:t>
      </w:r>
    </w:p>
    <w:p w:rsidR="00694AFB" w:rsidRPr="00B14189" w:rsidRDefault="001B208E" w:rsidP="007D7D7B">
      <w:pPr>
        <w:pStyle w:val="Default"/>
        <w:widowControl/>
        <w:spacing w:before="120" w:after="120"/>
        <w:ind w:firstLine="720"/>
        <w:rPr>
          <w:sz w:val="20"/>
          <w:szCs w:val="20"/>
        </w:rPr>
      </w:pPr>
      <w:r w:rsidRPr="00B14189">
        <w:rPr>
          <w:sz w:val="20"/>
        </w:rPr>
        <w:t>b) Vähintään 50 mikronin paksuisten muovisten kantokassien on sisällettävä vähintään 50 prosentin verran kierrätettyä muovia.</w:t>
      </w:r>
    </w:p>
    <w:p w:rsidR="001B208E" w:rsidRPr="00B14189" w:rsidRDefault="001B208E" w:rsidP="007D7D7B">
      <w:pPr>
        <w:pStyle w:val="Default"/>
        <w:widowControl/>
        <w:spacing w:before="120" w:after="120"/>
        <w:ind w:firstLine="720"/>
        <w:rPr>
          <w:sz w:val="20"/>
          <w:szCs w:val="20"/>
        </w:rPr>
      </w:pPr>
      <w:r w:rsidRPr="00B14189">
        <w:rPr>
          <w:sz w:val="20"/>
        </w:rPr>
        <w:t>3. Kielletään kevyiden ja erittäin kevyiden muovisten kantokassien tarjoaminen kuluttajille tavaroiden tai tuotteiden myyntipisteessä, lukuun ottamatta kompostoituvasta muovista valmistettuja kantokasseja, vuoden 2021 tammikuun 1 päivästä lähtien. Liikkeenharjoittajat voivat myös valita käyttävänsä muita pakkauskeinoja korvatakseen muoviset kantokassit.</w:t>
      </w:r>
    </w:p>
    <w:p w:rsidR="001B208E" w:rsidRPr="00B14189" w:rsidRDefault="001B208E" w:rsidP="007D7D7B">
      <w:pPr>
        <w:pStyle w:val="Default"/>
        <w:widowControl/>
        <w:spacing w:before="120" w:after="120"/>
        <w:ind w:firstLine="720"/>
        <w:rPr>
          <w:sz w:val="20"/>
          <w:szCs w:val="20"/>
        </w:rPr>
      </w:pPr>
      <w:r w:rsidRPr="00B14189">
        <w:rPr>
          <w:sz w:val="20"/>
        </w:rPr>
        <w:t>4. Kaikki tässä §:ssä mainitut toimenpiteet koskevat tavaroiden ja tuotteiden myyntipisteissä tarjottavia muovisia kantokasseja, verkkomyynnin välityksellä jaeltavia kantokasseja ja kotiinkuljetuksien yhteydessä toimitettavia kantokasseja. Ne eivät koske etämyynnissä käytettäviä muovisia kääreitä, joita voidaan kuitenkin pitää pakkauksina, jos ne ovat 24 päivänä huhtikuuta 1997 annetussa laissa nro 11/1997 annetun pakkauksen määritelmän ja sen esimerkkien mukaisia.</w:t>
      </w:r>
    </w:p>
    <w:p w:rsidR="001B208E" w:rsidRPr="00B14189" w:rsidRDefault="001B208E" w:rsidP="007D7D7B">
      <w:pPr>
        <w:pStyle w:val="Default"/>
        <w:keepNext/>
        <w:keepLines/>
        <w:widowControl/>
        <w:spacing w:before="120" w:after="120"/>
        <w:ind w:firstLine="720"/>
        <w:rPr>
          <w:sz w:val="20"/>
          <w:szCs w:val="20"/>
        </w:rPr>
      </w:pPr>
      <w:r w:rsidRPr="00B14189">
        <w:rPr>
          <w:sz w:val="20"/>
        </w:rPr>
        <w:t>5 §. </w:t>
      </w:r>
      <w:r w:rsidRPr="00B14189">
        <w:rPr>
          <w:i/>
          <w:sz w:val="20"/>
        </w:rPr>
        <w:t>Muovisten kantokassien merkintöjä koskevat velvollisuudet</w:t>
      </w:r>
    </w:p>
    <w:p w:rsidR="001B208E" w:rsidRPr="00B14189" w:rsidRDefault="001B208E" w:rsidP="007D7D7B">
      <w:pPr>
        <w:pStyle w:val="Default"/>
        <w:widowControl/>
        <w:spacing w:before="120" w:after="120"/>
        <w:ind w:firstLine="720"/>
        <w:rPr>
          <w:sz w:val="20"/>
          <w:szCs w:val="20"/>
        </w:rPr>
      </w:pPr>
      <w:r w:rsidRPr="00B14189">
        <w:rPr>
          <w:sz w:val="20"/>
        </w:rPr>
        <w:t>Espanjan valtion alueella markkinoille saatettavat kompostoituvasta muovista valmistettavat muoviset kantokassit on merkittävä hyväksyttävän Euroopan unionin lainsäädännön mukaisesti viimeistään 18 kuukauden kuluttua pakkauksista ja pakkausjätteistä 20 päivänä joulukuuta 1994 annetun Euroopan parlamentin ja neuvoston direktiivin 94/62/EY 8 a artiklassa mainitun yhteisön lainsäädännön antamisesta. Kyseisessä lainsäädännössä säädetään kompostoituvasta muovista valmistettavien muovisten kantokassien merkinnöistä tai merkeistä, joiden avulla ne voidaan tunnistaa koko Euroopan unionin alueella.</w:t>
      </w:r>
    </w:p>
    <w:p w:rsidR="001B208E" w:rsidRPr="00B14189" w:rsidRDefault="001B208E" w:rsidP="007D7D7B">
      <w:pPr>
        <w:pStyle w:val="Default"/>
        <w:keepNext/>
        <w:keepLines/>
        <w:widowControl/>
        <w:spacing w:before="120" w:after="120"/>
        <w:ind w:firstLine="720"/>
        <w:rPr>
          <w:sz w:val="20"/>
          <w:szCs w:val="20"/>
        </w:rPr>
      </w:pPr>
      <w:r w:rsidRPr="00B14189">
        <w:rPr>
          <w:sz w:val="20"/>
        </w:rPr>
        <w:t>6 §. </w:t>
      </w:r>
      <w:r w:rsidRPr="00B14189">
        <w:rPr>
          <w:i/>
          <w:sz w:val="20"/>
        </w:rPr>
        <w:t>Tiedotuskampanjat ja tietoisuutta lisäävät kampanjat</w:t>
      </w:r>
    </w:p>
    <w:p w:rsidR="001B208E" w:rsidRPr="00B14189" w:rsidRDefault="001B208E" w:rsidP="007D7D7B">
      <w:pPr>
        <w:pStyle w:val="Default"/>
        <w:widowControl/>
        <w:spacing w:before="120" w:after="120"/>
        <w:ind w:firstLine="720"/>
        <w:rPr>
          <w:sz w:val="20"/>
          <w:szCs w:val="20"/>
        </w:rPr>
      </w:pPr>
      <w:r w:rsidRPr="00B14189">
        <w:rPr>
          <w:sz w:val="20"/>
        </w:rPr>
        <w:t xml:space="preserve">1. Maatalous-, kalastus-, elintarvike- ja ympäristöministeriön ja itsehallintoalueiden on toimivaltaisen viranomaisen ominaisuudessa toteutettava suurelle yleisölle suunnattuja tiedotuskampanjoita, jotka koskevat tällä kuninkaan asetuksella käyttöön otettavia toimenpiteitä, sekä tietoisuutta lisääviä kampanjoita, jotka koskevat kaikentyyppisten muovisten kantokassien liiallisen kulutuksen kielteisiä ympäristövaikutuksia ja niiden poisheiton ympäristövaikutuksia, ja edistettävä jätehierarkian periaatteen soveltamista. Näihin kampanjoihin on sisällyttävä tiedot </w:t>
      </w:r>
      <w:r w:rsidRPr="00B14189">
        <w:rPr>
          <w:sz w:val="20"/>
        </w:rPr>
        <w:lastRenderedPageBreak/>
        <w:t>säiliöistä, joihin kompostoituvat ja kompostoitumattomat muoviset kantokassit on toimitettava sen jälkeen, kun niistä tulee jätettä.</w:t>
      </w:r>
    </w:p>
    <w:p w:rsidR="001B208E" w:rsidRPr="00B14189" w:rsidRDefault="001B208E" w:rsidP="007D7D7B">
      <w:pPr>
        <w:pStyle w:val="Default"/>
        <w:widowControl/>
        <w:spacing w:before="120" w:after="120"/>
        <w:ind w:firstLine="720"/>
        <w:rPr>
          <w:sz w:val="20"/>
          <w:szCs w:val="20"/>
        </w:rPr>
      </w:pPr>
      <w:r w:rsidRPr="00B14189">
        <w:rPr>
          <w:sz w:val="20"/>
        </w:rPr>
        <w:t>Näitä kampanjoita on toteutettava vähintään ensimmäisen vuoden aikana tämän kuninkaan asetuksen voimaantulosta, ja niitä voidaan jatkaa niin pitkään kuin asetettujen tavoitteiden saavuttamisen kannalta katsotaan tarpeelliseksi.</w:t>
      </w:r>
    </w:p>
    <w:p w:rsidR="001B208E" w:rsidRPr="00B14189" w:rsidRDefault="001B208E" w:rsidP="007D7D7B">
      <w:pPr>
        <w:pStyle w:val="Default"/>
        <w:widowControl/>
        <w:spacing w:before="120" w:after="120"/>
        <w:ind w:firstLine="720"/>
        <w:rPr>
          <w:sz w:val="20"/>
          <w:szCs w:val="20"/>
        </w:rPr>
      </w:pPr>
      <w:r w:rsidRPr="00B14189">
        <w:rPr>
          <w:sz w:val="20"/>
        </w:rPr>
        <w:t>2. Paikallisviranomaiset ja kaupalliset toimijat voivat myös toteuttaa toimivaltaisten viranomaisten toteuttamien kampanjoiden mukaisia tiedotuskampanjoita ja tietoisuutta lisääviä kampanjoita.</w:t>
      </w:r>
    </w:p>
    <w:p w:rsidR="001B208E" w:rsidRPr="00B14189" w:rsidRDefault="001B208E" w:rsidP="007D7D7B">
      <w:pPr>
        <w:pStyle w:val="Default"/>
        <w:widowControl/>
        <w:spacing w:before="120" w:after="120"/>
        <w:ind w:firstLine="720"/>
        <w:rPr>
          <w:sz w:val="20"/>
          <w:szCs w:val="20"/>
        </w:rPr>
      </w:pPr>
      <w:r w:rsidRPr="00B14189">
        <w:rPr>
          <w:sz w:val="20"/>
        </w:rPr>
        <w:t>3. Toimivaltaisten viranomaisten toteuttamat kampanjat voivat olla laajennetun vastuun kollektiivisten järjestelmien rahoittamia niiden rahoitussopimusten mukaisesti, joita kyseisillä järjestelmillä on itsehallintoalueiden tai mahdollisesti paikallisten viranomaisten kanssa.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III OSASTO</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Tuotteiden tuottajarekisteri</w:t>
      </w:r>
    </w:p>
    <w:p w:rsidR="001B208E" w:rsidRPr="00B14189" w:rsidRDefault="001B208E" w:rsidP="007D7D7B">
      <w:pPr>
        <w:pStyle w:val="Default"/>
        <w:keepNext/>
        <w:keepLines/>
        <w:widowControl/>
        <w:spacing w:before="120" w:after="120"/>
        <w:ind w:firstLine="720"/>
        <w:rPr>
          <w:sz w:val="20"/>
          <w:szCs w:val="20"/>
        </w:rPr>
      </w:pPr>
      <w:r w:rsidRPr="00B14189">
        <w:rPr>
          <w:sz w:val="20"/>
        </w:rPr>
        <w:t>7 §. </w:t>
      </w:r>
      <w:r w:rsidRPr="00B14189">
        <w:rPr>
          <w:i/>
          <w:sz w:val="20"/>
        </w:rPr>
        <w:t>Tuotteiden tuottajarekisterin perustaminen.</w:t>
      </w:r>
    </w:p>
    <w:p w:rsidR="001B208E" w:rsidRPr="00B14189" w:rsidRDefault="001B208E" w:rsidP="007D7D7B">
      <w:pPr>
        <w:pStyle w:val="Default"/>
        <w:widowControl/>
        <w:spacing w:before="120" w:after="120"/>
        <w:ind w:firstLine="720"/>
        <w:rPr>
          <w:sz w:val="20"/>
          <w:szCs w:val="20"/>
        </w:rPr>
      </w:pPr>
      <w:r w:rsidRPr="00B14189">
        <w:rPr>
          <w:sz w:val="20"/>
        </w:rPr>
        <w:t>1. Perustetaan tuotteiden tuottajarekisteri (Registro de Productores de Productos), joka on luonteeltaan hallinnollinen ja ilmoituksiin perustuva. Se perustetaan maatalous-, kalastus-, elintarvike- ja ympäristöministeriön ympäristön laadusta ja arvioinnista ja luonnonympäristöstä vastaavan pääosaston yhteyteen.</w:t>
      </w:r>
    </w:p>
    <w:p w:rsidR="001B208E" w:rsidRPr="00B14189" w:rsidRDefault="001B208E" w:rsidP="007D7D7B">
      <w:pPr>
        <w:pStyle w:val="Default"/>
        <w:widowControl/>
        <w:spacing w:before="120" w:after="120"/>
        <w:ind w:firstLine="720"/>
        <w:rPr>
          <w:sz w:val="20"/>
          <w:szCs w:val="20"/>
        </w:rPr>
      </w:pPr>
      <w:r w:rsidRPr="00B14189">
        <w:rPr>
          <w:sz w:val="20"/>
        </w:rPr>
        <w:t>2. Tuotteiden tuottajarekisteri järjestetään tuottajaosastoittain ja siihen kerätään tuotteiden markkinoille saattamista koskevia tietoja jätehuoltoalaa koskevien tiedonantovelvollisuuksien täyttämiseksi. Tuotteiden tuottajarekisteriin on sisällyttävä vähintään muovisten kantokassien valmistajien osasto.</w:t>
      </w:r>
    </w:p>
    <w:p w:rsidR="00694AFB" w:rsidRPr="00B14189" w:rsidRDefault="001B208E" w:rsidP="007D7D7B">
      <w:pPr>
        <w:pStyle w:val="Default"/>
        <w:widowControl/>
        <w:spacing w:before="120" w:after="120"/>
        <w:ind w:firstLine="720"/>
        <w:rPr>
          <w:sz w:val="20"/>
          <w:szCs w:val="20"/>
        </w:rPr>
      </w:pPr>
      <w:r w:rsidRPr="00B14189">
        <w:rPr>
          <w:sz w:val="20"/>
        </w:rPr>
        <w:t>Tuotteiden tuottajarekisteriin voidaan perustaa uusia osastoja asianmukaisilla jätealan sääntelyä koskevilla säädöksillä, joissa määritetään osastojen sisältö.</w:t>
      </w:r>
    </w:p>
    <w:p w:rsidR="001B208E" w:rsidRPr="00B14189" w:rsidRDefault="001B208E" w:rsidP="007D7D7B">
      <w:pPr>
        <w:pStyle w:val="Default"/>
        <w:keepNext/>
        <w:keepLines/>
        <w:widowControl/>
        <w:spacing w:before="120" w:after="120"/>
        <w:ind w:firstLine="720"/>
        <w:rPr>
          <w:sz w:val="20"/>
          <w:szCs w:val="20"/>
        </w:rPr>
      </w:pPr>
      <w:r w:rsidRPr="00B14189">
        <w:rPr>
          <w:sz w:val="20"/>
        </w:rPr>
        <w:t>8 §. </w:t>
      </w:r>
      <w:r w:rsidRPr="00B14189">
        <w:rPr>
          <w:i/>
          <w:sz w:val="20"/>
        </w:rPr>
        <w:t>Muovisten kantokassien valmistajien kirjaaminen tuotteiden tuottajarekisteriin.</w:t>
      </w:r>
    </w:p>
    <w:p w:rsidR="001B208E" w:rsidRPr="00B14189" w:rsidRDefault="001B208E" w:rsidP="007D7D7B">
      <w:pPr>
        <w:pStyle w:val="Default"/>
        <w:widowControl/>
        <w:spacing w:before="120" w:after="120"/>
        <w:ind w:firstLine="720"/>
        <w:rPr>
          <w:sz w:val="20"/>
          <w:szCs w:val="20"/>
        </w:rPr>
      </w:pPr>
      <w:r w:rsidRPr="00B14189">
        <w:rPr>
          <w:sz w:val="20"/>
        </w:rPr>
        <w:t>Muovisten kantokassien valmistajien on kirjauduttava maatalous-, kalastus-, elintarvike- ja ympäristöministeriön alaisen tuotteiden tuottajarekisterin muovisten kantokassien valmistajien osastoon kolmen kuukauden kuluessa tämän kuninkaan asetuksen voimaantulosta. Kirjautumishetkellä on toimitettava liitteessä II mainitut tiedot, jotka ovat luonteeltaan julkisia. Henkilötietoja suojellaan henkilötietojen suojelusta annetun kansallisen lainsäädännön mukaisesti.</w:t>
      </w:r>
    </w:p>
    <w:p w:rsidR="001B208E" w:rsidRPr="00B14189" w:rsidRDefault="001B208E" w:rsidP="007D7D7B">
      <w:pPr>
        <w:pStyle w:val="Default"/>
        <w:keepNext/>
        <w:keepLines/>
        <w:widowControl/>
        <w:spacing w:before="120" w:after="120"/>
        <w:ind w:firstLine="720"/>
        <w:rPr>
          <w:sz w:val="20"/>
          <w:szCs w:val="20"/>
        </w:rPr>
      </w:pPr>
      <w:r w:rsidRPr="00B14189">
        <w:rPr>
          <w:sz w:val="20"/>
        </w:rPr>
        <w:t>9 §. </w:t>
      </w:r>
      <w:r w:rsidRPr="00B14189">
        <w:rPr>
          <w:i/>
          <w:sz w:val="20"/>
        </w:rPr>
        <w:t>Muovisia kantokasseja koskeviin tietoihin liittyvät velvollisuudet</w:t>
      </w:r>
    </w:p>
    <w:p w:rsidR="001B208E" w:rsidRPr="00B14189" w:rsidRDefault="001B208E" w:rsidP="007D7D7B">
      <w:pPr>
        <w:pStyle w:val="Default"/>
        <w:widowControl/>
        <w:spacing w:before="120" w:after="120"/>
        <w:ind w:firstLine="720"/>
        <w:rPr>
          <w:sz w:val="20"/>
          <w:szCs w:val="20"/>
        </w:rPr>
      </w:pPr>
      <w:r w:rsidRPr="00B14189">
        <w:rPr>
          <w:sz w:val="20"/>
        </w:rPr>
        <w:t>Muovisten kantokassien valmistajien on kerättävä liitteessä II olevassa toisessa osiossa esitetyt tiedot sellaisten muovisten kantokassien osalta, joita ne ovat saattaneet markkinoille kunkin kalenterivuoden aikana. Kyseiset tiedot on toimitettava maatalous-, kalastus-, elintarvike- ja ympäristöministeriölle ennen ilmoituksen kohteena olevaa vuotta seuraavan vuoden maaliskuun 31 päivää, jotta Euroopan komissiolle voidaan laatia sovellettavien säädösten mukaisesti toimitettavat tiedot muovisista kantokasseista. Kyseiset tiedot julkaistaan vuosittain.</w:t>
      </w:r>
    </w:p>
    <w:p w:rsidR="001B208E" w:rsidRPr="00B14189" w:rsidRDefault="001B208E" w:rsidP="007D7D7B">
      <w:pPr>
        <w:pStyle w:val="Default"/>
        <w:widowControl/>
        <w:spacing w:before="120" w:after="120"/>
        <w:ind w:firstLine="720"/>
        <w:rPr>
          <w:sz w:val="20"/>
          <w:szCs w:val="20"/>
        </w:rPr>
      </w:pPr>
      <w:r w:rsidRPr="00B14189">
        <w:rPr>
          <w:sz w:val="20"/>
        </w:rPr>
        <w:t>Muovisten kantokassien valmistajien toimittamat tiedot ovat toimivaltaisten viranomaisten saatavilla tarkastusta ja valvontaa varten.</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color w:val="000000"/>
          <w:sz w:val="20"/>
        </w:rPr>
        <w:t>IV OSASTO</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Seuraamusjärjestelmä</w:t>
      </w:r>
    </w:p>
    <w:p w:rsidR="001B208E" w:rsidRPr="00B14189" w:rsidRDefault="001B208E" w:rsidP="007D7D7B">
      <w:pPr>
        <w:pStyle w:val="Default"/>
        <w:keepNext/>
        <w:keepLines/>
        <w:widowControl/>
        <w:spacing w:before="120" w:after="120"/>
        <w:ind w:firstLine="720"/>
        <w:rPr>
          <w:sz w:val="20"/>
          <w:szCs w:val="20"/>
        </w:rPr>
      </w:pPr>
      <w:r w:rsidRPr="00B14189">
        <w:rPr>
          <w:sz w:val="20"/>
        </w:rPr>
        <w:t>10 §. </w:t>
      </w:r>
      <w:r w:rsidRPr="00B14189">
        <w:rPr>
          <w:i/>
          <w:sz w:val="20"/>
        </w:rPr>
        <w:t>Seuraamusjärjestelmä.</w:t>
      </w:r>
    </w:p>
    <w:p w:rsidR="001B208E" w:rsidRPr="00B14189" w:rsidRDefault="001B208E" w:rsidP="007D7D7B">
      <w:pPr>
        <w:pStyle w:val="Default"/>
        <w:widowControl/>
        <w:spacing w:before="120" w:after="120"/>
        <w:ind w:firstLine="720"/>
        <w:rPr>
          <w:sz w:val="20"/>
          <w:szCs w:val="20"/>
        </w:rPr>
      </w:pPr>
      <w:r w:rsidRPr="00B14189">
        <w:rPr>
          <w:sz w:val="20"/>
        </w:rPr>
        <w:t>Tämän asetuksen säännösten noudattamatta jättämisestä rangaistaan jätteistä ja saastuneista maaperistä 28 päivänä heinäkuuta 2011 annetun lain nro 22/2011 mukaisesti.</w:t>
      </w:r>
    </w:p>
    <w:p w:rsidR="001B208E" w:rsidRPr="00B14189" w:rsidRDefault="001B208E" w:rsidP="007D7D7B">
      <w:pPr>
        <w:pStyle w:val="Default"/>
        <w:keepNext/>
        <w:keepLines/>
        <w:widowControl/>
        <w:spacing w:before="120" w:after="120"/>
        <w:ind w:firstLine="720"/>
        <w:rPr>
          <w:sz w:val="20"/>
          <w:szCs w:val="20"/>
        </w:rPr>
      </w:pPr>
      <w:r w:rsidRPr="00B14189">
        <w:rPr>
          <w:sz w:val="20"/>
        </w:rPr>
        <w:t>Ensimmäinen lisäsäännös. </w:t>
      </w:r>
      <w:r w:rsidRPr="00B14189">
        <w:rPr>
          <w:i/>
          <w:sz w:val="20"/>
        </w:rPr>
        <w:t>Kuninkaan asetuksen toimeenpanoa ja ehdotettujen toimenpiteiden muuttamista koskeva kertomus</w:t>
      </w:r>
    </w:p>
    <w:p w:rsidR="001B208E" w:rsidRPr="00B14189" w:rsidRDefault="001B208E" w:rsidP="007D7D7B">
      <w:pPr>
        <w:pStyle w:val="Default"/>
        <w:widowControl/>
        <w:spacing w:before="120" w:after="120"/>
        <w:ind w:firstLine="720"/>
        <w:rPr>
          <w:sz w:val="20"/>
          <w:szCs w:val="20"/>
        </w:rPr>
      </w:pPr>
      <w:r w:rsidRPr="00B14189">
        <w:rPr>
          <w:sz w:val="20"/>
        </w:rPr>
        <w:t xml:space="preserve">Maatalous-, kalastus-, elintarvike- ja ympäristöministeriön on 1 päivään tammikuuta 2023 mennessä laadittava kertomus, jossa arvioidaan tässä kuninkaan asetuksessa esitettyjen toimenpiteiden vaikuttavuutta muovisten kantokassien kulutuksen, kuluttajien käyttäytymisen muuttamisen ja jätteiden ehkäisyn edistämisen osalta. Jos arvioinnin perusteella käy ilmi, että käyttöön otetuilla toimenpiteillä ei ole ollut vaikutusta, maatalous-, kalastus-, elintarvike- ja ympäristöministeriön on </w:t>
      </w:r>
      <w:r w:rsidRPr="00B14189">
        <w:rPr>
          <w:sz w:val="20"/>
        </w:rPr>
        <w:lastRenderedPageBreak/>
        <w:t>tutkittava muita mahdollisia keinoja muovisten kantokassien kulutuksen vähentämiseksi ja esitettävä tarvittaessa uusi säädösehdotus.</w:t>
      </w:r>
    </w:p>
    <w:p w:rsidR="001B208E" w:rsidRPr="00B14189" w:rsidRDefault="001B208E" w:rsidP="007D7D7B">
      <w:pPr>
        <w:pStyle w:val="Default"/>
        <w:keepNext/>
        <w:keepLines/>
        <w:widowControl/>
        <w:spacing w:before="120" w:after="120"/>
        <w:ind w:firstLine="720"/>
        <w:rPr>
          <w:sz w:val="20"/>
          <w:szCs w:val="20"/>
        </w:rPr>
      </w:pPr>
      <w:r w:rsidRPr="00B14189">
        <w:rPr>
          <w:sz w:val="20"/>
        </w:rPr>
        <w:t>Toinen lisäsäännös. </w:t>
      </w:r>
      <w:r w:rsidRPr="00B14189">
        <w:rPr>
          <w:i/>
          <w:sz w:val="20"/>
        </w:rPr>
        <w:t>Heinäkuun 28 päivänä 2011 annetun lain nro 22/2011 toisen lisäsäännöksen noudattaminen.</w:t>
      </w:r>
    </w:p>
    <w:p w:rsidR="001B208E" w:rsidRPr="00B14189" w:rsidRDefault="001B208E" w:rsidP="007D7D7B">
      <w:pPr>
        <w:pStyle w:val="Default"/>
        <w:widowControl/>
        <w:spacing w:before="120" w:after="120"/>
        <w:ind w:firstLine="720"/>
        <w:rPr>
          <w:sz w:val="20"/>
          <w:szCs w:val="20"/>
        </w:rPr>
      </w:pPr>
      <w:r w:rsidRPr="00B14189">
        <w:rPr>
          <w:sz w:val="20"/>
        </w:rPr>
        <w:t>Tällä kuninkaan asetuksella säädetyillä muovisia kantokasseja koskevilla toimenpiteillä mahdollistetaan 28 päivänä heinäkuuta 2011 annetun lain nro 22/2011 toisen lisäsäännöksen noudattaminen erityisesti sen 3 momentissa mainitun aikataulun asettamisen osalta.</w:t>
      </w:r>
    </w:p>
    <w:p w:rsidR="00694AFB" w:rsidRPr="00B14189" w:rsidRDefault="001B208E" w:rsidP="007D7D7B">
      <w:pPr>
        <w:pStyle w:val="Default"/>
        <w:widowControl/>
        <w:spacing w:before="120" w:after="120"/>
        <w:ind w:firstLine="720"/>
        <w:rPr>
          <w:sz w:val="20"/>
          <w:szCs w:val="20"/>
        </w:rPr>
      </w:pPr>
      <w:r w:rsidRPr="00B14189">
        <w:rPr>
          <w:sz w:val="20"/>
        </w:rPr>
        <w:t>Heinäkuun 28 päivänä 2011 annetun lain nro 22/2011 toisen lisäsäännöksen 4 momentissa mainitulla työryhmällä tarkoitetaan jätealan koordinointikomitean pakkaus- ja pakkausjätetyöryhmää, joka toimii ympäristön laadusta ja arvioinnista ja luonnonympäristöstä vastaavan pääosaston alaisuudessa.</w:t>
      </w:r>
    </w:p>
    <w:p w:rsidR="001B208E" w:rsidRPr="00B14189" w:rsidRDefault="001B208E" w:rsidP="007D7D7B">
      <w:pPr>
        <w:pStyle w:val="Default"/>
        <w:keepNext/>
        <w:keepLines/>
        <w:widowControl/>
        <w:spacing w:before="120" w:after="120"/>
        <w:ind w:firstLine="720"/>
        <w:rPr>
          <w:sz w:val="20"/>
          <w:szCs w:val="20"/>
        </w:rPr>
      </w:pPr>
      <w:r w:rsidRPr="00B14189">
        <w:rPr>
          <w:sz w:val="20"/>
        </w:rPr>
        <w:t>Kolmas lisäsäännös. </w:t>
      </w:r>
      <w:r w:rsidRPr="00B14189">
        <w:rPr>
          <w:i/>
          <w:sz w:val="20"/>
        </w:rPr>
        <w:t>Muovisia kantokasseja koskevat tiedot vuodelta 2017</w:t>
      </w:r>
    </w:p>
    <w:p w:rsidR="001B208E" w:rsidRPr="00B14189" w:rsidRDefault="001B208E" w:rsidP="007D7D7B">
      <w:pPr>
        <w:pStyle w:val="Default"/>
        <w:widowControl/>
        <w:spacing w:before="120" w:after="120"/>
        <w:ind w:firstLine="720"/>
        <w:rPr>
          <w:sz w:val="20"/>
          <w:szCs w:val="20"/>
        </w:rPr>
      </w:pPr>
      <w:r w:rsidRPr="00B14189">
        <w:rPr>
          <w:sz w:val="20"/>
        </w:rPr>
        <w:t>Valmistajien on lähetettävä vuoden 2017 aikana kansallisille markkinoille saatettuja muovisia kantokasseja koskevat tiedot kolmen kuukauden kuluessa kirjautumisestaan tuotteiden tuottajarekisteriin.</w:t>
      </w:r>
    </w:p>
    <w:p w:rsidR="001B208E" w:rsidRPr="00B14189" w:rsidRDefault="001B208E" w:rsidP="007D7D7B">
      <w:pPr>
        <w:pStyle w:val="Default"/>
        <w:keepNext/>
        <w:keepLines/>
        <w:widowControl/>
        <w:spacing w:before="120" w:after="120"/>
        <w:ind w:firstLine="720"/>
        <w:rPr>
          <w:sz w:val="20"/>
          <w:szCs w:val="20"/>
        </w:rPr>
      </w:pPr>
      <w:r w:rsidRPr="00B14189">
        <w:rPr>
          <w:sz w:val="20"/>
        </w:rPr>
        <w:t>Neljäs lisäsäännös. </w:t>
      </w:r>
      <w:r w:rsidRPr="00B14189">
        <w:rPr>
          <w:i/>
          <w:sz w:val="20"/>
        </w:rPr>
        <w:t>Julkisten menojen valvonta</w:t>
      </w:r>
    </w:p>
    <w:p w:rsidR="001B208E" w:rsidRPr="00B14189" w:rsidRDefault="001B208E" w:rsidP="007D7D7B">
      <w:pPr>
        <w:pStyle w:val="Default"/>
        <w:widowControl/>
        <w:spacing w:before="120" w:after="120"/>
        <w:ind w:firstLine="720"/>
        <w:rPr>
          <w:sz w:val="20"/>
          <w:szCs w:val="20"/>
        </w:rPr>
      </w:pPr>
      <w:r w:rsidRPr="00B14189">
        <w:rPr>
          <w:sz w:val="20"/>
        </w:rPr>
        <w:t>Tähän kuninkaan asetukseen sisältyvät toimenpiteet on toteutettava valtion yleishallinnon olemassa olevalla henkilöstöllä ja materiaaleilla. Toimenpiteet eivät missään tapauksessa saa aiheuttaa julkisten menojen kasvua.</w:t>
      </w:r>
    </w:p>
    <w:p w:rsidR="001B208E" w:rsidRPr="00B14189" w:rsidRDefault="001B208E" w:rsidP="007D7D7B">
      <w:pPr>
        <w:pStyle w:val="Default"/>
        <w:keepNext/>
        <w:keepLines/>
        <w:widowControl/>
        <w:spacing w:before="120" w:after="120"/>
        <w:ind w:firstLine="720"/>
        <w:rPr>
          <w:sz w:val="20"/>
          <w:szCs w:val="20"/>
        </w:rPr>
      </w:pPr>
      <w:r w:rsidRPr="00B14189">
        <w:rPr>
          <w:sz w:val="20"/>
        </w:rPr>
        <w:t>Ainoa kumoava säännös. </w:t>
      </w:r>
      <w:r w:rsidRPr="00B14189">
        <w:rPr>
          <w:i/>
          <w:sz w:val="20"/>
        </w:rPr>
        <w:t>Lainsäädännön kumoaminen.</w:t>
      </w:r>
    </w:p>
    <w:p w:rsidR="001B208E" w:rsidRPr="00B14189" w:rsidRDefault="001B208E" w:rsidP="007D7D7B">
      <w:pPr>
        <w:pStyle w:val="Default"/>
        <w:widowControl/>
        <w:spacing w:before="120" w:after="120"/>
        <w:ind w:firstLine="720"/>
        <w:rPr>
          <w:sz w:val="20"/>
          <w:szCs w:val="20"/>
        </w:rPr>
      </w:pPr>
      <w:r w:rsidRPr="00B14189">
        <w:rPr>
          <w:sz w:val="20"/>
        </w:rPr>
        <w:t>Kumotaan kaikki säännökset, jotka ovat ristiriidassa tai yhteensopimattomia tämän kuninkaan asetuksen säännösten kanssa tai niiden vastaisia.</w:t>
      </w:r>
    </w:p>
    <w:p w:rsidR="001B208E" w:rsidRPr="00B14189" w:rsidRDefault="001B208E" w:rsidP="007D7D7B">
      <w:pPr>
        <w:pStyle w:val="Default"/>
        <w:keepNext/>
        <w:keepLines/>
        <w:widowControl/>
        <w:spacing w:before="120" w:after="120"/>
        <w:ind w:firstLine="720"/>
        <w:rPr>
          <w:sz w:val="20"/>
          <w:szCs w:val="20"/>
        </w:rPr>
      </w:pPr>
      <w:r w:rsidRPr="00B14189">
        <w:rPr>
          <w:sz w:val="20"/>
        </w:rPr>
        <w:t>Ensimmäinen loppusäännös. </w:t>
      </w:r>
      <w:r w:rsidRPr="00B14189">
        <w:rPr>
          <w:i/>
          <w:sz w:val="20"/>
        </w:rPr>
        <w:t>Oikeusperusta.</w:t>
      </w:r>
    </w:p>
    <w:p w:rsidR="001B208E" w:rsidRPr="00B14189" w:rsidRDefault="001B208E" w:rsidP="007D7D7B">
      <w:pPr>
        <w:pStyle w:val="Default"/>
        <w:widowControl/>
        <w:spacing w:before="120" w:after="120"/>
        <w:ind w:firstLine="720"/>
        <w:rPr>
          <w:sz w:val="20"/>
          <w:szCs w:val="20"/>
        </w:rPr>
      </w:pPr>
      <w:r w:rsidRPr="00B14189">
        <w:rPr>
          <w:sz w:val="20"/>
        </w:rPr>
        <w:t>Tämä kuninkaan asetus on peruslainsäädäntöä, ja se annetaan Espanjan perustuslain 149 §:n 1 momentin 13 ja 23 alamomentin nojalla. Niillä valtiolle annetaan yksinomainen toimivalta taloustoiminnan perusteita ja yleisen suunnittelun yhdenmukaistamista koskevissa asioissa sekä ympäristönsuojeluun liittyvää peruslainsäädäntöä koskevissa asioissa.</w:t>
      </w:r>
    </w:p>
    <w:p w:rsidR="001B208E" w:rsidRPr="00B14189" w:rsidRDefault="001B208E" w:rsidP="007D7D7B">
      <w:pPr>
        <w:pStyle w:val="Default"/>
        <w:keepNext/>
        <w:keepLines/>
        <w:widowControl/>
        <w:spacing w:before="120" w:after="120"/>
        <w:ind w:firstLine="720"/>
        <w:rPr>
          <w:sz w:val="20"/>
          <w:szCs w:val="20"/>
        </w:rPr>
      </w:pPr>
      <w:r w:rsidRPr="00B14189">
        <w:rPr>
          <w:sz w:val="20"/>
        </w:rPr>
        <w:t>Toinen loppusäännös. </w:t>
      </w:r>
      <w:r w:rsidRPr="00B14189">
        <w:rPr>
          <w:i/>
          <w:sz w:val="20"/>
        </w:rPr>
        <w:t>Euroopan unionin lainsäädännön saattaminen osaksi kansallista lainsäädäntöä.</w:t>
      </w:r>
    </w:p>
    <w:p w:rsidR="001B208E" w:rsidRPr="00B14189" w:rsidRDefault="001B208E" w:rsidP="007D7D7B">
      <w:pPr>
        <w:pStyle w:val="Default"/>
        <w:widowControl/>
        <w:spacing w:before="120" w:after="120"/>
        <w:ind w:firstLine="720"/>
        <w:rPr>
          <w:sz w:val="20"/>
          <w:szCs w:val="20"/>
        </w:rPr>
      </w:pPr>
      <w:r w:rsidRPr="00B14189">
        <w:rPr>
          <w:sz w:val="20"/>
        </w:rPr>
        <w:t>Tällä kuninkaan asetuksella saatetaan osaksi Espanjan lainsäädäntöä direktiivin 94/62/EY muuttamisesta kevyiden muovisten kantokassien kulutuksen vähentämisen osalta 29 päivänä huhtikuuta 2015 annettu Euroopan parlamentin ja neuvoston direktiivi (EU) 2015/720.</w:t>
      </w:r>
    </w:p>
    <w:p w:rsidR="001B208E" w:rsidRPr="00B14189" w:rsidRDefault="001B208E" w:rsidP="007D7D7B">
      <w:pPr>
        <w:pStyle w:val="Default"/>
        <w:keepNext/>
        <w:keepLines/>
        <w:widowControl/>
        <w:spacing w:before="120" w:after="120"/>
        <w:ind w:firstLine="720"/>
        <w:rPr>
          <w:sz w:val="20"/>
          <w:szCs w:val="20"/>
        </w:rPr>
      </w:pPr>
      <w:r w:rsidRPr="00B14189">
        <w:rPr>
          <w:sz w:val="20"/>
        </w:rPr>
        <w:t>Kolmas loppusäännös. </w:t>
      </w:r>
      <w:r w:rsidRPr="00B14189">
        <w:rPr>
          <w:i/>
          <w:sz w:val="20"/>
        </w:rPr>
        <w:t>Toimenpanovaltuutus.</w:t>
      </w:r>
    </w:p>
    <w:p w:rsidR="001B208E" w:rsidRPr="00B14189" w:rsidRDefault="001B208E" w:rsidP="007D7D7B">
      <w:pPr>
        <w:pStyle w:val="Default"/>
        <w:widowControl/>
        <w:spacing w:before="120" w:after="120"/>
        <w:ind w:firstLine="720"/>
        <w:rPr>
          <w:sz w:val="20"/>
          <w:szCs w:val="20"/>
        </w:rPr>
      </w:pPr>
      <w:r w:rsidRPr="00B14189">
        <w:rPr>
          <w:sz w:val="20"/>
        </w:rPr>
        <w:t>Annetaan maatalous-, kalastus-, elintarvike- ja ympäristöministeriön valtuuttamalle henkilölle valtuudet laatia toimivaltuuksiensa rajoissa tarvittavat säännökset tämän kuninkaan asetuksen toimeenpanoa ja soveltamista varten ja erityisesti valtuudet muuttaa liitteitä vastaamaan säännöksiä ja muutoksia, jotka annetaan tai tehdään kansainvälisessä oikeudessa, Euroopan unionin lainsäädännössä ja mahdollisissa asiaa koskevissa päätelmissä, jotka tehdään tämän kuninkaan asetuksen ensimmäisessä lisäsäännöksessä tarkoitettujen kertomusten perusteella.</w:t>
      </w:r>
    </w:p>
    <w:p w:rsidR="001B208E" w:rsidRPr="00B14189" w:rsidRDefault="001B208E" w:rsidP="007D7D7B">
      <w:pPr>
        <w:pStyle w:val="Default"/>
        <w:keepNext/>
        <w:keepLines/>
        <w:widowControl/>
        <w:spacing w:before="120" w:after="120"/>
        <w:ind w:firstLine="720"/>
        <w:rPr>
          <w:sz w:val="20"/>
          <w:szCs w:val="20"/>
        </w:rPr>
      </w:pPr>
      <w:r w:rsidRPr="00B14189">
        <w:rPr>
          <w:sz w:val="20"/>
        </w:rPr>
        <w:t>Neljäs loppusäännös. </w:t>
      </w:r>
      <w:r w:rsidRPr="00B14189">
        <w:rPr>
          <w:i/>
          <w:sz w:val="20"/>
        </w:rPr>
        <w:t>Voimaantulo.</w:t>
      </w:r>
    </w:p>
    <w:p w:rsidR="001B208E" w:rsidRPr="00B14189" w:rsidRDefault="001B208E" w:rsidP="007D7D7B">
      <w:pPr>
        <w:pStyle w:val="Default"/>
        <w:widowControl/>
        <w:spacing w:before="120" w:after="120"/>
        <w:ind w:firstLine="720"/>
        <w:rPr>
          <w:sz w:val="20"/>
          <w:szCs w:val="20"/>
        </w:rPr>
      </w:pPr>
      <w:r w:rsidRPr="00B14189">
        <w:rPr>
          <w:sz w:val="20"/>
        </w:rPr>
        <w:t>Tämä kuninkaan asetus tulee voimaan seuraavana päivänä sen jälkeen, kun se on julkaistu Espanjan valtion virallisessa lehdessä.</w:t>
      </w:r>
    </w:p>
    <w:p w:rsidR="001B208E" w:rsidRPr="00B14189" w:rsidRDefault="001B208E" w:rsidP="007D7D7B">
      <w:pPr>
        <w:pStyle w:val="Default"/>
        <w:widowControl/>
        <w:spacing w:before="120" w:after="120"/>
        <w:ind w:firstLine="720"/>
        <w:rPr>
          <w:sz w:val="20"/>
          <w:szCs w:val="20"/>
        </w:rPr>
      </w:pPr>
      <w:r w:rsidRPr="00B14189">
        <w:rPr>
          <w:sz w:val="20"/>
        </w:rPr>
        <w:t>Annettu Madridissa 18 päivänä toukokuuta 2018.</w:t>
      </w:r>
    </w:p>
    <w:p w:rsidR="001B208E" w:rsidRPr="00B14189" w:rsidRDefault="001B208E" w:rsidP="007D7D7B">
      <w:pPr>
        <w:pStyle w:val="Default"/>
        <w:widowControl/>
        <w:spacing w:before="120" w:after="120"/>
        <w:ind w:firstLine="720"/>
        <w:jc w:val="right"/>
        <w:rPr>
          <w:sz w:val="20"/>
          <w:szCs w:val="20"/>
        </w:rPr>
      </w:pPr>
      <w:r w:rsidRPr="00B14189">
        <w:rPr>
          <w:sz w:val="20"/>
        </w:rPr>
        <w:t>FELIPE R.</w:t>
      </w:r>
    </w:p>
    <w:p w:rsidR="001B208E" w:rsidRPr="00B14189" w:rsidRDefault="001B208E" w:rsidP="007D7D7B">
      <w:pPr>
        <w:pStyle w:val="Pa1"/>
        <w:widowControl/>
        <w:spacing w:before="120" w:after="120" w:line="240" w:lineRule="auto"/>
        <w:jc w:val="center"/>
        <w:rPr>
          <w:color w:val="000000"/>
          <w:sz w:val="16"/>
          <w:szCs w:val="16"/>
        </w:rPr>
      </w:pPr>
      <w:r w:rsidRPr="00B14189">
        <w:rPr>
          <w:color w:val="000000"/>
          <w:sz w:val="16"/>
        </w:rPr>
        <w:t>Maatalous-, kalastus-, elintarvike- ja ympäristöministeri</w:t>
      </w:r>
    </w:p>
    <w:p w:rsidR="001B208E" w:rsidRPr="00B14189" w:rsidRDefault="001B208E" w:rsidP="007D7D7B">
      <w:pPr>
        <w:pStyle w:val="Pa1"/>
        <w:widowControl/>
        <w:spacing w:before="120" w:after="120" w:line="240" w:lineRule="auto"/>
        <w:jc w:val="center"/>
        <w:rPr>
          <w:color w:val="000000"/>
          <w:sz w:val="16"/>
          <w:szCs w:val="16"/>
        </w:rPr>
      </w:pPr>
      <w:r w:rsidRPr="00B14189">
        <w:rPr>
          <w:color w:val="000000"/>
          <w:sz w:val="16"/>
        </w:rPr>
        <w:t>ISABEL GARCÍA TEJERINA</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lastRenderedPageBreak/>
        <w:t>LIITE I</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Muovisten kantokassien ohjeelliset hinnat</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i/>
          <w:color w:val="000000"/>
          <w:sz w:val="20"/>
        </w:rPr>
        <w:t>Muovisen kantokassin ohjeellinen hinta paksuuden perusteella.</w:t>
      </w:r>
    </w:p>
    <w:p w:rsidR="001B208E" w:rsidRPr="00B14189" w:rsidRDefault="001B208E" w:rsidP="007D7D7B">
      <w:pPr>
        <w:pStyle w:val="Default"/>
        <w:widowControl/>
        <w:spacing w:before="120" w:after="120"/>
        <w:ind w:firstLine="720"/>
        <w:rPr>
          <w:sz w:val="20"/>
          <w:szCs w:val="20"/>
        </w:rPr>
      </w:pPr>
      <w:r w:rsidRPr="00B14189">
        <w:rPr>
          <w:sz w:val="20"/>
        </w:rPr>
        <w:t>Alle 15 mikronin paksuiset kantokassit, joiden käyttötarkoitus ei vastaa 3 §:n d momentissa annetussa erittäin kevyen kantokassin määritelmässä mainittuja käyttötarkoituksia: 5 senttiä / kantokassi</w:t>
      </w:r>
    </w:p>
    <w:p w:rsidR="001B208E" w:rsidRPr="00B14189" w:rsidRDefault="001B208E" w:rsidP="007D7D7B">
      <w:pPr>
        <w:pStyle w:val="Default"/>
        <w:widowControl/>
        <w:spacing w:before="120" w:after="120"/>
        <w:ind w:firstLine="720"/>
        <w:rPr>
          <w:sz w:val="20"/>
          <w:szCs w:val="20"/>
        </w:rPr>
      </w:pPr>
      <w:r w:rsidRPr="00B14189">
        <w:rPr>
          <w:sz w:val="20"/>
        </w:rPr>
        <w:t>Kantokassit, joiden paksuus on 15–49 mikronia: 15 senttiä / kantokassi</w:t>
      </w:r>
    </w:p>
    <w:p w:rsidR="001B208E" w:rsidRPr="00B14189" w:rsidRDefault="001B208E" w:rsidP="007D7D7B">
      <w:pPr>
        <w:pStyle w:val="Default"/>
        <w:widowControl/>
        <w:spacing w:before="120" w:after="120"/>
        <w:ind w:firstLine="720"/>
        <w:rPr>
          <w:sz w:val="20"/>
          <w:szCs w:val="20"/>
        </w:rPr>
      </w:pPr>
      <w:r w:rsidRPr="00B14189">
        <w:rPr>
          <w:sz w:val="20"/>
        </w:rPr>
        <w:t>Kantokassit, joiden paksuus on vähintään 50 mikronia: 15 senttiä / kantokassi</w:t>
      </w:r>
    </w:p>
    <w:p w:rsidR="001B208E" w:rsidRPr="00B14189" w:rsidRDefault="001B208E" w:rsidP="007D7D7B">
      <w:pPr>
        <w:pStyle w:val="Default"/>
        <w:widowControl/>
        <w:spacing w:before="120" w:after="120"/>
        <w:ind w:firstLine="720"/>
        <w:rPr>
          <w:sz w:val="20"/>
          <w:szCs w:val="20"/>
        </w:rPr>
      </w:pPr>
      <w:r w:rsidRPr="00B14189">
        <w:rPr>
          <w:sz w:val="20"/>
        </w:rPr>
        <w:t>Kantokassit, joiden paksuus on vähintään 50 mikronia ja joiden koostumuksesta yli 50 prosenttia mutta alle 70 prosenttia on kierrätettyä muovia: 10 senttiä / kantokassi</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LIITE II</w:t>
      </w:r>
    </w:p>
    <w:p w:rsidR="001B208E" w:rsidRPr="00B14189" w:rsidRDefault="001B208E" w:rsidP="007D7D7B">
      <w:pPr>
        <w:pStyle w:val="Pa1"/>
        <w:keepNext/>
        <w:keepLines/>
        <w:widowControl/>
        <w:spacing w:before="120" w:after="120" w:line="240" w:lineRule="auto"/>
        <w:jc w:val="center"/>
        <w:rPr>
          <w:color w:val="000000"/>
          <w:sz w:val="20"/>
          <w:szCs w:val="20"/>
        </w:rPr>
      </w:pPr>
      <w:r w:rsidRPr="00B14189">
        <w:rPr>
          <w:b/>
          <w:color w:val="000000"/>
          <w:sz w:val="20"/>
        </w:rPr>
        <w:t>Muovisten kantokassien kirjaukset ja tuotteiden tuottajarekisteriin vuosittain toimitettavat tiedot</w:t>
      </w:r>
    </w:p>
    <w:p w:rsidR="001B208E" w:rsidRPr="00B14189" w:rsidRDefault="001B208E" w:rsidP="007D7D7B">
      <w:pPr>
        <w:pStyle w:val="Default"/>
        <w:widowControl/>
        <w:spacing w:before="120" w:after="120"/>
        <w:ind w:firstLine="720"/>
        <w:rPr>
          <w:sz w:val="20"/>
          <w:szCs w:val="20"/>
        </w:rPr>
      </w:pPr>
      <w:r w:rsidRPr="00B14189">
        <w:rPr>
          <w:sz w:val="20"/>
        </w:rPr>
        <w:t>1. Tuotteiden tuottajarekisteriin tehtäviin kirjauksiin liittyvät tiedot.</w:t>
      </w:r>
    </w:p>
    <w:p w:rsidR="001B208E" w:rsidRPr="00B14189" w:rsidRDefault="001B208E" w:rsidP="007D7D7B">
      <w:pPr>
        <w:pStyle w:val="Default"/>
        <w:widowControl/>
        <w:spacing w:before="120" w:after="120"/>
        <w:ind w:firstLine="720"/>
        <w:rPr>
          <w:sz w:val="20"/>
          <w:szCs w:val="20"/>
        </w:rPr>
      </w:pPr>
      <w:r w:rsidRPr="00B14189">
        <w:rPr>
          <w:sz w:val="20"/>
        </w:rPr>
        <w:t>Muovisten kantokassien tuottajien velvollisuutena on toimittaa ja saattaa ajan tasalle seuraavat tiedot rekisteröinnin yhteydessä:</w:t>
      </w:r>
    </w:p>
    <w:p w:rsidR="001B208E" w:rsidRPr="00B14189" w:rsidRDefault="001B208E" w:rsidP="007D7D7B">
      <w:pPr>
        <w:pStyle w:val="Default"/>
        <w:widowControl/>
        <w:spacing w:before="120" w:after="120"/>
        <w:ind w:firstLine="720"/>
        <w:rPr>
          <w:sz w:val="20"/>
          <w:szCs w:val="20"/>
        </w:rPr>
      </w:pPr>
      <w:r w:rsidRPr="00B14189">
        <w:rPr>
          <w:sz w:val="20"/>
        </w:rPr>
        <w:t>a) Valmistajan tai tämän valtuutetun edustajan nimi ja osoite, mukaan luettuna postinumero, kunta, katu ja kadunnumero, maa, puhelinnumero, faksinumero, sähköpostiosoite ja yhteyshenkilön nimi. Jos kyseessä on valtuutettu edustaja, edellisten lisäksi on toimitettava edustettavan valmistajan yhteystiedot.</w:t>
      </w:r>
    </w:p>
    <w:p w:rsidR="001B208E" w:rsidRPr="00B14189" w:rsidRDefault="001B208E" w:rsidP="007D7D7B">
      <w:pPr>
        <w:pStyle w:val="Default"/>
        <w:widowControl/>
        <w:spacing w:before="120" w:after="120"/>
        <w:ind w:firstLine="720"/>
        <w:rPr>
          <w:sz w:val="20"/>
          <w:szCs w:val="20"/>
        </w:rPr>
      </w:pPr>
      <w:r w:rsidRPr="00B14189">
        <w:rPr>
          <w:sz w:val="20"/>
        </w:rPr>
        <w:t>b) Eurooppalainen verotunnistenumero tai kansallinen verotunnistenumero.</w:t>
      </w:r>
    </w:p>
    <w:p w:rsidR="001B208E" w:rsidRPr="00B14189" w:rsidRDefault="001B208E" w:rsidP="007D7D7B">
      <w:pPr>
        <w:pStyle w:val="Default"/>
        <w:widowControl/>
        <w:spacing w:before="120" w:after="120"/>
        <w:ind w:firstLine="720"/>
        <w:rPr>
          <w:sz w:val="20"/>
          <w:szCs w:val="20"/>
        </w:rPr>
      </w:pPr>
      <w:r w:rsidRPr="00B14189">
        <w:rPr>
          <w:sz w:val="20"/>
        </w:rPr>
        <w:t>c) Vakuutus annettujen tietojen todenmukaisuudesta.</w:t>
      </w:r>
    </w:p>
    <w:p w:rsidR="001B208E" w:rsidRPr="00B14189" w:rsidRDefault="001B208E" w:rsidP="007D7D7B">
      <w:pPr>
        <w:pStyle w:val="Default"/>
        <w:widowControl/>
        <w:spacing w:before="120" w:after="120"/>
        <w:ind w:firstLine="720"/>
        <w:rPr>
          <w:sz w:val="20"/>
          <w:szCs w:val="20"/>
        </w:rPr>
      </w:pPr>
      <w:r w:rsidRPr="00B14189">
        <w:rPr>
          <w:sz w:val="20"/>
        </w:rPr>
        <w:t>2. Kansallisille markkinoille saatettuja muovisia kantokasseja koskevat vuosittaiset tiedot, jotka valmistajien on toimitettava.</w:t>
      </w:r>
    </w:p>
    <w:tbl>
      <w:tblPr>
        <w:tblW w:w="5000" w:type="pct"/>
        <w:tblCellMar>
          <w:left w:w="29" w:type="dxa"/>
          <w:right w:w="29" w:type="dxa"/>
        </w:tblCellMar>
        <w:tblLook w:val="0000"/>
      </w:tblPr>
      <w:tblGrid>
        <w:gridCol w:w="867"/>
        <w:gridCol w:w="551"/>
        <w:gridCol w:w="959"/>
        <w:gridCol w:w="577"/>
        <w:gridCol w:w="798"/>
        <w:gridCol w:w="551"/>
        <w:gridCol w:w="959"/>
        <w:gridCol w:w="577"/>
        <w:gridCol w:w="798"/>
        <w:gridCol w:w="551"/>
        <w:gridCol w:w="959"/>
        <w:gridCol w:w="577"/>
        <w:gridCol w:w="551"/>
        <w:gridCol w:w="959"/>
        <w:gridCol w:w="577"/>
      </w:tblGrid>
      <w:tr w:rsidR="00CC7251" w:rsidRPr="00B14189" w:rsidTr="00700587">
        <w:trPr>
          <w:cantSplit/>
        </w:trPr>
        <w:tc>
          <w:tcPr>
            <w:tcW w:w="365" w:type="pct"/>
            <w:vMerge w:val="restar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Paksuus</w:t>
            </w:r>
          </w:p>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(mikronia)</w:t>
            </w:r>
          </w:p>
        </w:tc>
        <w:tc>
          <w:tcPr>
            <w:tcW w:w="1279" w:type="pct"/>
            <w:gridSpan w:val="4"/>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Muoviset kantokassit, suurtiheyspolyeteeni</w:t>
            </w:r>
          </w:p>
        </w:tc>
        <w:tc>
          <w:tcPr>
            <w:tcW w:w="1264" w:type="pct"/>
            <w:gridSpan w:val="4"/>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Muoviset kantokassit, pientiheyspolyeteeni</w:t>
            </w:r>
          </w:p>
        </w:tc>
        <w:tc>
          <w:tcPr>
            <w:tcW w:w="1059" w:type="pct"/>
            <w:gridSpan w:val="3"/>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Kompostoituvasta muovista valmistetut kantokassit</w:t>
            </w:r>
          </w:p>
        </w:tc>
        <w:tc>
          <w:tcPr>
            <w:tcW w:w="1032" w:type="pct"/>
            <w:gridSpan w:val="3"/>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Muunlaisesta muovista valmistetut kantokassit</w:t>
            </w:r>
          </w:p>
        </w:tc>
      </w:tr>
      <w:tr w:rsidR="00CC7251" w:rsidRPr="00B14189" w:rsidTr="00700587">
        <w:trPr>
          <w:cantSplit/>
        </w:trPr>
        <w:tc>
          <w:tcPr>
            <w:tcW w:w="365" w:type="pct"/>
            <w:vMerge/>
          </w:tcPr>
          <w:p w:rsidR="007D7D7B" w:rsidRPr="00B14189" w:rsidRDefault="007D7D7B" w:rsidP="00F84860">
            <w:pPr>
              <w:pStyle w:val="Default"/>
              <w:keepNext/>
              <w:keepLines/>
              <w:widowControl/>
              <w:rPr>
                <w:color w:val="auto"/>
                <w:sz w:val="16"/>
                <w:szCs w:val="16"/>
              </w:rPr>
            </w:pPr>
          </w:p>
        </w:tc>
        <w:tc>
          <w:tcPr>
            <w:tcW w:w="320"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Yksiköt</w:t>
            </w:r>
          </w:p>
        </w:tc>
        <w:tc>
          <w:tcPr>
            <w:tcW w:w="320" w:type="pct"/>
          </w:tcPr>
          <w:p w:rsidR="007D7D7B" w:rsidRPr="00B14189" w:rsidRDefault="00CC7251" w:rsidP="00F84860">
            <w:pPr>
              <w:pStyle w:val="Pa16"/>
              <w:keepNext/>
              <w:keepLines/>
              <w:widowControl/>
              <w:spacing w:line="240" w:lineRule="auto"/>
              <w:jc w:val="center"/>
              <w:rPr>
                <w:color w:val="000000"/>
                <w:sz w:val="16"/>
                <w:szCs w:val="16"/>
              </w:rPr>
            </w:pPr>
            <w:r>
              <w:rPr>
                <w:color w:val="000000"/>
                <w:sz w:val="16"/>
              </w:rPr>
              <w:t>Yksikköpaino (g</w:t>
            </w:r>
            <w:r w:rsidR="007D7D7B" w:rsidRPr="00B14189">
              <w:rPr>
                <w:color w:val="000000"/>
                <w:sz w:val="16"/>
              </w:rPr>
              <w:t>/kassi)</w:t>
            </w:r>
          </w:p>
        </w:tc>
        <w:tc>
          <w:tcPr>
            <w:tcW w:w="320"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Paino (tonnia)</w:t>
            </w:r>
          </w:p>
        </w:tc>
        <w:tc>
          <w:tcPr>
            <w:tcW w:w="320" w:type="pct"/>
          </w:tcPr>
          <w:p w:rsidR="007D7D7B" w:rsidRPr="00B14189" w:rsidRDefault="007D7D7B" w:rsidP="00F84860">
            <w:pPr>
              <w:pStyle w:val="Pa16"/>
              <w:keepNext/>
              <w:keepLines/>
              <w:widowControl/>
              <w:spacing w:line="240" w:lineRule="auto"/>
              <w:jc w:val="center"/>
              <w:rPr>
                <w:color w:val="000000"/>
                <w:sz w:val="16"/>
                <w:szCs w:val="16"/>
              </w:rPr>
            </w:pPr>
            <w:proofErr w:type="gramStart"/>
            <w:r w:rsidRPr="00B14189">
              <w:rPr>
                <w:color w:val="000000"/>
                <w:sz w:val="16"/>
              </w:rPr>
              <w:t>Kierrätetyn muovin pitoisuus (%)</w:t>
            </w:r>
            <w:proofErr w:type="gramEnd"/>
          </w:p>
        </w:tc>
        <w:tc>
          <w:tcPr>
            <w:tcW w:w="316"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Yksiköt</w:t>
            </w:r>
          </w:p>
        </w:tc>
        <w:tc>
          <w:tcPr>
            <w:tcW w:w="316" w:type="pct"/>
          </w:tcPr>
          <w:p w:rsidR="007D7D7B" w:rsidRPr="00B14189" w:rsidRDefault="00CC7251" w:rsidP="00F84860">
            <w:pPr>
              <w:pStyle w:val="Pa16"/>
              <w:keepNext/>
              <w:keepLines/>
              <w:widowControl/>
              <w:spacing w:line="240" w:lineRule="auto"/>
              <w:jc w:val="center"/>
              <w:rPr>
                <w:color w:val="000000"/>
                <w:sz w:val="16"/>
                <w:szCs w:val="16"/>
              </w:rPr>
            </w:pPr>
            <w:r>
              <w:rPr>
                <w:color w:val="000000"/>
                <w:sz w:val="16"/>
              </w:rPr>
              <w:t>Yksikköpaino (g/</w:t>
            </w:r>
            <w:r w:rsidR="007D7D7B" w:rsidRPr="00B14189">
              <w:rPr>
                <w:color w:val="000000"/>
                <w:sz w:val="16"/>
              </w:rPr>
              <w:t>kassi)</w:t>
            </w:r>
          </w:p>
        </w:tc>
        <w:tc>
          <w:tcPr>
            <w:tcW w:w="316"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Paino (tonnia)</w:t>
            </w:r>
          </w:p>
        </w:tc>
        <w:tc>
          <w:tcPr>
            <w:tcW w:w="316"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Kierrätetyn muovin pitoisuus (%)</w:t>
            </w:r>
          </w:p>
        </w:tc>
        <w:tc>
          <w:tcPr>
            <w:tcW w:w="353"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Yksiköt</w:t>
            </w:r>
          </w:p>
        </w:tc>
        <w:tc>
          <w:tcPr>
            <w:tcW w:w="353" w:type="pct"/>
          </w:tcPr>
          <w:p w:rsidR="007D7D7B" w:rsidRPr="00B14189" w:rsidRDefault="00CC7251" w:rsidP="00F84860">
            <w:pPr>
              <w:pStyle w:val="Pa16"/>
              <w:keepNext/>
              <w:keepLines/>
              <w:widowControl/>
              <w:spacing w:line="240" w:lineRule="auto"/>
              <w:jc w:val="center"/>
              <w:rPr>
                <w:color w:val="000000"/>
                <w:sz w:val="16"/>
                <w:szCs w:val="16"/>
              </w:rPr>
            </w:pPr>
            <w:r>
              <w:rPr>
                <w:color w:val="000000"/>
                <w:sz w:val="16"/>
              </w:rPr>
              <w:t>Yksikköpaino (g/</w:t>
            </w:r>
            <w:r w:rsidR="007D7D7B" w:rsidRPr="00B14189">
              <w:rPr>
                <w:color w:val="000000"/>
                <w:sz w:val="16"/>
              </w:rPr>
              <w:t>kassi)</w:t>
            </w:r>
          </w:p>
        </w:tc>
        <w:tc>
          <w:tcPr>
            <w:tcW w:w="353"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Paino (tonnia)</w:t>
            </w:r>
          </w:p>
        </w:tc>
        <w:tc>
          <w:tcPr>
            <w:tcW w:w="344"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Yksiköt</w:t>
            </w:r>
          </w:p>
        </w:tc>
        <w:tc>
          <w:tcPr>
            <w:tcW w:w="344" w:type="pct"/>
          </w:tcPr>
          <w:p w:rsidR="007D7D7B" w:rsidRPr="00B14189" w:rsidRDefault="00CC7251" w:rsidP="00F84860">
            <w:pPr>
              <w:pStyle w:val="Pa16"/>
              <w:keepNext/>
              <w:keepLines/>
              <w:widowControl/>
              <w:spacing w:line="240" w:lineRule="auto"/>
              <w:jc w:val="center"/>
              <w:rPr>
                <w:color w:val="000000"/>
                <w:sz w:val="16"/>
                <w:szCs w:val="16"/>
              </w:rPr>
            </w:pPr>
            <w:r>
              <w:rPr>
                <w:color w:val="000000"/>
                <w:sz w:val="16"/>
              </w:rPr>
              <w:t>Yksikköpaino (g/</w:t>
            </w:r>
            <w:r w:rsidR="007D7D7B" w:rsidRPr="00B14189">
              <w:rPr>
                <w:color w:val="000000"/>
                <w:sz w:val="16"/>
              </w:rPr>
              <w:t>kassi)</w:t>
            </w:r>
          </w:p>
        </w:tc>
        <w:tc>
          <w:tcPr>
            <w:tcW w:w="344" w:type="pct"/>
          </w:tcPr>
          <w:p w:rsidR="007D7D7B" w:rsidRPr="00B14189" w:rsidRDefault="007D7D7B" w:rsidP="00F84860">
            <w:pPr>
              <w:pStyle w:val="Pa16"/>
              <w:keepNext/>
              <w:keepLines/>
              <w:widowControl/>
              <w:spacing w:line="240" w:lineRule="auto"/>
              <w:jc w:val="center"/>
              <w:rPr>
                <w:color w:val="000000"/>
                <w:sz w:val="16"/>
                <w:szCs w:val="16"/>
              </w:rPr>
            </w:pPr>
            <w:r w:rsidRPr="00B14189">
              <w:rPr>
                <w:color w:val="000000"/>
                <w:sz w:val="16"/>
              </w:rPr>
              <w:t>Paino (tonnia)</w:t>
            </w:r>
          </w:p>
        </w:tc>
      </w:tr>
      <w:tr w:rsidR="00CC7251" w:rsidRPr="00B14189" w:rsidTr="00700587">
        <w:trPr>
          <w:cantSplit/>
        </w:trPr>
        <w:tc>
          <w:tcPr>
            <w:tcW w:w="365" w:type="pct"/>
          </w:tcPr>
          <w:p w:rsidR="007D7D7B" w:rsidRPr="00B14189" w:rsidRDefault="00CC7251" w:rsidP="00CC7251">
            <w:pPr>
              <w:pStyle w:val="Pa17"/>
              <w:widowControl/>
              <w:spacing w:line="240" w:lineRule="auto"/>
              <w:rPr>
                <w:color w:val="000000"/>
                <w:sz w:val="16"/>
                <w:szCs w:val="16"/>
              </w:rPr>
            </w:pPr>
            <w:r>
              <w:rPr>
                <w:color w:val="000000"/>
                <w:sz w:val="16"/>
              </w:rPr>
              <w:t>Alle 15, ilmainen jakelu</w:t>
            </w: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r>
      <w:tr w:rsidR="00CC7251" w:rsidRPr="00B14189" w:rsidTr="00700587">
        <w:trPr>
          <w:cantSplit/>
        </w:trPr>
        <w:tc>
          <w:tcPr>
            <w:tcW w:w="365" w:type="pct"/>
          </w:tcPr>
          <w:p w:rsidR="007D7D7B" w:rsidRPr="00B14189" w:rsidRDefault="007D7D7B" w:rsidP="00761256">
            <w:pPr>
              <w:pStyle w:val="Pa17"/>
              <w:widowControl/>
              <w:spacing w:line="240" w:lineRule="auto"/>
              <w:rPr>
                <w:color w:val="000000"/>
                <w:sz w:val="16"/>
                <w:szCs w:val="16"/>
              </w:rPr>
            </w:pPr>
            <w:r w:rsidRPr="00B14189">
              <w:rPr>
                <w:color w:val="000000"/>
                <w:sz w:val="16"/>
              </w:rPr>
              <w:t>Alle 15, maksullinen jakelu</w:t>
            </w: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r>
      <w:tr w:rsidR="00CC7251" w:rsidRPr="00B14189" w:rsidTr="00700587">
        <w:trPr>
          <w:cantSplit/>
        </w:trPr>
        <w:tc>
          <w:tcPr>
            <w:tcW w:w="365" w:type="pct"/>
          </w:tcPr>
          <w:p w:rsidR="007D7D7B" w:rsidRPr="00B14189" w:rsidRDefault="007D7D7B" w:rsidP="00761256">
            <w:pPr>
              <w:pStyle w:val="Pa17"/>
              <w:widowControl/>
              <w:spacing w:line="240" w:lineRule="auto"/>
              <w:rPr>
                <w:color w:val="000000"/>
                <w:sz w:val="16"/>
                <w:szCs w:val="16"/>
              </w:rPr>
            </w:pPr>
            <w:r w:rsidRPr="00B14189">
              <w:rPr>
                <w:color w:val="000000"/>
                <w:sz w:val="16"/>
              </w:rPr>
              <w:t>15–49</w:t>
            </w:r>
            <w:r w:rsidR="00CC7251">
              <w:rPr>
                <w:color w:val="000000"/>
                <w:sz w:val="16"/>
              </w:rPr>
              <w:t>,</w:t>
            </w: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r>
      <w:tr w:rsidR="00CC7251" w:rsidRPr="00B14189" w:rsidTr="00700587">
        <w:trPr>
          <w:cantSplit/>
        </w:trPr>
        <w:tc>
          <w:tcPr>
            <w:tcW w:w="365" w:type="pct"/>
          </w:tcPr>
          <w:p w:rsidR="007D7D7B" w:rsidRPr="00B14189" w:rsidRDefault="00CC7251" w:rsidP="00761256">
            <w:pPr>
              <w:pStyle w:val="Pa17"/>
              <w:widowControl/>
              <w:spacing w:line="240" w:lineRule="auto"/>
              <w:rPr>
                <w:color w:val="000000"/>
                <w:sz w:val="16"/>
                <w:szCs w:val="16"/>
              </w:rPr>
            </w:pPr>
            <w:r>
              <w:rPr>
                <w:color w:val="000000"/>
                <w:sz w:val="16"/>
              </w:rPr>
              <w:t>v</w:t>
            </w:r>
            <w:r w:rsidR="007D7D7B" w:rsidRPr="00B14189">
              <w:rPr>
                <w:color w:val="000000"/>
                <w:sz w:val="16"/>
              </w:rPr>
              <w:t>ähintään 50</w:t>
            </w: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20"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16"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53"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c>
          <w:tcPr>
            <w:tcW w:w="344" w:type="pct"/>
          </w:tcPr>
          <w:p w:rsidR="007D7D7B" w:rsidRPr="00B14189" w:rsidRDefault="007D7D7B" w:rsidP="00761256">
            <w:pPr>
              <w:pStyle w:val="Default"/>
              <w:widowControl/>
              <w:rPr>
                <w:color w:val="auto"/>
                <w:sz w:val="16"/>
                <w:szCs w:val="16"/>
              </w:rPr>
            </w:pPr>
          </w:p>
        </w:tc>
      </w:tr>
    </w:tbl>
    <w:p w:rsidR="007D7D7B" w:rsidRPr="00B14189" w:rsidRDefault="007D7D7B" w:rsidP="007D7D7B">
      <w:pPr>
        <w:pStyle w:val="Default"/>
        <w:widowControl/>
        <w:spacing w:before="120" w:after="120"/>
        <w:ind w:firstLine="720"/>
        <w:rPr>
          <w:sz w:val="20"/>
          <w:szCs w:val="20"/>
        </w:rPr>
      </w:pPr>
    </w:p>
    <w:sectPr w:rsidR="007D7D7B" w:rsidRPr="00B14189" w:rsidSect="007D7D7B">
      <w:pgSz w:w="11905" w:h="17337"/>
      <w:pgMar w:top="1008" w:right="576" w:bottom="1008" w:left="5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31" w:rsidRDefault="00D23631" w:rsidP="00751786">
      <w:pPr>
        <w:spacing w:after="0" w:line="240" w:lineRule="auto"/>
      </w:pPr>
      <w:r>
        <w:separator/>
      </w:r>
    </w:p>
  </w:endnote>
  <w:endnote w:type="continuationSeparator" w:id="0">
    <w:p w:rsidR="00D23631" w:rsidRDefault="00D23631" w:rsidP="00751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31" w:rsidRDefault="00D23631" w:rsidP="00751786">
      <w:pPr>
        <w:spacing w:after="0" w:line="240" w:lineRule="auto"/>
      </w:pPr>
      <w:r>
        <w:separator/>
      </w:r>
    </w:p>
  </w:footnote>
  <w:footnote w:type="continuationSeparator" w:id="0">
    <w:p w:rsidR="00D23631" w:rsidRDefault="00D23631" w:rsidP="007517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694AFB"/>
    <w:rsid w:val="00147EEC"/>
    <w:rsid w:val="001B208E"/>
    <w:rsid w:val="003C24A4"/>
    <w:rsid w:val="005F64A7"/>
    <w:rsid w:val="00651F5D"/>
    <w:rsid w:val="00694AFB"/>
    <w:rsid w:val="00700587"/>
    <w:rsid w:val="00751786"/>
    <w:rsid w:val="007D2CBC"/>
    <w:rsid w:val="007D7D7B"/>
    <w:rsid w:val="008E1C8A"/>
    <w:rsid w:val="00AA0785"/>
    <w:rsid w:val="00B14189"/>
    <w:rsid w:val="00C1192B"/>
    <w:rsid w:val="00C50ED1"/>
    <w:rsid w:val="00CC7251"/>
    <w:rsid w:val="00CF30A9"/>
    <w:rsid w:val="00D23631"/>
    <w:rsid w:val="00E22FFA"/>
    <w:rsid w:val="00F848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i-FI" w:eastAsia="fi-FI" w:bidi="fi-FI"/>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CF30A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CF30A9"/>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CF30A9"/>
    <w:pPr>
      <w:spacing w:line="361" w:lineRule="atLeast"/>
    </w:pPr>
    <w:rPr>
      <w:color w:val="auto"/>
    </w:rPr>
  </w:style>
  <w:style w:type="paragraph" w:customStyle="1" w:styleId="Pa0">
    <w:name w:val="Pa0"/>
    <w:basedOn w:val="Default"/>
    <w:next w:val="Default"/>
    <w:uiPriority w:val="99"/>
    <w:rsid w:val="00CF30A9"/>
    <w:pPr>
      <w:spacing w:line="401" w:lineRule="atLeast"/>
    </w:pPr>
    <w:rPr>
      <w:color w:val="auto"/>
    </w:rPr>
  </w:style>
  <w:style w:type="paragraph" w:customStyle="1" w:styleId="Pa1">
    <w:name w:val="Pa1"/>
    <w:basedOn w:val="Default"/>
    <w:next w:val="Default"/>
    <w:uiPriority w:val="99"/>
    <w:rsid w:val="00CF30A9"/>
    <w:pPr>
      <w:spacing w:line="201" w:lineRule="atLeast"/>
    </w:pPr>
    <w:rPr>
      <w:color w:val="auto"/>
    </w:rPr>
  </w:style>
  <w:style w:type="paragraph" w:customStyle="1" w:styleId="Pa9">
    <w:name w:val="Pa9"/>
    <w:basedOn w:val="Default"/>
    <w:next w:val="Default"/>
    <w:uiPriority w:val="99"/>
    <w:rsid w:val="00CF30A9"/>
    <w:pPr>
      <w:spacing w:line="141" w:lineRule="atLeast"/>
    </w:pPr>
    <w:rPr>
      <w:color w:val="auto"/>
    </w:rPr>
  </w:style>
  <w:style w:type="character" w:customStyle="1" w:styleId="A6">
    <w:name w:val="A6"/>
    <w:uiPriority w:val="99"/>
    <w:rsid w:val="00CF30A9"/>
    <w:rPr>
      <w:b/>
      <w:color w:val="FFFFFF"/>
      <w:sz w:val="16"/>
    </w:rPr>
  </w:style>
  <w:style w:type="paragraph" w:customStyle="1" w:styleId="Pa6">
    <w:name w:val="Pa6"/>
    <w:basedOn w:val="Default"/>
    <w:next w:val="Default"/>
    <w:uiPriority w:val="99"/>
    <w:rsid w:val="00CF30A9"/>
    <w:pPr>
      <w:spacing w:line="201" w:lineRule="atLeast"/>
    </w:pPr>
    <w:rPr>
      <w:color w:val="auto"/>
    </w:rPr>
  </w:style>
  <w:style w:type="paragraph" w:customStyle="1" w:styleId="Pa7">
    <w:name w:val="Pa7"/>
    <w:basedOn w:val="Default"/>
    <w:next w:val="Default"/>
    <w:uiPriority w:val="99"/>
    <w:rsid w:val="00CF30A9"/>
    <w:pPr>
      <w:spacing w:line="201" w:lineRule="atLeast"/>
    </w:pPr>
    <w:rPr>
      <w:color w:val="auto"/>
    </w:rPr>
  </w:style>
  <w:style w:type="paragraph" w:customStyle="1" w:styleId="Pa8">
    <w:name w:val="Pa8"/>
    <w:basedOn w:val="Default"/>
    <w:next w:val="Default"/>
    <w:uiPriority w:val="99"/>
    <w:rsid w:val="00CF30A9"/>
    <w:pPr>
      <w:spacing w:line="201" w:lineRule="atLeast"/>
    </w:pPr>
    <w:rPr>
      <w:color w:val="auto"/>
    </w:rPr>
  </w:style>
  <w:style w:type="paragraph" w:customStyle="1" w:styleId="Pa10">
    <w:name w:val="Pa10"/>
    <w:basedOn w:val="Default"/>
    <w:next w:val="Default"/>
    <w:uiPriority w:val="99"/>
    <w:rsid w:val="00CF30A9"/>
    <w:pPr>
      <w:spacing w:line="201" w:lineRule="atLeast"/>
    </w:pPr>
    <w:rPr>
      <w:color w:val="auto"/>
    </w:rPr>
  </w:style>
  <w:style w:type="paragraph" w:customStyle="1" w:styleId="Pa11">
    <w:name w:val="Pa11"/>
    <w:basedOn w:val="Default"/>
    <w:next w:val="Default"/>
    <w:uiPriority w:val="99"/>
    <w:rsid w:val="00CF30A9"/>
    <w:pPr>
      <w:spacing w:line="201" w:lineRule="atLeast"/>
    </w:pPr>
    <w:rPr>
      <w:color w:val="auto"/>
    </w:rPr>
  </w:style>
  <w:style w:type="paragraph" w:customStyle="1" w:styleId="Pa14">
    <w:name w:val="Pa14"/>
    <w:basedOn w:val="Default"/>
    <w:next w:val="Default"/>
    <w:uiPriority w:val="99"/>
    <w:rsid w:val="00CF30A9"/>
    <w:pPr>
      <w:spacing w:line="161" w:lineRule="atLeast"/>
    </w:pPr>
    <w:rPr>
      <w:color w:val="auto"/>
    </w:rPr>
  </w:style>
  <w:style w:type="paragraph" w:customStyle="1" w:styleId="Pa16">
    <w:name w:val="Pa16"/>
    <w:basedOn w:val="Default"/>
    <w:next w:val="Default"/>
    <w:uiPriority w:val="99"/>
    <w:rsid w:val="00CF30A9"/>
    <w:pPr>
      <w:spacing w:line="161" w:lineRule="atLeast"/>
    </w:pPr>
    <w:rPr>
      <w:color w:val="auto"/>
    </w:rPr>
  </w:style>
  <w:style w:type="paragraph" w:customStyle="1" w:styleId="Pa17">
    <w:name w:val="Pa17"/>
    <w:basedOn w:val="Default"/>
    <w:next w:val="Default"/>
    <w:uiPriority w:val="99"/>
    <w:rsid w:val="00CF30A9"/>
    <w:pPr>
      <w:spacing w:line="181" w:lineRule="atLeast"/>
    </w:pPr>
    <w:rPr>
      <w:color w:val="auto"/>
    </w:rPr>
  </w:style>
  <w:style w:type="paragraph" w:styleId="Yltunniste">
    <w:name w:val="header"/>
    <w:basedOn w:val="Normaali"/>
    <w:link w:val="YltunnisteChar"/>
    <w:uiPriority w:val="99"/>
    <w:rsid w:val="00751786"/>
    <w:pPr>
      <w:tabs>
        <w:tab w:val="center" w:pos="4320"/>
        <w:tab w:val="right" w:pos="8640"/>
      </w:tabs>
      <w:spacing w:after="0" w:line="240" w:lineRule="auto"/>
    </w:pPr>
  </w:style>
  <w:style w:type="character" w:customStyle="1" w:styleId="YltunnisteChar">
    <w:name w:val="Ylätunniste Char"/>
    <w:basedOn w:val="Kappaleenoletusfontti"/>
    <w:link w:val="Yltunniste"/>
    <w:uiPriority w:val="99"/>
    <w:rsid w:val="00751786"/>
    <w:rPr>
      <w:lang w:val="fi-FI" w:eastAsia="fi-FI"/>
    </w:rPr>
  </w:style>
  <w:style w:type="paragraph" w:styleId="Alatunniste">
    <w:name w:val="footer"/>
    <w:basedOn w:val="Normaali"/>
    <w:link w:val="AlatunnisteChar"/>
    <w:uiPriority w:val="99"/>
    <w:rsid w:val="00751786"/>
    <w:pPr>
      <w:tabs>
        <w:tab w:val="center" w:pos="4320"/>
        <w:tab w:val="right" w:pos="8640"/>
      </w:tabs>
      <w:spacing w:after="0" w:line="240" w:lineRule="auto"/>
    </w:pPr>
  </w:style>
  <w:style w:type="character" w:customStyle="1" w:styleId="AlatunnisteChar">
    <w:name w:val="Alatunniste Char"/>
    <w:basedOn w:val="Kappaleenoletusfontti"/>
    <w:link w:val="Alatunniste"/>
    <w:uiPriority w:val="99"/>
    <w:rsid w:val="00751786"/>
    <w:rPr>
      <w:lang w:val="fi-FI" w:eastAsia="fi-FI"/>
    </w:rPr>
  </w:style>
  <w:style w:type="paragraph" w:styleId="Vaintekstin">
    <w:name w:val="Plain Text"/>
    <w:basedOn w:val="Normaali"/>
    <w:link w:val="VaintekstinChar"/>
    <w:uiPriority w:val="99"/>
    <w:unhideWhenUsed/>
    <w:rsid w:val="007D2CBC"/>
    <w:pPr>
      <w:spacing w:after="0" w:line="240" w:lineRule="auto"/>
    </w:pPr>
    <w:rPr>
      <w:rFonts w:ascii="Consolas" w:eastAsia="Times New Roman" w:hAnsi="Consolas"/>
      <w:sz w:val="21"/>
      <w:szCs w:val="21"/>
    </w:rPr>
  </w:style>
  <w:style w:type="character" w:customStyle="1" w:styleId="VaintekstinChar">
    <w:name w:val="Vain tekstinä Char"/>
    <w:basedOn w:val="Kappaleenoletusfontti"/>
    <w:link w:val="Vaintekstin"/>
    <w:uiPriority w:val="99"/>
    <w:rsid w:val="007D2CBC"/>
    <w:rPr>
      <w:rFonts w:ascii="Consolas" w:eastAsia="Times New Roman" w:hAnsi="Consolas"/>
      <w:sz w:val="21"/>
      <w:szCs w:val="21"/>
      <w:lang w:val="fi-FI"/>
    </w:rPr>
  </w:style>
  <w:style w:type="paragraph" w:styleId="Seliteteksti">
    <w:name w:val="Balloon Text"/>
    <w:basedOn w:val="Normaali"/>
    <w:link w:val="SelitetekstiChar"/>
    <w:uiPriority w:val="99"/>
    <w:rsid w:val="00B141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rsid w:val="00B14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7C04-F851-411E-81D8-16B088A8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4271</Words>
  <Characters>34600</Characters>
  <Application>Microsoft Office Word</Application>
  <DocSecurity>0</DocSecurity>
  <Lines>288</Lines>
  <Paragraphs>77</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anukiljunen</cp:lastModifiedBy>
  <cp:revision>5</cp:revision>
  <dcterms:created xsi:type="dcterms:W3CDTF">2018-05-23T01:31:00Z</dcterms:created>
  <dcterms:modified xsi:type="dcterms:W3CDTF">2018-10-03T09:03:00Z</dcterms:modified>
</cp:coreProperties>
</file>