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BF4" w:rsidRDefault="007A1BF4" w:rsidP="007A1BF4">
      <w:pPr>
        <w:pStyle w:val="PlainText"/>
        <w:rPr>
          <w:rFonts w:cs="Courier New"/>
          <w:lang w:val="da-DK"/>
        </w:rPr>
      </w:pPr>
    </w:p>
    <w:p w:rsidR="007A1BF4" w:rsidRDefault="00B73942" w:rsidP="007A1BF4">
      <w:pPr>
        <w:pStyle w:val="Default"/>
        <w:framePr w:w="1986" w:wrap="auto" w:vAnchor="page" w:hAnchor="page" w:x="569" w:y="886"/>
        <w:spacing w:before="120" w:after="120"/>
        <w:rPr>
          <w:noProof/>
          <w:lang w:eastAsia="zh-CN"/>
        </w:rPr>
      </w:pPr>
      <w:r w:rsidRPr="00B37620">
        <w:rPr>
          <w:noProof/>
          <w:lang w:val="en-US" w:eastAsia="zh-CN"/>
        </w:rPr>
        <w:drawing>
          <wp:inline distT="0" distB="0" distL="0" distR="0">
            <wp:extent cx="904875" cy="3143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314325"/>
                    </a:xfrm>
                    <a:prstGeom prst="rect">
                      <a:avLst/>
                    </a:prstGeom>
                    <a:noFill/>
                    <a:ln>
                      <a:noFill/>
                    </a:ln>
                  </pic:spPr>
                </pic:pic>
              </a:graphicData>
            </a:graphic>
          </wp:inline>
        </w:drawing>
      </w:r>
    </w:p>
    <w:p w:rsidR="007A1BF4" w:rsidRDefault="007A1BF4" w:rsidP="007A1BF4">
      <w:pPr>
        <w:pStyle w:val="Default"/>
        <w:framePr w:w="1986" w:wrap="auto" w:vAnchor="page" w:hAnchor="page" w:x="569" w:y="886"/>
        <w:spacing w:before="120" w:after="120"/>
      </w:pPr>
    </w:p>
    <w:p w:rsidR="007A1BF4" w:rsidRDefault="007A1BF4" w:rsidP="007A1BF4">
      <w:pPr>
        <w:pStyle w:val="PlainText"/>
        <w:rPr>
          <w:rFonts w:cs="Courier New"/>
          <w:lang w:val="da-DK"/>
        </w:rPr>
      </w:pPr>
    </w:p>
    <w:p w:rsidR="007A1BF4" w:rsidRDefault="00B73942" w:rsidP="007A1BF4">
      <w:pPr>
        <w:pStyle w:val="PlainText"/>
        <w:jc w:val="right"/>
        <w:rPr>
          <w:rFonts w:cs="Courier New"/>
          <w:lang w:val="da-DK"/>
        </w:rPr>
      </w:pPr>
      <w:r w:rsidRPr="00B37620">
        <w:rPr>
          <w:noProof/>
          <w:lang w:val="en-US" w:eastAsia="zh-CN"/>
        </w:rPr>
        <w:drawing>
          <wp:inline distT="0" distB="0" distL="0" distR="0">
            <wp:extent cx="381000" cy="4000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400050"/>
                    </a:xfrm>
                    <a:prstGeom prst="rect">
                      <a:avLst/>
                    </a:prstGeom>
                    <a:noFill/>
                    <a:ln>
                      <a:noFill/>
                    </a:ln>
                  </pic:spPr>
                </pic:pic>
              </a:graphicData>
            </a:graphic>
          </wp:inline>
        </w:drawing>
      </w:r>
    </w:p>
    <w:p w:rsidR="007A1BF4" w:rsidRDefault="007A1BF4" w:rsidP="007A1BF4">
      <w:pPr>
        <w:pStyle w:val="PlainText"/>
        <w:rPr>
          <w:rFonts w:cs="Courier New"/>
          <w:lang w:val="da-DK"/>
        </w:rPr>
      </w:pPr>
    </w:p>
    <w:p w:rsidR="007A1BF4" w:rsidRDefault="007A1BF4" w:rsidP="007A1BF4">
      <w:pPr>
        <w:pStyle w:val="PlainText"/>
        <w:rPr>
          <w:rFonts w:cs="Courier New"/>
          <w:lang w:val="da-DK"/>
        </w:rPr>
      </w:pPr>
    </w:p>
    <w:p w:rsidR="007A1BF4" w:rsidRDefault="007A1BF4" w:rsidP="007A1BF4">
      <w:pPr>
        <w:pStyle w:val="PlainText"/>
        <w:rPr>
          <w:rFonts w:cs="Courier New"/>
          <w:lang w:val="da-DK"/>
        </w:rPr>
      </w:pPr>
    </w:p>
    <w:p w:rsidR="007A1BF4" w:rsidRPr="00F7772F" w:rsidRDefault="007A1BF4" w:rsidP="007A1BF4">
      <w:pPr>
        <w:pStyle w:val="PlainText"/>
        <w:jc w:val="center"/>
        <w:rPr>
          <w:rFonts w:cs="Courier New"/>
          <w:lang w:val="pt-PT"/>
        </w:rPr>
      </w:pPr>
      <w:r w:rsidRPr="00F7772F">
        <w:rPr>
          <w:rFonts w:cs="Courier New"/>
          <w:lang w:val="pt-PT"/>
        </w:rPr>
        <w:t>1. ------IND- 2017 0525 E-- HU- ------ 20181003 --- --- FINAL</w:t>
      </w:r>
    </w:p>
    <w:p w:rsidR="007A1BF4" w:rsidRDefault="007A1BF4" w:rsidP="007A1BF4">
      <w:pPr>
        <w:pStyle w:val="Default"/>
        <w:spacing w:before="120" w:after="120"/>
        <w:ind w:left="284" w:firstLine="720"/>
      </w:pPr>
    </w:p>
    <w:p w:rsidR="00097EA7" w:rsidRPr="00E6754E" w:rsidRDefault="00097EA7" w:rsidP="00097EA7">
      <w:pPr>
        <w:ind w:left="851" w:right="339"/>
        <w:jc w:val="center"/>
        <w:rPr>
          <w:rFonts w:ascii="Arial" w:hAnsi="Arial" w:cs="Arial"/>
          <w:b/>
          <w:sz w:val="22"/>
          <w:szCs w:val="22"/>
        </w:rPr>
      </w:pPr>
    </w:p>
    <w:p w:rsidR="00577413" w:rsidRDefault="00577413" w:rsidP="00577413">
      <w:pPr>
        <w:pStyle w:val="Default"/>
        <w:spacing w:before="120" w:after="120"/>
        <w:jc w:val="center"/>
        <w:rPr>
          <w:sz w:val="30"/>
          <w:szCs w:val="30"/>
        </w:rPr>
      </w:pPr>
      <w:r>
        <w:rPr>
          <w:b/>
          <w:sz w:val="30"/>
        </w:rPr>
        <w:t>I. ÁLTALÁNOS RENDELKEZÉSEK</w:t>
      </w:r>
    </w:p>
    <w:p w:rsidR="00577413" w:rsidRPr="00D61F6E" w:rsidRDefault="00577413" w:rsidP="00577413">
      <w:pPr>
        <w:pStyle w:val="Pa3"/>
        <w:widowControl/>
        <w:spacing w:before="120" w:after="120" w:line="360" w:lineRule="auto"/>
        <w:jc w:val="center"/>
        <w:rPr>
          <w:color w:val="000000"/>
          <w:sz w:val="39"/>
          <w:szCs w:val="39"/>
          <w:lang w:val="hu-HU"/>
        </w:rPr>
      </w:pPr>
      <w:r w:rsidRPr="00577413">
        <w:rPr>
          <w:color w:val="000000"/>
          <w:sz w:val="39"/>
          <w:lang w:val="hu-HU"/>
        </w:rPr>
        <w:t xml:space="preserve">MEZŐGAZDASÁGI, </w:t>
      </w:r>
      <w:r w:rsidRPr="00577413">
        <w:rPr>
          <w:color w:val="000000"/>
          <w:sz w:val="39"/>
          <w:lang w:val="hu-HU"/>
        </w:rPr>
        <w:br/>
        <w:t xml:space="preserve">HALÁSZATI, ÉLELMEZÉSÜGYI ÉS KÖRNYEZETVÉDELMI </w:t>
      </w:r>
      <w:r w:rsidRPr="00577413">
        <w:rPr>
          <w:color w:val="000000"/>
          <w:sz w:val="39"/>
          <w:lang w:val="hu-HU"/>
        </w:rPr>
        <w:br/>
        <w:t>MINISZTÉRIUM</w:t>
      </w:r>
    </w:p>
    <w:p w:rsidR="00577413" w:rsidRPr="00F7772F" w:rsidRDefault="00577413" w:rsidP="00577413">
      <w:pPr>
        <w:pStyle w:val="Default"/>
        <w:rPr>
          <w:rFonts w:eastAsia="宋体"/>
          <w:b/>
          <w:color w:val="004378"/>
          <w:sz w:val="20"/>
          <w:lang w:eastAsia="en-GB" w:bidi="en-GB"/>
        </w:rPr>
      </w:pPr>
      <w:r w:rsidRPr="00F7772F">
        <w:rPr>
          <w:rFonts w:eastAsia="宋体"/>
          <w:b/>
          <w:color w:val="004378"/>
          <w:sz w:val="20"/>
          <w:lang w:eastAsia="en-GB" w:bidi="en-GB"/>
        </w:rPr>
        <w:t>122</w:t>
      </w:r>
      <w:r w:rsidR="001C03E2" w:rsidRPr="00F7772F">
        <w:rPr>
          <w:rFonts w:eastAsia="宋体"/>
          <w:b/>
          <w:color w:val="004378"/>
          <w:sz w:val="20"/>
          <w:lang w:eastAsia="en-GB" w:bidi="en-GB"/>
        </w:rPr>
        <w:t>. szám</w:t>
      </w:r>
      <w:r w:rsidRPr="00F7772F">
        <w:rPr>
          <w:rFonts w:eastAsia="宋体"/>
          <w:b/>
          <w:color w:val="004378"/>
          <w:sz w:val="20"/>
          <w:lang w:eastAsia="en-GB" w:bidi="en-GB"/>
        </w:rPr>
        <w:tab/>
        <w:t>2018</w:t>
      </w:r>
      <w:r w:rsidR="001C03E2" w:rsidRPr="00F7772F">
        <w:rPr>
          <w:rFonts w:eastAsia="宋体"/>
          <w:b/>
          <w:color w:val="004378"/>
          <w:sz w:val="20"/>
          <w:lang w:eastAsia="en-GB" w:bidi="en-GB"/>
        </w:rPr>
        <w:t>. május 19.</w:t>
      </w:r>
      <w:r w:rsidR="00D45704" w:rsidRPr="00F7772F">
        <w:rPr>
          <w:rFonts w:eastAsia="宋体"/>
          <w:b/>
          <w:color w:val="004378"/>
          <w:sz w:val="20"/>
          <w:lang w:eastAsia="en-GB" w:bidi="en-GB"/>
        </w:rPr>
        <w:t>,</w:t>
      </w:r>
      <w:r w:rsidR="001C03E2" w:rsidRPr="00F7772F">
        <w:rPr>
          <w:rFonts w:eastAsia="宋体"/>
          <w:b/>
          <w:color w:val="004378"/>
          <w:sz w:val="20"/>
          <w:lang w:eastAsia="en-GB" w:bidi="en-GB"/>
        </w:rPr>
        <w:t xml:space="preserve"> szombat</w:t>
      </w:r>
      <w:r w:rsidR="006E3791" w:rsidRPr="00F7772F">
        <w:rPr>
          <w:rFonts w:eastAsia="宋体"/>
          <w:b/>
          <w:color w:val="004378"/>
          <w:sz w:val="20"/>
          <w:lang w:eastAsia="en-GB" w:bidi="en-GB"/>
        </w:rPr>
        <w:t xml:space="preserve"> </w:t>
      </w:r>
      <w:r w:rsidRPr="00F7772F">
        <w:rPr>
          <w:rFonts w:eastAsia="宋体"/>
          <w:b/>
          <w:color w:val="004378"/>
          <w:sz w:val="20"/>
          <w:lang w:eastAsia="en-GB" w:bidi="en-GB"/>
        </w:rPr>
        <w:t xml:space="preserve"> I.</w:t>
      </w:r>
      <w:r w:rsidR="009D0D93" w:rsidRPr="00F7772F">
        <w:rPr>
          <w:rFonts w:eastAsia="宋体"/>
          <w:b/>
          <w:color w:val="004378"/>
          <w:sz w:val="20"/>
          <w:lang w:eastAsia="en-GB" w:bidi="en-GB"/>
        </w:rPr>
        <w:t xml:space="preserve"> sorozat</w:t>
      </w:r>
      <w:r w:rsidR="006E3791" w:rsidRPr="00F7772F">
        <w:rPr>
          <w:rFonts w:eastAsia="宋体"/>
          <w:b/>
          <w:color w:val="004378"/>
          <w:sz w:val="20"/>
          <w:lang w:eastAsia="en-GB" w:bidi="en-GB"/>
        </w:rPr>
        <w:t xml:space="preserve"> </w:t>
      </w:r>
      <w:r w:rsidRPr="00F7772F">
        <w:rPr>
          <w:rFonts w:eastAsia="宋体"/>
          <w:b/>
          <w:color w:val="004378"/>
          <w:sz w:val="20"/>
          <w:lang w:eastAsia="en-GB" w:bidi="en-GB"/>
        </w:rPr>
        <w:t>52591</w:t>
      </w:r>
      <w:r w:rsidR="001C03E2" w:rsidRPr="00F7772F">
        <w:rPr>
          <w:rFonts w:eastAsia="宋体"/>
          <w:b/>
          <w:color w:val="004378"/>
          <w:sz w:val="20"/>
          <w:lang w:eastAsia="en-GB" w:bidi="en-GB"/>
        </w:rPr>
        <w:t>. oldal</w:t>
      </w:r>
    </w:p>
    <w:p w:rsidR="00577413" w:rsidRDefault="00577413" w:rsidP="00577413">
      <w:pPr>
        <w:pStyle w:val="Default"/>
        <w:spacing w:before="120" w:after="120"/>
        <w:ind w:firstLine="720"/>
        <w:rPr>
          <w:i/>
          <w:iCs/>
          <w:sz w:val="20"/>
          <w:szCs w:val="20"/>
        </w:rPr>
      </w:pPr>
    </w:p>
    <w:p w:rsidR="00097EA7" w:rsidRPr="00F7772F" w:rsidRDefault="001C03E2" w:rsidP="00577413">
      <w:pPr>
        <w:ind w:left="851" w:right="339"/>
        <w:jc w:val="center"/>
        <w:rPr>
          <w:rFonts w:ascii="Arial" w:hAnsi="Arial" w:cs="Arial"/>
          <w:i/>
          <w:color w:val="000000"/>
          <w:szCs w:val="24"/>
          <w:lang w:eastAsia="en-GB" w:bidi="en-GB"/>
        </w:rPr>
      </w:pPr>
      <w:r w:rsidRPr="00F7772F">
        <w:rPr>
          <w:rFonts w:ascii="Arial" w:hAnsi="Arial" w:cs="Arial"/>
          <w:i/>
          <w:color w:val="000000"/>
          <w:szCs w:val="24"/>
          <w:lang w:eastAsia="en-GB" w:bidi="en-GB"/>
        </w:rPr>
        <w:t xml:space="preserve">2018. május 18-i 293/2018. sz. királyi rendelet a műanyag </w:t>
      </w:r>
      <w:proofErr w:type="spellStart"/>
      <w:r w:rsidRPr="00F7772F">
        <w:rPr>
          <w:rFonts w:ascii="Arial" w:hAnsi="Arial" w:cs="Arial"/>
          <w:i/>
          <w:color w:val="000000"/>
          <w:szCs w:val="24"/>
          <w:lang w:eastAsia="en-GB" w:bidi="en-GB"/>
        </w:rPr>
        <w:t>hordtasakok</w:t>
      </w:r>
      <w:proofErr w:type="spellEnd"/>
      <w:r w:rsidRPr="00F7772F">
        <w:rPr>
          <w:rFonts w:ascii="Arial" w:hAnsi="Arial" w:cs="Arial"/>
          <w:i/>
          <w:color w:val="000000"/>
          <w:szCs w:val="24"/>
          <w:lang w:eastAsia="en-GB" w:bidi="en-GB"/>
        </w:rPr>
        <w:t xml:space="preserve"> felhasználásának csökkentéséről és a termékgyártók nyilvántartásának létrehozásáról</w:t>
      </w:r>
    </w:p>
    <w:p w:rsidR="00097EA7" w:rsidRPr="00E6754E" w:rsidRDefault="00097EA7" w:rsidP="00097EA7">
      <w:pPr>
        <w:ind w:left="851" w:right="339"/>
        <w:jc w:val="both"/>
        <w:rPr>
          <w:rFonts w:ascii="Arial" w:hAnsi="Arial" w:cs="Arial"/>
          <w:sz w:val="22"/>
          <w:szCs w:val="22"/>
        </w:rPr>
      </w:pPr>
    </w:p>
    <w:p w:rsidR="00097EA7" w:rsidRPr="00E6754E" w:rsidRDefault="00097EA7" w:rsidP="00097EA7">
      <w:pPr>
        <w:ind w:left="851" w:right="339" w:firstLine="708"/>
        <w:jc w:val="both"/>
        <w:rPr>
          <w:rFonts w:ascii="Arial" w:hAnsi="Arial" w:cs="Arial"/>
          <w:sz w:val="22"/>
          <w:szCs w:val="22"/>
        </w:rPr>
      </w:pPr>
      <w:r>
        <w:rPr>
          <w:rFonts w:ascii="Arial" w:hAnsi="Arial"/>
          <w:sz w:val="22"/>
        </w:rPr>
        <w:t>A csomagolásról és a csomagolási hulladékról szóló 1994. december 20-i 94/62/EK európai parlamenti és tanácsi irányelvet a csomagolások és a csomagolási hulladékok környezetre gyakorolt bármilyen hatásának megakadályozása vagy csökkentése érdekében fogadták el. Ezt az irányelvet a csomagolásról és csomagolási hulladékról szóló, 1997. április 24-i 11/1997 törvény, továbbá a</w:t>
      </w:r>
      <w:r w:rsidR="009D2379">
        <w:rPr>
          <w:rFonts w:ascii="Arial" w:hAnsi="Arial"/>
          <w:sz w:val="22"/>
        </w:rPr>
        <w:t xml:space="preserve"> csomagolásról és csomagolási hulladékról szóló, 1997. április 24-i 11/1997 törvényt</w:t>
      </w:r>
      <w:r>
        <w:rPr>
          <w:rFonts w:ascii="Arial" w:hAnsi="Arial"/>
          <w:sz w:val="22"/>
        </w:rPr>
        <w:t xml:space="preserve"> végrehajt</w:t>
      </w:r>
      <w:r w:rsidR="009D2379">
        <w:rPr>
          <w:rFonts w:ascii="Arial" w:hAnsi="Arial"/>
          <w:sz w:val="22"/>
        </w:rPr>
        <w:t>ó</w:t>
      </w:r>
      <w:r w:rsidR="006D3D26">
        <w:rPr>
          <w:rFonts w:ascii="Arial" w:hAnsi="Arial"/>
          <w:sz w:val="22"/>
        </w:rPr>
        <w:t xml:space="preserve"> rendelet elfogadásáról szóló,</w:t>
      </w:r>
      <w:r>
        <w:rPr>
          <w:rFonts w:ascii="Arial" w:hAnsi="Arial"/>
          <w:sz w:val="22"/>
        </w:rPr>
        <w:t xml:space="preserve"> 1998. április 30-i 782/1998 királyi rendelet ülteti át a spanyol jogrendbe. Jóllehet a műanyag </w:t>
      </w:r>
      <w:proofErr w:type="spellStart"/>
      <w:r>
        <w:rPr>
          <w:rFonts w:ascii="Arial" w:hAnsi="Arial"/>
          <w:sz w:val="22"/>
        </w:rPr>
        <w:t>hordtasakok</w:t>
      </w:r>
      <w:proofErr w:type="spellEnd"/>
      <w:r>
        <w:rPr>
          <w:rFonts w:ascii="Arial" w:hAnsi="Arial"/>
          <w:sz w:val="22"/>
        </w:rPr>
        <w:t xml:space="preserve"> az 1994. december 20-i 94/62/EK európai parlamenti és tanácsi irányelv értelmében csomagolásnak minősülnek, az irányelv eredeti szövege nem tartalmaz konkrét rendelkezéseket az ilyen típusú csomagolások felhasználására vonatkozóan. </w:t>
      </w:r>
    </w:p>
    <w:p w:rsidR="00097EA7" w:rsidRPr="00E6754E" w:rsidRDefault="00097EA7" w:rsidP="00097EA7">
      <w:pPr>
        <w:ind w:left="851" w:right="339" w:firstLine="708"/>
        <w:jc w:val="both"/>
        <w:rPr>
          <w:rFonts w:ascii="Arial" w:hAnsi="Arial" w:cs="Arial"/>
          <w:sz w:val="22"/>
          <w:szCs w:val="22"/>
        </w:rPr>
      </w:pPr>
    </w:p>
    <w:p w:rsidR="00097EA7" w:rsidRPr="00E6754E" w:rsidRDefault="00097EA7" w:rsidP="00097EA7">
      <w:pPr>
        <w:ind w:left="851" w:right="339" w:firstLine="708"/>
        <w:jc w:val="both"/>
        <w:rPr>
          <w:rFonts w:ascii="Arial" w:hAnsi="Arial" w:cs="Arial"/>
          <w:sz w:val="22"/>
          <w:szCs w:val="22"/>
        </w:rPr>
      </w:pPr>
      <w:r>
        <w:rPr>
          <w:rFonts w:ascii="Arial" w:hAnsi="Arial"/>
          <w:sz w:val="22"/>
        </w:rPr>
        <w:t xml:space="preserve">A műanyag </w:t>
      </w:r>
      <w:proofErr w:type="spellStart"/>
      <w:r>
        <w:rPr>
          <w:rFonts w:ascii="Arial" w:hAnsi="Arial"/>
          <w:sz w:val="22"/>
        </w:rPr>
        <w:t>hordtasakok</w:t>
      </w:r>
      <w:proofErr w:type="spellEnd"/>
      <w:r>
        <w:rPr>
          <w:rFonts w:ascii="Arial" w:hAnsi="Arial"/>
          <w:sz w:val="22"/>
        </w:rPr>
        <w:t xml:space="preserve"> jelenlegi felhasználási szintje nagy mennyiségű elszórt hulladékot eredményez, amely az erőforrások nem hatékony felhasználásához vezet, és a megfelelő intézkedések hiányában előreláthatólag a hulladékok mennyiségének növekedését eredményezi.</w:t>
      </w:r>
      <w:r w:rsidR="00881517">
        <w:rPr>
          <w:rFonts w:ascii="Arial" w:hAnsi="Arial"/>
          <w:sz w:val="22"/>
        </w:rPr>
        <w:t xml:space="preserve"> </w:t>
      </w:r>
      <w:r>
        <w:rPr>
          <w:rFonts w:ascii="Arial" w:hAnsi="Arial"/>
          <w:sz w:val="22"/>
        </w:rPr>
        <w:t xml:space="preserve">Az elszórt műanyag </w:t>
      </w:r>
      <w:proofErr w:type="spellStart"/>
      <w:r>
        <w:rPr>
          <w:rFonts w:ascii="Arial" w:hAnsi="Arial"/>
          <w:sz w:val="22"/>
        </w:rPr>
        <w:t>hordtasakok</w:t>
      </w:r>
      <w:proofErr w:type="spellEnd"/>
      <w:r>
        <w:rPr>
          <w:rFonts w:ascii="Arial" w:hAnsi="Arial"/>
          <w:sz w:val="22"/>
        </w:rPr>
        <w:t xml:space="preserve"> szennyezik a környezetet, és súlyosbítják a víztestekben lévő szennyezőanyagokból adódó problémát, ami világszinten fenyegetést jelent a vízi ökoszisztémákra nézve. Az 50 mikronnál vékonyabb falú műanyag </w:t>
      </w:r>
      <w:proofErr w:type="spellStart"/>
      <w:r>
        <w:rPr>
          <w:rFonts w:ascii="Arial" w:hAnsi="Arial"/>
          <w:sz w:val="22"/>
        </w:rPr>
        <w:t>hordtasakokat</w:t>
      </w:r>
      <w:proofErr w:type="spellEnd"/>
      <w:r>
        <w:rPr>
          <w:rFonts w:ascii="Arial" w:hAnsi="Arial"/>
          <w:sz w:val="22"/>
        </w:rPr>
        <w:t xml:space="preserve"> (a továbbiakban: könnyű műanyag </w:t>
      </w:r>
      <w:proofErr w:type="spellStart"/>
      <w:r>
        <w:rPr>
          <w:rFonts w:ascii="Arial" w:hAnsi="Arial"/>
          <w:sz w:val="22"/>
        </w:rPr>
        <w:t>hordtasakok</w:t>
      </w:r>
      <w:proofErr w:type="spellEnd"/>
      <w:r>
        <w:rPr>
          <w:rFonts w:ascii="Arial" w:hAnsi="Arial"/>
          <w:sz w:val="22"/>
        </w:rPr>
        <w:t xml:space="preserve">) – amelyek az Unióban felhasznált összes műanyag </w:t>
      </w:r>
      <w:proofErr w:type="spellStart"/>
      <w:r>
        <w:rPr>
          <w:rFonts w:ascii="Arial" w:hAnsi="Arial"/>
          <w:sz w:val="22"/>
        </w:rPr>
        <w:t>hordtasak</w:t>
      </w:r>
      <w:proofErr w:type="spellEnd"/>
      <w:r>
        <w:rPr>
          <w:rFonts w:ascii="Arial" w:hAnsi="Arial"/>
          <w:sz w:val="22"/>
        </w:rPr>
        <w:t xml:space="preserve"> túlnyomó többségét teszik ki – ritkábban használják újra, mint a vastagabb műanyag </w:t>
      </w:r>
      <w:proofErr w:type="spellStart"/>
      <w:r>
        <w:rPr>
          <w:rFonts w:ascii="Arial" w:hAnsi="Arial"/>
          <w:sz w:val="22"/>
        </w:rPr>
        <w:t>hordtasakokat</w:t>
      </w:r>
      <w:proofErr w:type="spellEnd"/>
      <w:r>
        <w:rPr>
          <w:rFonts w:ascii="Arial" w:hAnsi="Arial"/>
          <w:sz w:val="22"/>
        </w:rPr>
        <w:t xml:space="preserve">. Következésképpen a könnyű műanyag </w:t>
      </w:r>
      <w:proofErr w:type="spellStart"/>
      <w:r>
        <w:rPr>
          <w:rFonts w:ascii="Arial" w:hAnsi="Arial"/>
          <w:sz w:val="22"/>
        </w:rPr>
        <w:t>hordtasakok</w:t>
      </w:r>
      <w:proofErr w:type="spellEnd"/>
      <w:r>
        <w:rPr>
          <w:rFonts w:ascii="Arial" w:hAnsi="Arial"/>
          <w:sz w:val="22"/>
        </w:rPr>
        <w:t xml:space="preserve"> gyorsabban válnak hulladékká, és könnyű súlyuk miatt nagyobb mértékben </w:t>
      </w:r>
      <w:r>
        <w:rPr>
          <w:rFonts w:ascii="Arial" w:hAnsi="Arial"/>
          <w:sz w:val="22"/>
        </w:rPr>
        <w:lastRenderedPageBreak/>
        <w:t xml:space="preserve">járulnak hozzá a szemeteléshez. A könnyű műanyag </w:t>
      </w:r>
      <w:proofErr w:type="spellStart"/>
      <w:r>
        <w:rPr>
          <w:rFonts w:ascii="Arial" w:hAnsi="Arial"/>
          <w:sz w:val="22"/>
        </w:rPr>
        <w:t>hordtasakok</w:t>
      </w:r>
      <w:proofErr w:type="spellEnd"/>
      <w:r>
        <w:rPr>
          <w:rFonts w:ascii="Arial" w:hAnsi="Arial"/>
          <w:sz w:val="22"/>
        </w:rPr>
        <w:t xml:space="preserve"> tényleges újrahasznosítási aránya nagyon alacsony, és az ezzel kapcsolatos gyakorlati és gazdasági nehézségek miatt várhatóan a közel jövőben sem fog jelentős szintet elérni.</w:t>
      </w:r>
    </w:p>
    <w:p w:rsidR="00097EA7" w:rsidRPr="00E6754E" w:rsidRDefault="00097EA7" w:rsidP="00097EA7">
      <w:pPr>
        <w:ind w:left="851" w:right="339"/>
        <w:jc w:val="both"/>
        <w:rPr>
          <w:rFonts w:ascii="Arial" w:hAnsi="Arial" w:cs="Arial"/>
          <w:sz w:val="22"/>
          <w:szCs w:val="22"/>
        </w:rPr>
      </w:pPr>
    </w:p>
    <w:p w:rsidR="00097EA7" w:rsidRPr="00E6754E" w:rsidRDefault="00097EA7" w:rsidP="00097EA7">
      <w:pPr>
        <w:ind w:left="851" w:right="339" w:firstLine="708"/>
        <w:jc w:val="both"/>
        <w:rPr>
          <w:rFonts w:ascii="Arial" w:hAnsi="Arial" w:cs="Arial"/>
          <w:sz w:val="22"/>
          <w:szCs w:val="22"/>
        </w:rPr>
      </w:pPr>
      <w:r>
        <w:rPr>
          <w:rFonts w:ascii="Arial" w:hAnsi="Arial"/>
          <w:sz w:val="22"/>
        </w:rPr>
        <w:t xml:space="preserve">A fenti probléma orvoslására irányulóan az Európai Unió területe vonatkozásában elfogadták a 94/62/EK irányelvnek a könnyű műanyag </w:t>
      </w:r>
      <w:proofErr w:type="spellStart"/>
      <w:r>
        <w:rPr>
          <w:rFonts w:ascii="Arial" w:hAnsi="Arial"/>
          <w:sz w:val="22"/>
        </w:rPr>
        <w:t>hordtasakok</w:t>
      </w:r>
      <w:proofErr w:type="spellEnd"/>
      <w:r>
        <w:rPr>
          <w:rFonts w:ascii="Arial" w:hAnsi="Arial"/>
          <w:sz w:val="22"/>
        </w:rPr>
        <w:t xml:space="preserve"> felhasználásának csökkentése tekintetében történő módosításáról szóló, 2015. április 29-i (EU) 2015/720 európai parlamenti és tanácsi irányelvet. E királyi rendelet célja a 2015. április 29-i (EU) 2015/720 európai parlamenti és tanácsi irányelv spanyol jogrendbe való átültetése.</w:t>
      </w:r>
    </w:p>
    <w:p w:rsidR="00097EA7" w:rsidRPr="00E6754E" w:rsidRDefault="00097EA7" w:rsidP="00097EA7">
      <w:pPr>
        <w:ind w:left="851" w:right="339"/>
        <w:jc w:val="both"/>
        <w:rPr>
          <w:rFonts w:ascii="Arial" w:hAnsi="Arial" w:cs="Arial"/>
          <w:sz w:val="22"/>
          <w:szCs w:val="22"/>
        </w:rPr>
      </w:pPr>
    </w:p>
    <w:p w:rsidR="00097EA7" w:rsidRPr="00E6754E" w:rsidRDefault="00097EA7" w:rsidP="00097EA7">
      <w:pPr>
        <w:ind w:left="851" w:right="339" w:firstLine="708"/>
        <w:jc w:val="both"/>
        <w:rPr>
          <w:rFonts w:ascii="Arial" w:hAnsi="Arial" w:cs="Arial"/>
          <w:sz w:val="22"/>
          <w:szCs w:val="22"/>
        </w:rPr>
      </w:pPr>
      <w:r>
        <w:rPr>
          <w:rFonts w:ascii="Arial" w:hAnsi="Arial"/>
          <w:sz w:val="22"/>
        </w:rPr>
        <w:t xml:space="preserve">Ez a közösségi irányelv előírja, hogy a tagállamoknak intézkedéseket kell hozniuk a könnyű műanyag </w:t>
      </w:r>
      <w:proofErr w:type="spellStart"/>
      <w:r>
        <w:rPr>
          <w:rFonts w:ascii="Arial" w:hAnsi="Arial"/>
          <w:sz w:val="22"/>
        </w:rPr>
        <w:t>hordtasakok</w:t>
      </w:r>
      <w:proofErr w:type="spellEnd"/>
      <w:r>
        <w:rPr>
          <w:rFonts w:ascii="Arial" w:hAnsi="Arial"/>
          <w:sz w:val="22"/>
        </w:rPr>
        <w:t xml:space="preserve"> területeiken való felhasználásának fenntartható módon történő csökkentésére irányulóan. Ennek érdekében számos lehetőséget kínál a tagállamok számára, ideértve – többek között – a csökkentésre vonatkozó nemzeti célkitűzések meghatározását, a gazdasági eszközök bevezetését, továbbá – adott esetben – a forgalmazásra vonatkozó korlátozások bevezetését, a korlátozások arányosságának és </w:t>
      </w:r>
      <w:proofErr w:type="spellStart"/>
      <w:r>
        <w:rPr>
          <w:rFonts w:ascii="Arial" w:hAnsi="Arial"/>
          <w:sz w:val="22"/>
        </w:rPr>
        <w:t>megkülönböztetésmentességének</w:t>
      </w:r>
      <w:proofErr w:type="spellEnd"/>
      <w:r>
        <w:rPr>
          <w:rFonts w:ascii="Arial" w:hAnsi="Arial"/>
          <w:sz w:val="22"/>
        </w:rPr>
        <w:t xml:space="preserve"> tiszteletben tartása mellett. Meghatározza továbbá, hogy az említett intézkedések változóak lehetnek a könnyű műanyag </w:t>
      </w:r>
      <w:proofErr w:type="spellStart"/>
      <w:r>
        <w:rPr>
          <w:rFonts w:ascii="Arial" w:hAnsi="Arial"/>
          <w:sz w:val="22"/>
        </w:rPr>
        <w:t>hordtasakok</w:t>
      </w:r>
      <w:proofErr w:type="spellEnd"/>
      <w:r>
        <w:rPr>
          <w:rFonts w:ascii="Arial" w:hAnsi="Arial"/>
          <w:sz w:val="22"/>
        </w:rPr>
        <w:t xml:space="preserve"> hasznosítása vagy ártalmatlanítása által gyakorolt környezeti hatástól, újrahasznosítási és komposztálási tulajdonságaiktól, tartósságuktól vagy e </w:t>
      </w:r>
      <w:proofErr w:type="spellStart"/>
      <w:r>
        <w:rPr>
          <w:rFonts w:ascii="Arial" w:hAnsi="Arial"/>
          <w:sz w:val="22"/>
        </w:rPr>
        <w:t>hordtasakok</w:t>
      </w:r>
      <w:proofErr w:type="spellEnd"/>
      <w:r>
        <w:rPr>
          <w:rFonts w:ascii="Arial" w:hAnsi="Arial"/>
          <w:sz w:val="22"/>
        </w:rPr>
        <w:t xml:space="preserve"> sajátos rendeltetési céljától függően.</w:t>
      </w:r>
    </w:p>
    <w:p w:rsidR="00097EA7" w:rsidRPr="00E6754E" w:rsidRDefault="00097EA7" w:rsidP="00097EA7">
      <w:pPr>
        <w:ind w:left="851" w:right="339" w:firstLine="708"/>
        <w:jc w:val="both"/>
        <w:rPr>
          <w:rFonts w:ascii="Arial" w:hAnsi="Arial" w:cs="Arial"/>
          <w:sz w:val="22"/>
          <w:szCs w:val="22"/>
        </w:rPr>
      </w:pPr>
    </w:p>
    <w:p w:rsidR="00097EA7" w:rsidRPr="00E6754E" w:rsidRDefault="00097EA7" w:rsidP="009A7344">
      <w:pPr>
        <w:ind w:left="851" w:right="339" w:firstLine="708"/>
        <w:jc w:val="both"/>
        <w:rPr>
          <w:rFonts w:ascii="Arial" w:hAnsi="Arial" w:cs="Arial"/>
          <w:sz w:val="22"/>
          <w:szCs w:val="22"/>
        </w:rPr>
      </w:pPr>
      <w:r>
        <w:rPr>
          <w:rFonts w:ascii="Arial" w:hAnsi="Arial"/>
          <w:sz w:val="22"/>
        </w:rPr>
        <w:t xml:space="preserve">A tagállamok által hozott intézkedéseknek ki kell terjedniük a következők közül az egyikre vagy mindkettőre: a) olyan intézkedések elfogadása, amelyek biztosítják, hogy 2019. december 31-ig az egy főre jutó éves felhasználási szint ne haladja meg a 90 könnyű műanyag </w:t>
      </w:r>
      <w:proofErr w:type="spellStart"/>
      <w:r>
        <w:rPr>
          <w:rFonts w:ascii="Arial" w:hAnsi="Arial"/>
          <w:sz w:val="22"/>
        </w:rPr>
        <w:t>hordtasakot</w:t>
      </w:r>
      <w:proofErr w:type="spellEnd"/>
      <w:r>
        <w:rPr>
          <w:rFonts w:ascii="Arial" w:hAnsi="Arial"/>
          <w:sz w:val="22"/>
        </w:rPr>
        <w:t xml:space="preserve">, és 2025. december 31-ig a 40 könnyű műanyag </w:t>
      </w:r>
      <w:proofErr w:type="spellStart"/>
      <w:r>
        <w:rPr>
          <w:rFonts w:ascii="Arial" w:hAnsi="Arial"/>
          <w:sz w:val="22"/>
        </w:rPr>
        <w:t>hordtasakot</w:t>
      </w:r>
      <w:proofErr w:type="spellEnd"/>
      <w:r>
        <w:rPr>
          <w:rFonts w:ascii="Arial" w:hAnsi="Arial"/>
          <w:sz w:val="22"/>
        </w:rPr>
        <w:t xml:space="preserve">, vagy az ezekkel egyenértékű, súlyban meghatározott célértéket; b) olyan intézkedések elfogadása, amelyekkel biztosítható, hogy 2018. december 31-ig az áruk vagy termékek értékesítési pontjain könnyű műanyag </w:t>
      </w:r>
      <w:proofErr w:type="spellStart"/>
      <w:r>
        <w:rPr>
          <w:rFonts w:ascii="Arial" w:hAnsi="Arial"/>
          <w:sz w:val="22"/>
        </w:rPr>
        <w:t>hordtasakokat</w:t>
      </w:r>
      <w:proofErr w:type="spellEnd"/>
      <w:r>
        <w:rPr>
          <w:rFonts w:ascii="Arial" w:hAnsi="Arial"/>
          <w:sz w:val="22"/>
        </w:rPr>
        <w:t xml:space="preserve"> ne bocsássanak díjmentesen rendelkezésre, kivéve, ha ezzel azonos hatékonyságú eszközöket alkalmaznak. A tagállamok dönthetnek úgy, hogy mentesítik a 15 mikronnál kisebb falvastagságú műanyag </w:t>
      </w:r>
      <w:proofErr w:type="spellStart"/>
      <w:r>
        <w:rPr>
          <w:rFonts w:ascii="Arial" w:hAnsi="Arial"/>
          <w:sz w:val="22"/>
        </w:rPr>
        <w:t>hordtasakokat</w:t>
      </w:r>
      <w:proofErr w:type="spellEnd"/>
      <w:r>
        <w:rPr>
          <w:rFonts w:ascii="Arial" w:hAnsi="Arial"/>
          <w:sz w:val="22"/>
        </w:rPr>
        <w:t xml:space="preserve">, amennyiben azok használata higiéniai célokból szükséges vagy segít megelőzni az élelmiszer pazarlását. Az irányelv előírja továbbá, hogy 2018. május 27-től kezdődően a tagállamok, amikor az érvényes jogszabályoknak megfelelően a csomagolásra és a csomagolási hulladékokra vonatkozóan adatot szolgáltatnak a Bizottságnak, beszámolnak a könnyű műanyag </w:t>
      </w:r>
      <w:proofErr w:type="spellStart"/>
      <w:r>
        <w:rPr>
          <w:rFonts w:ascii="Arial" w:hAnsi="Arial"/>
          <w:sz w:val="22"/>
        </w:rPr>
        <w:t>hordtasakok</w:t>
      </w:r>
      <w:proofErr w:type="spellEnd"/>
      <w:r>
        <w:rPr>
          <w:rFonts w:ascii="Arial" w:hAnsi="Arial"/>
          <w:sz w:val="22"/>
        </w:rPr>
        <w:t xml:space="preserve"> éves felhasználásáról is. A többi – 50 mikron vagy annál nagyobb falvastagságú – műanyag </w:t>
      </w:r>
      <w:proofErr w:type="spellStart"/>
      <w:r>
        <w:rPr>
          <w:rFonts w:ascii="Arial" w:hAnsi="Arial"/>
          <w:sz w:val="22"/>
        </w:rPr>
        <w:t>hordtasak</w:t>
      </w:r>
      <w:proofErr w:type="spellEnd"/>
      <w:r>
        <w:rPr>
          <w:rFonts w:ascii="Arial" w:hAnsi="Arial"/>
          <w:sz w:val="22"/>
        </w:rPr>
        <w:t xml:space="preserve"> vonatkozásában az irányelv előírja, hogy a tagállamok intézkedéseket – így gazdasági eszközöket, továbbá csökkentésre vonatkozó nemzeti célkitűzéseket határozhatnak meg. Az irányelv másrészről különös jelentőséget tulajdonít a könnyű műanyag </w:t>
      </w:r>
      <w:proofErr w:type="spellStart"/>
      <w:r>
        <w:rPr>
          <w:rFonts w:ascii="Arial" w:hAnsi="Arial"/>
          <w:sz w:val="22"/>
        </w:rPr>
        <w:t>hordtasakok</w:t>
      </w:r>
      <w:proofErr w:type="spellEnd"/>
      <w:r>
        <w:rPr>
          <w:rFonts w:ascii="Arial" w:hAnsi="Arial"/>
          <w:sz w:val="22"/>
        </w:rPr>
        <w:t xml:space="preserve"> túlzott mértékű felhasználásának káros környezeti hatásaira vonatkozó nyilvános tájékoztató és ismeretterjesztő kampányoknak, amelyek végrehajtása a tagállamok feladata. </w:t>
      </w:r>
    </w:p>
    <w:p w:rsidR="00097EA7" w:rsidRPr="00E6754E" w:rsidRDefault="00097EA7" w:rsidP="00097EA7">
      <w:pPr>
        <w:ind w:left="851" w:right="339"/>
        <w:jc w:val="both"/>
        <w:rPr>
          <w:rFonts w:ascii="Arial" w:hAnsi="Arial" w:cs="Arial"/>
          <w:sz w:val="22"/>
          <w:szCs w:val="22"/>
        </w:rPr>
      </w:pPr>
    </w:p>
    <w:p w:rsidR="00097EA7" w:rsidRPr="00E6754E" w:rsidRDefault="00097EA7" w:rsidP="00097EA7">
      <w:pPr>
        <w:keepNext/>
        <w:keepLines/>
        <w:ind w:left="851" w:right="339"/>
        <w:jc w:val="center"/>
        <w:rPr>
          <w:rFonts w:ascii="Arial" w:hAnsi="Arial" w:cs="Arial"/>
          <w:sz w:val="22"/>
          <w:szCs w:val="22"/>
        </w:rPr>
      </w:pPr>
      <w:r>
        <w:rPr>
          <w:rFonts w:ascii="Arial" w:hAnsi="Arial"/>
          <w:sz w:val="22"/>
        </w:rPr>
        <w:t>II.</w:t>
      </w:r>
    </w:p>
    <w:p w:rsidR="00097EA7" w:rsidRPr="00E6754E" w:rsidRDefault="00097EA7" w:rsidP="00097EA7">
      <w:pPr>
        <w:keepNext/>
        <w:keepLines/>
        <w:ind w:left="851" w:right="339"/>
        <w:jc w:val="both"/>
        <w:rPr>
          <w:rFonts w:ascii="Arial" w:hAnsi="Arial" w:cs="Arial"/>
          <w:sz w:val="22"/>
          <w:szCs w:val="22"/>
        </w:rPr>
      </w:pPr>
    </w:p>
    <w:p w:rsidR="00097EA7" w:rsidRPr="00E6754E" w:rsidRDefault="00097EA7" w:rsidP="00097EA7">
      <w:pPr>
        <w:ind w:left="851" w:right="339" w:firstLine="708"/>
        <w:jc w:val="both"/>
        <w:rPr>
          <w:rFonts w:ascii="Arial" w:hAnsi="Arial" w:cs="Arial"/>
          <w:sz w:val="22"/>
          <w:szCs w:val="22"/>
        </w:rPr>
      </w:pPr>
      <w:r>
        <w:rPr>
          <w:rFonts w:ascii="Arial" w:hAnsi="Arial"/>
          <w:sz w:val="22"/>
        </w:rPr>
        <w:t xml:space="preserve">A </w:t>
      </w:r>
      <w:proofErr w:type="spellStart"/>
      <w:r w:rsidR="00B6178C">
        <w:rPr>
          <w:rFonts w:ascii="Arial" w:hAnsi="Arial"/>
          <w:sz w:val="22"/>
        </w:rPr>
        <w:t>műanyag</w:t>
      </w:r>
      <w:r>
        <w:rPr>
          <w:rFonts w:ascii="Arial" w:hAnsi="Arial"/>
          <w:sz w:val="22"/>
        </w:rPr>
        <w:t>hordtasak-felhasználás</w:t>
      </w:r>
      <w:proofErr w:type="spellEnd"/>
      <w:r>
        <w:rPr>
          <w:rFonts w:ascii="Arial" w:hAnsi="Arial"/>
          <w:sz w:val="22"/>
        </w:rPr>
        <w:t xml:space="preserve"> vonatkozásában a 2008–2015</w:t>
      </w:r>
      <w:r w:rsidR="00B6178C">
        <w:rPr>
          <w:rFonts w:ascii="Arial" w:hAnsi="Arial"/>
          <w:sz w:val="22"/>
        </w:rPr>
        <w:t xml:space="preserve"> közötti időszakra vonatkozó</w:t>
      </w:r>
      <w:r>
        <w:rPr>
          <w:rFonts w:ascii="Arial" w:hAnsi="Arial"/>
          <w:sz w:val="22"/>
        </w:rPr>
        <w:t xml:space="preserve"> integrált nemzeti hulladékgazdálkodási terv számos intézkedést írt elő az egyszer használatos </w:t>
      </w:r>
      <w:proofErr w:type="spellStart"/>
      <w:r>
        <w:rPr>
          <w:rFonts w:ascii="Arial" w:hAnsi="Arial"/>
          <w:sz w:val="22"/>
        </w:rPr>
        <w:t>hordtasakok</w:t>
      </w:r>
      <w:proofErr w:type="spellEnd"/>
      <w:r>
        <w:rPr>
          <w:rFonts w:ascii="Arial" w:hAnsi="Arial"/>
          <w:sz w:val="22"/>
        </w:rPr>
        <w:t xml:space="preserve"> fokozatos felváltására irányulóan. A szóban forgó intézkedések között kiemelendő az egyszer használatos </w:t>
      </w:r>
      <w:proofErr w:type="spellStart"/>
      <w:r>
        <w:rPr>
          <w:rFonts w:ascii="Arial" w:hAnsi="Arial"/>
          <w:sz w:val="22"/>
        </w:rPr>
        <w:t>hordtasakok</w:t>
      </w:r>
      <w:proofErr w:type="spellEnd"/>
      <w:r>
        <w:rPr>
          <w:rFonts w:ascii="Arial" w:hAnsi="Arial"/>
          <w:sz w:val="22"/>
        </w:rPr>
        <w:t xml:space="preserve"> felhasználásának 50%-kal való csökkentése 2010-ig, a biológiailag nem lebomló műanyagok felváltására vonatkozó menetrend meghatározása, illetve az értékesítési ágazatokkal kötött szerződések kialakítása az egyszer használatos </w:t>
      </w:r>
      <w:proofErr w:type="spellStart"/>
      <w:r>
        <w:rPr>
          <w:rFonts w:ascii="Arial" w:hAnsi="Arial"/>
          <w:sz w:val="22"/>
        </w:rPr>
        <w:t>hordtasakokból</w:t>
      </w:r>
      <w:proofErr w:type="spellEnd"/>
      <w:r>
        <w:rPr>
          <w:rFonts w:ascii="Arial" w:hAnsi="Arial"/>
          <w:sz w:val="22"/>
        </w:rPr>
        <w:t xml:space="preserve"> származó hulladékok csökkentésére, az újrahasznosítható </w:t>
      </w:r>
      <w:proofErr w:type="spellStart"/>
      <w:r>
        <w:rPr>
          <w:rFonts w:ascii="Arial" w:hAnsi="Arial"/>
          <w:sz w:val="22"/>
        </w:rPr>
        <w:t>hordtasakok</w:t>
      </w:r>
      <w:proofErr w:type="spellEnd"/>
      <w:r>
        <w:rPr>
          <w:rFonts w:ascii="Arial" w:hAnsi="Arial"/>
          <w:sz w:val="22"/>
        </w:rPr>
        <w:t xml:space="preserve"> üzletekben és bevásárlóközpontokban történő használatának előmozdítására és az egyszer használatos műanyag </w:t>
      </w:r>
      <w:proofErr w:type="spellStart"/>
      <w:r>
        <w:rPr>
          <w:rFonts w:ascii="Arial" w:hAnsi="Arial"/>
          <w:sz w:val="22"/>
        </w:rPr>
        <w:t>hordtasakoknak</w:t>
      </w:r>
      <w:proofErr w:type="spellEnd"/>
      <w:r>
        <w:rPr>
          <w:rFonts w:ascii="Arial" w:hAnsi="Arial"/>
          <w:sz w:val="22"/>
        </w:rPr>
        <w:t xml:space="preserve"> a biológiailag lebomló </w:t>
      </w:r>
      <w:proofErr w:type="spellStart"/>
      <w:r>
        <w:rPr>
          <w:rFonts w:ascii="Arial" w:hAnsi="Arial"/>
          <w:sz w:val="22"/>
        </w:rPr>
        <w:t>hordtasakokkal</w:t>
      </w:r>
      <w:proofErr w:type="spellEnd"/>
      <w:r>
        <w:rPr>
          <w:rFonts w:ascii="Arial" w:hAnsi="Arial"/>
          <w:sz w:val="22"/>
        </w:rPr>
        <w:t xml:space="preserve"> való felváltására irányulóan. Kiemelendő, hogy a biológiailag lebomló anyagok alatt a 2015. április 29-i (EU) 2015/720 európai parlamenti és tanácsi irányelvben meghatározottak szerinti komposztálható anyagok értendők.</w:t>
      </w:r>
    </w:p>
    <w:p w:rsidR="00097EA7" w:rsidRPr="00E6754E" w:rsidRDefault="00097EA7" w:rsidP="00097EA7">
      <w:pPr>
        <w:ind w:left="851" w:right="339" w:firstLine="708"/>
        <w:jc w:val="both"/>
        <w:rPr>
          <w:rFonts w:ascii="Arial" w:hAnsi="Arial" w:cs="Arial"/>
          <w:sz w:val="22"/>
          <w:szCs w:val="22"/>
        </w:rPr>
      </w:pPr>
    </w:p>
    <w:p w:rsidR="00097EA7" w:rsidRDefault="00097EA7" w:rsidP="00097EA7">
      <w:pPr>
        <w:ind w:left="851" w:right="339" w:firstLine="708"/>
        <w:jc w:val="both"/>
        <w:rPr>
          <w:rFonts w:ascii="Arial" w:hAnsi="Arial"/>
          <w:sz w:val="22"/>
        </w:rPr>
      </w:pPr>
      <w:r>
        <w:rPr>
          <w:rFonts w:ascii="Arial" w:hAnsi="Arial"/>
          <w:sz w:val="22"/>
        </w:rPr>
        <w:t>A hulladékokról és szennyezett talajokról szóló, 2011. július 28-i 22/2011 törvény második kiegészítő rendelkezése arra kötelez</w:t>
      </w:r>
      <w:r w:rsidR="00B6178C">
        <w:rPr>
          <w:rFonts w:ascii="Arial" w:hAnsi="Arial"/>
          <w:sz w:val="22"/>
        </w:rPr>
        <w:t>i</w:t>
      </w:r>
      <w:r>
        <w:rPr>
          <w:rFonts w:ascii="Arial" w:hAnsi="Arial"/>
          <w:sz w:val="22"/>
        </w:rPr>
        <w:t xml:space="preserve"> a közigazgatási hatóságokat, hogy hozzák meg a szükséges intézkedéseket az egyszer használatos, biológiailag nem lebomló bevásárlótáskákból és azok alternatíváiból származó hulladékok keletkezésének megelőzésére, csökkentésére és kezelésére szolgáló, fenntarthatóbb rendszerek előmozdítására irányulóan, ideértve a kormány – közbeszerzéseken keresztül – fogyasztóként betöltött szerepével kapcsolatos intézkedéseket.</w:t>
      </w:r>
    </w:p>
    <w:p w:rsidR="00FD4FB3" w:rsidRDefault="00FD4FB3" w:rsidP="00097EA7">
      <w:pPr>
        <w:ind w:left="851" w:right="339" w:firstLine="708"/>
        <w:jc w:val="both"/>
        <w:rPr>
          <w:rFonts w:ascii="Arial" w:hAnsi="Arial"/>
          <w:sz w:val="22"/>
        </w:rPr>
      </w:pPr>
    </w:p>
    <w:p w:rsidR="00FD4FB3" w:rsidRPr="00E6754E" w:rsidRDefault="00FD4FB3" w:rsidP="00097EA7">
      <w:pPr>
        <w:ind w:left="851" w:right="339" w:firstLine="708"/>
        <w:jc w:val="both"/>
        <w:rPr>
          <w:rFonts w:ascii="Arial" w:hAnsi="Arial" w:cs="Arial"/>
          <w:sz w:val="22"/>
          <w:szCs w:val="22"/>
        </w:rPr>
      </w:pPr>
      <w:r>
        <w:rPr>
          <w:rFonts w:ascii="Arial" w:hAnsi="Arial" w:cs="Arial"/>
          <w:sz w:val="22"/>
          <w:szCs w:val="22"/>
        </w:rPr>
        <w:t>Ebből következően a 2013. december 13-i minisztertanácsi határozat által elfogadott, a 2014–2020 közötti időszakra vonatkozó Nemzeti Hulladék</w:t>
      </w:r>
      <w:r w:rsidR="004D7E25">
        <w:rPr>
          <w:rFonts w:ascii="Arial" w:hAnsi="Arial" w:cs="Arial"/>
          <w:sz w:val="22"/>
          <w:szCs w:val="22"/>
        </w:rPr>
        <w:t>keletkezés-</w:t>
      </w:r>
      <w:r>
        <w:rPr>
          <w:rFonts w:ascii="Arial" w:hAnsi="Arial" w:cs="Arial"/>
          <w:sz w:val="22"/>
          <w:szCs w:val="22"/>
        </w:rPr>
        <w:t xml:space="preserve">megelőzési Program </w:t>
      </w:r>
      <w:r w:rsidR="004D7E25">
        <w:rPr>
          <w:rFonts w:ascii="Arial" w:hAnsi="Arial" w:cs="Arial"/>
          <w:sz w:val="22"/>
          <w:szCs w:val="22"/>
        </w:rPr>
        <w:t xml:space="preserve">foglalkozik a csomagolás kiemelt területével, hangsúlyozva a műanyag </w:t>
      </w:r>
      <w:proofErr w:type="spellStart"/>
      <w:r w:rsidR="004D7E25">
        <w:rPr>
          <w:rFonts w:ascii="Arial" w:hAnsi="Arial" w:cs="Arial"/>
          <w:sz w:val="22"/>
          <w:szCs w:val="22"/>
        </w:rPr>
        <w:t>hordtasakok</w:t>
      </w:r>
      <w:proofErr w:type="spellEnd"/>
      <w:r w:rsidR="004D7E25">
        <w:rPr>
          <w:rFonts w:ascii="Arial" w:hAnsi="Arial" w:cs="Arial"/>
          <w:sz w:val="22"/>
          <w:szCs w:val="22"/>
        </w:rPr>
        <w:t xml:space="preserve"> használatának csökkentésére irányuló egyedi intézkedéseket. Hasonlóképpen, a 2015. november 6-i minisztertanácsi határozat által elfogadott</w:t>
      </w:r>
      <w:r w:rsidR="007B56D6">
        <w:rPr>
          <w:rFonts w:ascii="Arial" w:hAnsi="Arial" w:cs="Arial"/>
          <w:sz w:val="22"/>
          <w:szCs w:val="22"/>
        </w:rPr>
        <w:t xml:space="preserve">, a 2016–2022 közötti időszakra vonatkozó Nemzeti Hulladékkezelési </w:t>
      </w:r>
      <w:r w:rsidR="00767192">
        <w:rPr>
          <w:rFonts w:ascii="Arial" w:hAnsi="Arial" w:cs="Arial"/>
          <w:sz w:val="22"/>
          <w:szCs w:val="22"/>
        </w:rPr>
        <w:t xml:space="preserve">Keretrendszer is tartalmaz a műanyag </w:t>
      </w:r>
      <w:proofErr w:type="spellStart"/>
      <w:r w:rsidR="00767192">
        <w:rPr>
          <w:rFonts w:ascii="Arial" w:hAnsi="Arial" w:cs="Arial"/>
          <w:sz w:val="22"/>
          <w:szCs w:val="22"/>
        </w:rPr>
        <w:t>hordtasakokra</w:t>
      </w:r>
      <w:proofErr w:type="spellEnd"/>
      <w:r w:rsidR="00767192">
        <w:rPr>
          <w:rFonts w:ascii="Arial" w:hAnsi="Arial" w:cs="Arial"/>
          <w:sz w:val="22"/>
          <w:szCs w:val="22"/>
        </w:rPr>
        <w:t xml:space="preserve"> vonatkozó információkat és célértékeket a csomagolásról és csomagolási hulladékról szóló fejezetében.</w:t>
      </w:r>
    </w:p>
    <w:p w:rsidR="00097EA7" w:rsidRPr="00E6754E" w:rsidRDefault="00097EA7" w:rsidP="00097EA7">
      <w:pPr>
        <w:ind w:left="851" w:right="339"/>
        <w:jc w:val="both"/>
        <w:rPr>
          <w:rFonts w:ascii="Arial" w:hAnsi="Arial" w:cs="Arial"/>
          <w:sz w:val="22"/>
          <w:szCs w:val="22"/>
        </w:rPr>
      </w:pPr>
    </w:p>
    <w:p w:rsidR="00097EA7" w:rsidRPr="00E6754E" w:rsidRDefault="00FD4FB3" w:rsidP="00097EA7">
      <w:pPr>
        <w:ind w:left="851" w:right="339" w:firstLine="708"/>
        <w:jc w:val="both"/>
        <w:rPr>
          <w:rFonts w:ascii="Arial" w:hAnsi="Arial" w:cs="Arial"/>
          <w:sz w:val="22"/>
          <w:szCs w:val="22"/>
        </w:rPr>
      </w:pPr>
      <w:r>
        <w:rPr>
          <w:rFonts w:ascii="Arial" w:hAnsi="Arial"/>
          <w:sz w:val="22"/>
        </w:rPr>
        <w:t>Végső soron, mivel a</w:t>
      </w:r>
      <w:r w:rsidR="00767192">
        <w:rPr>
          <w:rFonts w:ascii="Arial" w:hAnsi="Arial"/>
          <w:sz w:val="22"/>
        </w:rPr>
        <w:t xml:space="preserve"> 2008–2015 közötti időszakra vonatkozó</w:t>
      </w:r>
      <w:r w:rsidR="006D3D26">
        <w:rPr>
          <w:rFonts w:ascii="Arial" w:hAnsi="Arial"/>
          <w:sz w:val="22"/>
        </w:rPr>
        <w:t xml:space="preserve"> </w:t>
      </w:r>
      <w:r w:rsidR="00097EA7">
        <w:rPr>
          <w:rFonts w:ascii="Arial" w:hAnsi="Arial"/>
          <w:sz w:val="22"/>
        </w:rPr>
        <w:t>integrált nemzeti hulladékgazdálkodási terv</w:t>
      </w:r>
      <w:r w:rsidR="00767192">
        <w:rPr>
          <w:rFonts w:ascii="Arial" w:hAnsi="Arial"/>
          <w:sz w:val="22"/>
        </w:rPr>
        <w:t>,</w:t>
      </w:r>
      <w:r w:rsidR="00097EA7">
        <w:rPr>
          <w:rFonts w:ascii="Arial" w:hAnsi="Arial"/>
          <w:sz w:val="22"/>
        </w:rPr>
        <w:t xml:space="preserve"> a 2011. július 28-i 22/2011 törvény</w:t>
      </w:r>
      <w:r w:rsidR="00767192">
        <w:rPr>
          <w:rFonts w:ascii="Arial" w:hAnsi="Arial"/>
          <w:sz w:val="22"/>
        </w:rPr>
        <w:t>, és az ezt követő, a hulladékgazdálkodási ágazatra irányuló programozási és tervezési eszközök</w:t>
      </w:r>
      <w:r w:rsidR="00097EA7">
        <w:rPr>
          <w:rFonts w:ascii="Arial" w:hAnsi="Arial"/>
          <w:sz w:val="22"/>
        </w:rPr>
        <w:t xml:space="preserve"> elfogadása és bevezetése óta a közigazgatási hatóságok és az értékesítési ágazat szereplői számos intézkedést hoztak az ilyen típusú csomagolóanyagok csökkentésére irányulóan, ideértve többek között az értékesítőkkel kötött önkéntes megállapodásokat, a szemléletformáló kampányokat, az adók bevezetését, a tartós </w:t>
      </w:r>
      <w:proofErr w:type="spellStart"/>
      <w:r w:rsidR="00097EA7">
        <w:rPr>
          <w:rFonts w:ascii="Arial" w:hAnsi="Arial"/>
          <w:sz w:val="22"/>
        </w:rPr>
        <w:t>hordtasakok</w:t>
      </w:r>
      <w:proofErr w:type="spellEnd"/>
      <w:r w:rsidR="00097EA7">
        <w:rPr>
          <w:rFonts w:ascii="Arial" w:hAnsi="Arial"/>
          <w:sz w:val="22"/>
        </w:rPr>
        <w:t xml:space="preserve"> használatának előmozdítását, az árak rögzítését</w:t>
      </w:r>
      <w:r w:rsidR="00BC29BD">
        <w:rPr>
          <w:rFonts w:ascii="Arial" w:hAnsi="Arial"/>
          <w:sz w:val="22"/>
        </w:rPr>
        <w:t xml:space="preserve"> stb.</w:t>
      </w:r>
      <w:r w:rsidR="00097EA7">
        <w:rPr>
          <w:rFonts w:ascii="Arial" w:hAnsi="Arial"/>
          <w:sz w:val="22"/>
        </w:rPr>
        <w:t xml:space="preserve">. Ezen intézkedések következményeként és az ágazat adatai szerint ezen évek alatt gyakorlatilag a felére csökkent a felhasznált mennyiség: a 2007-ben jellemző lakosonként 317 </w:t>
      </w:r>
      <w:proofErr w:type="spellStart"/>
      <w:r w:rsidR="00097EA7">
        <w:rPr>
          <w:rFonts w:ascii="Arial" w:hAnsi="Arial"/>
          <w:sz w:val="22"/>
        </w:rPr>
        <w:t>hordtasakról</w:t>
      </w:r>
      <w:proofErr w:type="spellEnd"/>
      <w:r w:rsidR="00097EA7">
        <w:rPr>
          <w:rFonts w:ascii="Arial" w:hAnsi="Arial"/>
          <w:sz w:val="22"/>
        </w:rPr>
        <w:t xml:space="preserve"> – főként a csomagolóanyag-felhasználás szabályainak módosítása következtében – 2014-re lakosonként 144 </w:t>
      </w:r>
      <w:proofErr w:type="spellStart"/>
      <w:r w:rsidR="00097EA7">
        <w:rPr>
          <w:rFonts w:ascii="Arial" w:hAnsi="Arial"/>
          <w:sz w:val="22"/>
        </w:rPr>
        <w:t>hordtasakra</w:t>
      </w:r>
      <w:proofErr w:type="spellEnd"/>
      <w:r w:rsidR="00097EA7">
        <w:rPr>
          <w:rFonts w:ascii="Arial" w:hAnsi="Arial"/>
          <w:sz w:val="22"/>
        </w:rPr>
        <w:t xml:space="preserve"> csökkent.</w:t>
      </w:r>
    </w:p>
    <w:p w:rsidR="00097EA7" w:rsidRPr="00E6754E" w:rsidRDefault="00097EA7" w:rsidP="00097EA7">
      <w:pPr>
        <w:ind w:left="851" w:right="339"/>
        <w:jc w:val="both"/>
        <w:rPr>
          <w:rFonts w:ascii="Arial" w:hAnsi="Arial" w:cs="Arial"/>
          <w:sz w:val="22"/>
          <w:szCs w:val="22"/>
        </w:rPr>
      </w:pPr>
    </w:p>
    <w:p w:rsidR="00097EA7" w:rsidRPr="00E6754E" w:rsidRDefault="00097EA7" w:rsidP="00097EA7">
      <w:pPr>
        <w:ind w:left="851" w:right="339" w:firstLine="708"/>
        <w:jc w:val="both"/>
        <w:rPr>
          <w:rFonts w:ascii="Arial" w:hAnsi="Arial" w:cs="Arial"/>
          <w:sz w:val="22"/>
          <w:szCs w:val="22"/>
        </w:rPr>
      </w:pPr>
      <w:r>
        <w:rPr>
          <w:rFonts w:ascii="Arial" w:hAnsi="Arial"/>
          <w:sz w:val="22"/>
        </w:rPr>
        <w:t xml:space="preserve">Az ágazat által szolgáltatott adatok szerint Spanyolországában 2014-ben 62 560 tonna (6730 millió egység) 50 mikronnál vékonyabb falú műanyag </w:t>
      </w:r>
      <w:proofErr w:type="spellStart"/>
      <w:r>
        <w:rPr>
          <w:rFonts w:ascii="Arial" w:hAnsi="Arial"/>
          <w:sz w:val="22"/>
        </w:rPr>
        <w:t>hordtasak</w:t>
      </w:r>
      <w:proofErr w:type="spellEnd"/>
      <w:r>
        <w:rPr>
          <w:rFonts w:ascii="Arial" w:hAnsi="Arial"/>
          <w:sz w:val="22"/>
        </w:rPr>
        <w:t xml:space="preserve"> került a piacra, amelynek 23%-a 15 mikronnál vékonyabb falú </w:t>
      </w:r>
      <w:proofErr w:type="spellStart"/>
      <w:r>
        <w:rPr>
          <w:rFonts w:ascii="Arial" w:hAnsi="Arial"/>
          <w:sz w:val="22"/>
        </w:rPr>
        <w:t>hordtasak</w:t>
      </w:r>
      <w:proofErr w:type="spellEnd"/>
      <w:r>
        <w:rPr>
          <w:rFonts w:ascii="Arial" w:hAnsi="Arial"/>
          <w:sz w:val="22"/>
        </w:rPr>
        <w:t xml:space="preserve">, és amelyből 4670 tonna (158 millió egység) 50 mikronnál vastagabb műanyag </w:t>
      </w:r>
      <w:proofErr w:type="spellStart"/>
      <w:r>
        <w:rPr>
          <w:rFonts w:ascii="Arial" w:hAnsi="Arial"/>
          <w:sz w:val="22"/>
        </w:rPr>
        <w:t>hordtasak</w:t>
      </w:r>
      <w:proofErr w:type="spellEnd"/>
      <w:r>
        <w:rPr>
          <w:rFonts w:ascii="Arial" w:hAnsi="Arial"/>
          <w:sz w:val="22"/>
        </w:rPr>
        <w:t xml:space="preserve">. </w:t>
      </w:r>
      <w:r w:rsidR="006C7AA0">
        <w:rPr>
          <w:rFonts w:ascii="Arial" w:hAnsi="Arial"/>
          <w:sz w:val="22"/>
        </w:rPr>
        <w:t xml:space="preserve">Ezért szükséges tovább ösztönözni a műanyag </w:t>
      </w:r>
      <w:proofErr w:type="spellStart"/>
      <w:r w:rsidR="006C7AA0">
        <w:rPr>
          <w:rFonts w:ascii="Arial" w:hAnsi="Arial"/>
          <w:sz w:val="22"/>
        </w:rPr>
        <w:t>hordtasakok</w:t>
      </w:r>
      <w:proofErr w:type="spellEnd"/>
      <w:r w:rsidR="006C7AA0">
        <w:rPr>
          <w:rFonts w:ascii="Arial" w:hAnsi="Arial"/>
          <w:sz w:val="22"/>
        </w:rPr>
        <w:t xml:space="preserve"> felhasználásával összefüggő szokások megváltoztatását, különös tekintettel az olyan ágazatokra, mint a kisvállalkozások; továbbá a spanyol jogi keretrendszert a műanyag </w:t>
      </w:r>
      <w:proofErr w:type="spellStart"/>
      <w:r w:rsidR="006C7AA0">
        <w:rPr>
          <w:rFonts w:ascii="Arial" w:hAnsi="Arial"/>
          <w:sz w:val="22"/>
        </w:rPr>
        <w:t>hordtasakok</w:t>
      </w:r>
      <w:proofErr w:type="spellEnd"/>
      <w:r w:rsidR="006C7AA0">
        <w:rPr>
          <w:rFonts w:ascii="Arial" w:hAnsi="Arial"/>
          <w:sz w:val="22"/>
        </w:rPr>
        <w:t xml:space="preserve"> használatáról szóló új európai irányelvhez kell igazítani.</w:t>
      </w:r>
    </w:p>
    <w:p w:rsidR="00097EA7" w:rsidRPr="00E6754E" w:rsidRDefault="00097EA7" w:rsidP="00097EA7">
      <w:pPr>
        <w:ind w:left="851" w:right="339" w:firstLine="708"/>
        <w:jc w:val="both"/>
        <w:rPr>
          <w:rFonts w:ascii="Arial" w:hAnsi="Arial" w:cs="Arial"/>
          <w:sz w:val="22"/>
          <w:szCs w:val="22"/>
        </w:rPr>
      </w:pPr>
    </w:p>
    <w:p w:rsidR="00097EA7" w:rsidRPr="00E6754E" w:rsidRDefault="00097EA7" w:rsidP="00097EA7">
      <w:pPr>
        <w:keepNext/>
        <w:keepLines/>
        <w:ind w:left="851" w:right="339"/>
        <w:jc w:val="center"/>
        <w:rPr>
          <w:rFonts w:ascii="Arial" w:hAnsi="Arial" w:cs="Arial"/>
          <w:sz w:val="22"/>
          <w:szCs w:val="22"/>
        </w:rPr>
      </w:pPr>
      <w:r>
        <w:rPr>
          <w:rFonts w:ascii="Arial" w:hAnsi="Arial"/>
          <w:sz w:val="22"/>
        </w:rPr>
        <w:t>III.</w:t>
      </w:r>
    </w:p>
    <w:p w:rsidR="00097EA7" w:rsidRPr="00E6754E" w:rsidRDefault="00097EA7" w:rsidP="00097EA7">
      <w:pPr>
        <w:keepNext/>
        <w:keepLines/>
        <w:ind w:left="851" w:right="339"/>
        <w:jc w:val="both"/>
        <w:rPr>
          <w:rFonts w:ascii="Arial" w:hAnsi="Arial" w:cs="Arial"/>
          <w:sz w:val="22"/>
          <w:szCs w:val="22"/>
        </w:rPr>
      </w:pPr>
    </w:p>
    <w:p w:rsidR="00097EA7" w:rsidRDefault="00FB7DDD" w:rsidP="00097EA7">
      <w:pPr>
        <w:ind w:left="851" w:right="339" w:firstLine="708"/>
        <w:jc w:val="both"/>
        <w:rPr>
          <w:rFonts w:ascii="Arial" w:hAnsi="Arial"/>
          <w:sz w:val="22"/>
        </w:rPr>
      </w:pPr>
      <w:r>
        <w:rPr>
          <w:rFonts w:ascii="Arial" w:hAnsi="Arial"/>
          <w:sz w:val="22"/>
        </w:rPr>
        <w:t xml:space="preserve">A könnyű műanyag </w:t>
      </w:r>
      <w:proofErr w:type="spellStart"/>
      <w:r>
        <w:rPr>
          <w:rFonts w:ascii="Arial" w:hAnsi="Arial"/>
          <w:sz w:val="22"/>
        </w:rPr>
        <w:t>hordtasakokról</w:t>
      </w:r>
      <w:proofErr w:type="spellEnd"/>
      <w:r>
        <w:rPr>
          <w:rFonts w:ascii="Arial" w:hAnsi="Arial"/>
          <w:sz w:val="22"/>
        </w:rPr>
        <w:t xml:space="preserve"> szóló irányelv által kínált lehetőségek közül a következők bizonyultak a legmegfelelőbbnek. Először is, 2018. július 1-étől kezdve be kell tiltani az ilyen tasakok értékesítési pontokon, fogyasztók számára ingyenesen való átadását. </w:t>
      </w:r>
      <w:r w:rsidR="00462171">
        <w:rPr>
          <w:rFonts w:ascii="Arial" w:hAnsi="Arial"/>
          <w:sz w:val="22"/>
        </w:rPr>
        <w:t>Más szóval, ettől az időponttól kezdve a kereskedőknek díjat kell felszámítaniuk</w:t>
      </w:r>
      <w:r w:rsidR="004E1AF9">
        <w:rPr>
          <w:rFonts w:ascii="Arial" w:hAnsi="Arial"/>
          <w:sz w:val="22"/>
        </w:rPr>
        <w:t xml:space="preserve"> a fogyasztóknak átadott minden egyes könnyű műanyag </w:t>
      </w:r>
      <w:proofErr w:type="spellStart"/>
      <w:r w:rsidR="004E1AF9">
        <w:rPr>
          <w:rFonts w:ascii="Arial" w:hAnsi="Arial"/>
          <w:sz w:val="22"/>
        </w:rPr>
        <w:t>hordtasak</w:t>
      </w:r>
      <w:proofErr w:type="spellEnd"/>
      <w:r w:rsidR="004E1AF9">
        <w:rPr>
          <w:rFonts w:ascii="Arial" w:hAnsi="Arial"/>
          <w:sz w:val="22"/>
        </w:rPr>
        <w:t xml:space="preserve"> után. A </w:t>
      </w:r>
      <w:r w:rsidR="00097EA7">
        <w:rPr>
          <w:rFonts w:ascii="Arial" w:hAnsi="Arial"/>
          <w:sz w:val="22"/>
        </w:rPr>
        <w:t xml:space="preserve">nagyon könnyű – tehát 15 mikronnál kisebb falvastagságú – műanyag </w:t>
      </w:r>
      <w:proofErr w:type="spellStart"/>
      <w:r w:rsidR="00097EA7">
        <w:rPr>
          <w:rFonts w:ascii="Arial" w:hAnsi="Arial"/>
          <w:sz w:val="22"/>
        </w:rPr>
        <w:t>hordtasakok</w:t>
      </w:r>
      <w:proofErr w:type="spellEnd"/>
      <w:r w:rsidR="009D26B3">
        <w:rPr>
          <w:rFonts w:ascii="Arial" w:hAnsi="Arial"/>
          <w:sz w:val="22"/>
        </w:rPr>
        <w:t>,</w:t>
      </w:r>
      <w:r w:rsidR="009D26B3" w:rsidRPr="009D26B3">
        <w:rPr>
          <w:rFonts w:ascii="Arial" w:hAnsi="Arial"/>
          <w:sz w:val="22"/>
        </w:rPr>
        <w:t xml:space="preserve"> </w:t>
      </w:r>
      <w:r w:rsidR="009D26B3">
        <w:rPr>
          <w:rFonts w:ascii="Arial" w:hAnsi="Arial"/>
          <w:sz w:val="22"/>
        </w:rPr>
        <w:t>amelyekre higiéniai okokból van szükség, illetve amelyek ömlesztett formájú élelmiszerek elsődleges csomagolásaként használatosak,</w:t>
      </w:r>
      <w:r w:rsidR="00DF6D62">
        <w:rPr>
          <w:rFonts w:ascii="Arial" w:hAnsi="Arial"/>
          <w:sz w:val="22"/>
        </w:rPr>
        <w:t xml:space="preserve"> mentesülnek ez</w:t>
      </w:r>
      <w:r w:rsidR="003C342A">
        <w:rPr>
          <w:rFonts w:ascii="Arial" w:hAnsi="Arial"/>
          <w:sz w:val="22"/>
        </w:rPr>
        <w:t xml:space="preserve"> </w:t>
      </w:r>
      <w:r w:rsidR="00DF6D62">
        <w:rPr>
          <w:rFonts w:ascii="Arial" w:hAnsi="Arial"/>
          <w:sz w:val="22"/>
        </w:rPr>
        <w:t xml:space="preserve">alól az intézkedés alól. </w:t>
      </w:r>
      <w:r w:rsidR="003C342A">
        <w:rPr>
          <w:rFonts w:ascii="Arial" w:hAnsi="Arial"/>
          <w:sz w:val="22"/>
        </w:rPr>
        <w:t xml:space="preserve">Másodszor, 2021. január 1-jétől kezdve betiltásra kerül a nem komposztálható könnyű és nagyon könnyű műanyag </w:t>
      </w:r>
      <w:proofErr w:type="spellStart"/>
      <w:r w:rsidR="003C342A">
        <w:rPr>
          <w:rFonts w:ascii="Arial" w:hAnsi="Arial"/>
          <w:sz w:val="22"/>
        </w:rPr>
        <w:t>hordtasakok</w:t>
      </w:r>
      <w:proofErr w:type="spellEnd"/>
      <w:r w:rsidR="003C342A">
        <w:rPr>
          <w:rFonts w:ascii="Arial" w:hAnsi="Arial"/>
          <w:sz w:val="22"/>
        </w:rPr>
        <w:t xml:space="preserve"> értékesítési pontokon</w:t>
      </w:r>
      <w:r w:rsidR="00A52552">
        <w:rPr>
          <w:rFonts w:ascii="Arial" w:hAnsi="Arial"/>
          <w:sz w:val="22"/>
        </w:rPr>
        <w:t>, fogyasztók számára történő átadása, függetlenül attól, hogy ez ingyenesen, vagy díj felszámítása ellenében történik. Ezen határidő kitűzésének célja, hogy összehangolja a</w:t>
      </w:r>
      <w:r w:rsidR="00D32A43">
        <w:rPr>
          <w:rFonts w:ascii="Arial" w:hAnsi="Arial"/>
          <w:sz w:val="22"/>
        </w:rPr>
        <w:t xml:space="preserve">z arra irányuló kötelezettséget, hogy minden könnyű és nagyon könnyű műanyag </w:t>
      </w:r>
      <w:proofErr w:type="spellStart"/>
      <w:r w:rsidR="00D32A43">
        <w:rPr>
          <w:rFonts w:ascii="Arial" w:hAnsi="Arial"/>
          <w:sz w:val="22"/>
        </w:rPr>
        <w:t>hordtasaknak</w:t>
      </w:r>
      <w:proofErr w:type="spellEnd"/>
      <w:r w:rsidR="00D32A43">
        <w:rPr>
          <w:rFonts w:ascii="Arial" w:hAnsi="Arial"/>
          <w:sz w:val="22"/>
        </w:rPr>
        <w:t xml:space="preserve"> komposztálhatónak kell lennie, a </w:t>
      </w:r>
      <w:proofErr w:type="spellStart"/>
      <w:r w:rsidR="00D32A43">
        <w:rPr>
          <w:rFonts w:ascii="Arial" w:hAnsi="Arial"/>
          <w:sz w:val="22"/>
        </w:rPr>
        <w:t>biohulladék</w:t>
      </w:r>
      <w:proofErr w:type="spellEnd"/>
      <w:r w:rsidR="00D32A43">
        <w:rPr>
          <w:rFonts w:ascii="Arial" w:hAnsi="Arial"/>
          <w:sz w:val="22"/>
        </w:rPr>
        <w:t xml:space="preserve"> szelektív gyűjtésének teljes körű bevezetésével; erre a települési hulladék újrafelhasználás és újrafeldolgozás céljából történő feldolgozására irányuló EU-s célkitűzések teljesítése érdekében van szükség, a 2011. július 28-i 22/2011. sz. törvényben és a hulladékokról szóló új uniós irányelvekben meghatározottak szerint. </w:t>
      </w:r>
      <w:r w:rsidR="00926BCE">
        <w:rPr>
          <w:rFonts w:ascii="Arial" w:hAnsi="Arial"/>
          <w:sz w:val="22"/>
        </w:rPr>
        <w:t xml:space="preserve">Ennek eredményeképpen a biológiai eljárásokkal kezelt komposztálható tasakokat a települési hulladékban található </w:t>
      </w:r>
      <w:proofErr w:type="spellStart"/>
      <w:r w:rsidR="00926BCE">
        <w:rPr>
          <w:rFonts w:ascii="Arial" w:hAnsi="Arial"/>
          <w:sz w:val="22"/>
        </w:rPr>
        <w:t>biohulladékkal</w:t>
      </w:r>
      <w:proofErr w:type="spellEnd"/>
      <w:r w:rsidR="00926BCE">
        <w:rPr>
          <w:rFonts w:ascii="Arial" w:hAnsi="Arial"/>
          <w:sz w:val="22"/>
        </w:rPr>
        <w:t xml:space="preserve"> együtt kell kezelni. Ezzel megelőzhető, hogy az ilyen hulladék más hulladékáramokkal, mint például műanyag csomagolásokkal keveredjen, ami megakadályozná a nem komposztálható műanyagok mechanikus újrahasznosítását.</w:t>
      </w:r>
      <w:r w:rsidR="00E02F9A">
        <w:rPr>
          <w:rFonts w:ascii="Arial" w:hAnsi="Arial"/>
          <w:sz w:val="22"/>
        </w:rPr>
        <w:t xml:space="preserve"> </w:t>
      </w:r>
      <w:r w:rsidR="00097EA7">
        <w:rPr>
          <w:rFonts w:ascii="Arial" w:hAnsi="Arial"/>
          <w:sz w:val="22"/>
        </w:rPr>
        <w:t>.</w:t>
      </w:r>
    </w:p>
    <w:p w:rsidR="00E02F9A" w:rsidRDefault="00E02F9A" w:rsidP="00097EA7">
      <w:pPr>
        <w:ind w:left="851" w:right="339" w:firstLine="708"/>
        <w:jc w:val="both"/>
        <w:rPr>
          <w:rFonts w:ascii="Arial" w:hAnsi="Arial" w:cs="Arial"/>
          <w:sz w:val="22"/>
          <w:szCs w:val="22"/>
        </w:rPr>
      </w:pPr>
    </w:p>
    <w:p w:rsidR="00E02F9A" w:rsidRPr="00E6754E" w:rsidRDefault="00E02F9A" w:rsidP="00097EA7">
      <w:pPr>
        <w:ind w:left="851" w:right="339" w:firstLine="708"/>
        <w:jc w:val="both"/>
        <w:rPr>
          <w:rFonts w:ascii="Arial" w:hAnsi="Arial" w:cs="Arial"/>
          <w:sz w:val="22"/>
          <w:szCs w:val="22"/>
        </w:rPr>
      </w:pPr>
      <w:r>
        <w:rPr>
          <w:rFonts w:ascii="Arial" w:hAnsi="Arial" w:cs="Arial"/>
          <w:sz w:val="22"/>
          <w:szCs w:val="22"/>
        </w:rPr>
        <w:t xml:space="preserve">Szem előtt kell </w:t>
      </w:r>
      <w:r w:rsidR="00556B10">
        <w:rPr>
          <w:rFonts w:ascii="Arial" w:hAnsi="Arial" w:cs="Arial"/>
          <w:sz w:val="22"/>
          <w:szCs w:val="22"/>
        </w:rPr>
        <w:t xml:space="preserve">tartani, hogy a 2015. április 29-i (EU) 2015/720 európai parlamenti és tanácsi irányelv, és így e királyi rendelet célja a könnyű műanyag </w:t>
      </w:r>
      <w:proofErr w:type="spellStart"/>
      <w:r w:rsidR="00556B10">
        <w:rPr>
          <w:rFonts w:ascii="Arial" w:hAnsi="Arial" w:cs="Arial"/>
          <w:sz w:val="22"/>
          <w:szCs w:val="22"/>
        </w:rPr>
        <w:t>hordtasakok</w:t>
      </w:r>
      <w:proofErr w:type="spellEnd"/>
      <w:r w:rsidR="00556B10">
        <w:rPr>
          <w:rFonts w:ascii="Arial" w:hAnsi="Arial" w:cs="Arial"/>
          <w:sz w:val="22"/>
          <w:szCs w:val="22"/>
        </w:rPr>
        <w:t xml:space="preserve"> használatának csökkentése. A komposztálható műanyag </w:t>
      </w:r>
      <w:proofErr w:type="spellStart"/>
      <w:r w:rsidR="00556B10">
        <w:rPr>
          <w:rFonts w:ascii="Arial" w:hAnsi="Arial" w:cs="Arial"/>
          <w:sz w:val="22"/>
          <w:szCs w:val="22"/>
        </w:rPr>
        <w:t>hordtasakok</w:t>
      </w:r>
      <w:proofErr w:type="spellEnd"/>
      <w:r w:rsidR="00556B10">
        <w:rPr>
          <w:rFonts w:ascii="Arial" w:hAnsi="Arial" w:cs="Arial"/>
          <w:sz w:val="22"/>
          <w:szCs w:val="22"/>
        </w:rPr>
        <w:t xml:space="preserve"> használata egy lehetőség, azonban vannak más lehetőségek is. A kereskedők nem kényszeríthetők a nem komposztálható műanyag </w:t>
      </w:r>
      <w:proofErr w:type="spellStart"/>
      <w:r w:rsidR="00556B10">
        <w:rPr>
          <w:rFonts w:ascii="Arial" w:hAnsi="Arial" w:cs="Arial"/>
          <w:sz w:val="22"/>
          <w:szCs w:val="22"/>
        </w:rPr>
        <w:t>hordtasakok</w:t>
      </w:r>
      <w:proofErr w:type="spellEnd"/>
      <w:r w:rsidR="00556B10">
        <w:rPr>
          <w:rFonts w:ascii="Arial" w:hAnsi="Arial" w:cs="Arial"/>
          <w:sz w:val="22"/>
          <w:szCs w:val="22"/>
        </w:rPr>
        <w:t xml:space="preserve"> komposztálható tasakokra történő lecserélésére – bármilyen más megoldást is alkalmazhatnak, </w:t>
      </w:r>
      <w:r w:rsidR="003130BE">
        <w:rPr>
          <w:rFonts w:ascii="Arial" w:hAnsi="Arial" w:cs="Arial"/>
          <w:sz w:val="22"/>
          <w:szCs w:val="22"/>
        </w:rPr>
        <w:t>feltéve, ha az nem jár a csomagolási hulladék mennyiségének növekedésével.</w:t>
      </w:r>
    </w:p>
    <w:p w:rsidR="00097EA7" w:rsidRPr="00E6754E" w:rsidRDefault="00097EA7" w:rsidP="00097EA7">
      <w:pPr>
        <w:ind w:left="851" w:right="339" w:firstLine="708"/>
        <w:jc w:val="both"/>
        <w:rPr>
          <w:rFonts w:ascii="Arial" w:hAnsi="Arial" w:cs="Arial"/>
          <w:sz w:val="22"/>
          <w:szCs w:val="22"/>
        </w:rPr>
      </w:pPr>
    </w:p>
    <w:p w:rsidR="00097EA7" w:rsidRPr="00E6754E" w:rsidRDefault="00097EA7" w:rsidP="00097EA7">
      <w:pPr>
        <w:ind w:left="851" w:right="339" w:firstLine="708"/>
        <w:jc w:val="both"/>
        <w:rPr>
          <w:rFonts w:ascii="Arial" w:hAnsi="Arial" w:cs="Arial"/>
          <w:sz w:val="22"/>
          <w:szCs w:val="22"/>
        </w:rPr>
      </w:pPr>
      <w:r>
        <w:rPr>
          <w:rFonts w:ascii="Arial" w:hAnsi="Arial"/>
          <w:sz w:val="22"/>
        </w:rPr>
        <w:t xml:space="preserve">Az utóbbi években bizonyos műanyag </w:t>
      </w:r>
      <w:proofErr w:type="spellStart"/>
      <w:r>
        <w:rPr>
          <w:rFonts w:ascii="Arial" w:hAnsi="Arial"/>
          <w:sz w:val="22"/>
        </w:rPr>
        <w:t>hordtasakok</w:t>
      </w:r>
      <w:proofErr w:type="spellEnd"/>
      <w:r>
        <w:rPr>
          <w:rFonts w:ascii="Arial" w:hAnsi="Arial"/>
          <w:sz w:val="22"/>
        </w:rPr>
        <w:t xml:space="preserve"> „oxidatív biológiai úton lebomló” vagy „oxidatív úton lebomló” címkével ellátva kerültek a piacra. Az ilyen </w:t>
      </w:r>
      <w:proofErr w:type="spellStart"/>
      <w:r>
        <w:rPr>
          <w:rFonts w:ascii="Arial" w:hAnsi="Arial"/>
          <w:sz w:val="22"/>
        </w:rPr>
        <w:t>hordtasakok</w:t>
      </w:r>
      <w:proofErr w:type="spellEnd"/>
      <w:r>
        <w:rPr>
          <w:rFonts w:ascii="Arial" w:hAnsi="Arial"/>
          <w:sz w:val="22"/>
        </w:rPr>
        <w:t xml:space="preserve"> esetében olyan adalékanyagokat adnak a hagyományos műanyaghoz, amelyek az idő múlásával a környezetben maradó, apró részecskékre bontják a műanyagot. Az ilyen </w:t>
      </w:r>
      <w:proofErr w:type="spellStart"/>
      <w:r>
        <w:rPr>
          <w:rFonts w:ascii="Arial" w:hAnsi="Arial"/>
          <w:sz w:val="22"/>
        </w:rPr>
        <w:t>hordtasakokat</w:t>
      </w:r>
      <w:proofErr w:type="spellEnd"/>
      <w:r>
        <w:rPr>
          <w:rFonts w:ascii="Arial" w:hAnsi="Arial"/>
          <w:sz w:val="22"/>
        </w:rPr>
        <w:t xml:space="preserve"> tévesen jelölik „biológiai úton lebomlóként”, ugyanis nem jelentenek megoldást a lerakásuk által okozott szennyezés problémájára, hanem akár súlyosbíthatják is azt. Az oxidatív úton lebomló műanyagból készült műanyag </w:t>
      </w:r>
      <w:proofErr w:type="spellStart"/>
      <w:r>
        <w:rPr>
          <w:rFonts w:ascii="Arial" w:hAnsi="Arial"/>
          <w:sz w:val="22"/>
        </w:rPr>
        <w:t>hordtasakokhoz</w:t>
      </w:r>
      <w:proofErr w:type="spellEnd"/>
      <w:r>
        <w:rPr>
          <w:rFonts w:ascii="Arial" w:hAnsi="Arial"/>
          <w:sz w:val="22"/>
        </w:rPr>
        <w:t xml:space="preserve"> hasonló jellemzőkkel bírnak a fényre </w:t>
      </w:r>
      <w:proofErr w:type="spellStart"/>
      <w:r>
        <w:rPr>
          <w:rFonts w:ascii="Arial" w:hAnsi="Arial"/>
          <w:sz w:val="22"/>
        </w:rPr>
        <w:t>fragmentálódó</w:t>
      </w:r>
      <w:proofErr w:type="spellEnd"/>
      <w:r>
        <w:rPr>
          <w:rFonts w:ascii="Arial" w:hAnsi="Arial"/>
          <w:sz w:val="22"/>
        </w:rPr>
        <w:t xml:space="preserve">, hőre </w:t>
      </w:r>
      <w:proofErr w:type="spellStart"/>
      <w:r>
        <w:rPr>
          <w:rFonts w:ascii="Arial" w:hAnsi="Arial"/>
          <w:sz w:val="22"/>
        </w:rPr>
        <w:t>fragmentálódó</w:t>
      </w:r>
      <w:proofErr w:type="spellEnd"/>
      <w:r>
        <w:rPr>
          <w:rFonts w:ascii="Arial" w:hAnsi="Arial"/>
          <w:sz w:val="22"/>
        </w:rPr>
        <w:t xml:space="preserve"> és vízben </w:t>
      </w:r>
      <w:proofErr w:type="spellStart"/>
      <w:r>
        <w:rPr>
          <w:rFonts w:ascii="Arial" w:hAnsi="Arial"/>
          <w:sz w:val="22"/>
        </w:rPr>
        <w:t>fragmentálódó</w:t>
      </w:r>
      <w:proofErr w:type="spellEnd"/>
      <w:r>
        <w:rPr>
          <w:rFonts w:ascii="Arial" w:hAnsi="Arial"/>
          <w:sz w:val="22"/>
        </w:rPr>
        <w:t xml:space="preserve"> műanyagokból készült </w:t>
      </w:r>
      <w:proofErr w:type="spellStart"/>
      <w:r>
        <w:rPr>
          <w:rFonts w:ascii="Arial" w:hAnsi="Arial"/>
          <w:sz w:val="22"/>
        </w:rPr>
        <w:t>hordtasakok</w:t>
      </w:r>
      <w:proofErr w:type="spellEnd"/>
      <w:r>
        <w:rPr>
          <w:rFonts w:ascii="Arial" w:hAnsi="Arial"/>
          <w:sz w:val="22"/>
        </w:rPr>
        <w:t xml:space="preserve">, ezért a </w:t>
      </w:r>
      <w:proofErr w:type="spellStart"/>
      <w:r>
        <w:rPr>
          <w:rFonts w:ascii="Arial" w:hAnsi="Arial"/>
          <w:sz w:val="22"/>
        </w:rPr>
        <w:t>fragmentálódó</w:t>
      </w:r>
      <w:proofErr w:type="spellEnd"/>
      <w:r>
        <w:rPr>
          <w:rFonts w:ascii="Arial" w:hAnsi="Arial"/>
          <w:sz w:val="22"/>
        </w:rPr>
        <w:t xml:space="preserve"> műanyagokból készült </w:t>
      </w:r>
      <w:proofErr w:type="spellStart"/>
      <w:r>
        <w:rPr>
          <w:rFonts w:ascii="Arial" w:hAnsi="Arial"/>
          <w:sz w:val="22"/>
        </w:rPr>
        <w:t>hordtasakokról</w:t>
      </w:r>
      <w:proofErr w:type="spellEnd"/>
      <w:r>
        <w:rPr>
          <w:rFonts w:ascii="Arial" w:hAnsi="Arial"/>
          <w:sz w:val="22"/>
        </w:rPr>
        <w:t xml:space="preserve"> is szót kell ejteni. A talajnak, a víznek és </w:t>
      </w:r>
      <w:r w:rsidR="00B667CF">
        <w:rPr>
          <w:rFonts w:ascii="Arial" w:hAnsi="Arial"/>
          <w:sz w:val="22"/>
        </w:rPr>
        <w:t xml:space="preserve">a </w:t>
      </w:r>
      <w:proofErr w:type="spellStart"/>
      <w:r w:rsidR="00B667CF">
        <w:rPr>
          <w:rFonts w:ascii="Arial" w:hAnsi="Arial"/>
          <w:sz w:val="22"/>
        </w:rPr>
        <w:t>biótáknak</w:t>
      </w:r>
      <w:proofErr w:type="spellEnd"/>
      <w:r>
        <w:rPr>
          <w:rFonts w:ascii="Arial" w:hAnsi="Arial"/>
          <w:sz w:val="22"/>
        </w:rPr>
        <w:t xml:space="preserve"> a műanyagok – noha kisebb szemcsemérettel való – környezetbe kerüléséből adódó szennyeződésének az elkerülése érdekében határozat született a </w:t>
      </w:r>
      <w:proofErr w:type="spellStart"/>
      <w:r>
        <w:rPr>
          <w:rFonts w:ascii="Arial" w:hAnsi="Arial"/>
          <w:sz w:val="22"/>
        </w:rPr>
        <w:t>fragmentálódó</w:t>
      </w:r>
      <w:proofErr w:type="spellEnd"/>
      <w:r>
        <w:rPr>
          <w:rFonts w:ascii="Arial" w:hAnsi="Arial"/>
          <w:sz w:val="22"/>
        </w:rPr>
        <w:t xml:space="preserve"> műanyagból készült </w:t>
      </w:r>
      <w:proofErr w:type="spellStart"/>
      <w:r>
        <w:rPr>
          <w:rFonts w:ascii="Arial" w:hAnsi="Arial"/>
          <w:sz w:val="22"/>
        </w:rPr>
        <w:t>hordtasakok</w:t>
      </w:r>
      <w:proofErr w:type="spellEnd"/>
      <w:r>
        <w:rPr>
          <w:rFonts w:ascii="Arial" w:hAnsi="Arial"/>
          <w:sz w:val="22"/>
        </w:rPr>
        <w:t xml:space="preserve"> </w:t>
      </w:r>
      <w:r w:rsidR="00B667CF">
        <w:rPr>
          <w:rFonts w:ascii="Arial" w:hAnsi="Arial"/>
          <w:sz w:val="22"/>
        </w:rPr>
        <w:t>2020</w:t>
      </w:r>
      <w:r w:rsidR="006E3791">
        <w:rPr>
          <w:rFonts w:ascii="Arial" w:hAnsi="Arial"/>
          <w:sz w:val="22"/>
        </w:rPr>
        <w:t>.</w:t>
      </w:r>
      <w:r w:rsidR="00B667CF">
        <w:rPr>
          <w:rFonts w:ascii="Arial" w:hAnsi="Arial"/>
          <w:sz w:val="22"/>
        </w:rPr>
        <w:t xml:space="preserve"> január 1-jétől történő </w:t>
      </w:r>
      <w:r>
        <w:rPr>
          <w:rFonts w:ascii="Arial" w:hAnsi="Arial"/>
          <w:sz w:val="22"/>
        </w:rPr>
        <w:t xml:space="preserve">betiltásáról is, amelyek alatt az olyan adalékanyagokat tartalmazó műanyagból készült műanyag </w:t>
      </w:r>
      <w:proofErr w:type="spellStart"/>
      <w:r>
        <w:rPr>
          <w:rFonts w:ascii="Arial" w:hAnsi="Arial"/>
          <w:sz w:val="22"/>
        </w:rPr>
        <w:t>hordtasakok</w:t>
      </w:r>
      <w:proofErr w:type="spellEnd"/>
      <w:r>
        <w:rPr>
          <w:rFonts w:ascii="Arial" w:hAnsi="Arial"/>
          <w:sz w:val="22"/>
        </w:rPr>
        <w:t xml:space="preserve"> értendők, amelyek elősegítik a műanyag </w:t>
      </w:r>
      <w:proofErr w:type="spellStart"/>
      <w:r>
        <w:rPr>
          <w:rFonts w:ascii="Arial" w:hAnsi="Arial"/>
          <w:sz w:val="22"/>
        </w:rPr>
        <w:t>mikroméretű</w:t>
      </w:r>
      <w:proofErr w:type="spellEnd"/>
      <w:r>
        <w:rPr>
          <w:rFonts w:ascii="Arial" w:hAnsi="Arial"/>
          <w:sz w:val="22"/>
        </w:rPr>
        <w:t xml:space="preserve"> műanyagrészecskékre történő széttöredezését.</w:t>
      </w:r>
    </w:p>
    <w:p w:rsidR="00097EA7" w:rsidRPr="00E6754E" w:rsidRDefault="00097EA7" w:rsidP="00097EA7">
      <w:pPr>
        <w:ind w:left="851" w:right="339" w:firstLine="708"/>
        <w:jc w:val="both"/>
        <w:rPr>
          <w:rFonts w:ascii="Arial" w:hAnsi="Arial" w:cs="Arial"/>
          <w:sz w:val="22"/>
          <w:szCs w:val="22"/>
        </w:rPr>
      </w:pPr>
    </w:p>
    <w:p w:rsidR="00097EA7" w:rsidRDefault="00097EA7" w:rsidP="00097EA7">
      <w:pPr>
        <w:ind w:left="851" w:right="339" w:firstLine="708"/>
        <w:jc w:val="both"/>
        <w:rPr>
          <w:rFonts w:ascii="Arial" w:hAnsi="Arial"/>
          <w:sz w:val="22"/>
        </w:rPr>
      </w:pPr>
      <w:r>
        <w:rPr>
          <w:rFonts w:ascii="Arial" w:hAnsi="Arial"/>
          <w:sz w:val="22"/>
        </w:rPr>
        <w:t xml:space="preserve">Mivel a 2015. április 29-i (EU) 2015/720 európai parlamenti és tanácsi irányelv lehetőséget biztosít a tagállamok számára, hogy a műanyag </w:t>
      </w:r>
      <w:proofErr w:type="spellStart"/>
      <w:r>
        <w:rPr>
          <w:rFonts w:ascii="Arial" w:hAnsi="Arial"/>
          <w:sz w:val="22"/>
        </w:rPr>
        <w:t>hordtasakok</w:t>
      </w:r>
      <w:proofErr w:type="spellEnd"/>
      <w:r>
        <w:rPr>
          <w:rFonts w:ascii="Arial" w:hAnsi="Arial"/>
          <w:sz w:val="22"/>
        </w:rPr>
        <w:t xml:space="preserve"> bármely fajtája tekintetében – azok falvastagságától függetlenül – csökkentésre irányuló intézkedéseket alkalmazzanak, szükségesnek bizonyult az 50 mikron vagy annál nagyobb falvastagságú </w:t>
      </w:r>
      <w:proofErr w:type="spellStart"/>
      <w:r>
        <w:rPr>
          <w:rFonts w:ascii="Arial" w:hAnsi="Arial"/>
          <w:sz w:val="22"/>
        </w:rPr>
        <w:t>hordtasakokra</w:t>
      </w:r>
      <w:proofErr w:type="spellEnd"/>
      <w:r>
        <w:rPr>
          <w:rFonts w:ascii="Arial" w:hAnsi="Arial"/>
          <w:sz w:val="22"/>
        </w:rPr>
        <w:t xml:space="preserve"> vonatkozó intézkedések meghozatala</w:t>
      </w:r>
      <w:r w:rsidR="00934510">
        <w:rPr>
          <w:rFonts w:ascii="Arial" w:hAnsi="Arial"/>
          <w:sz w:val="22"/>
        </w:rPr>
        <w:t>.</w:t>
      </w:r>
      <w:r>
        <w:rPr>
          <w:rFonts w:ascii="Arial" w:hAnsi="Arial"/>
          <w:sz w:val="22"/>
        </w:rPr>
        <w:t xml:space="preserve"> </w:t>
      </w:r>
      <w:r w:rsidR="00934510">
        <w:rPr>
          <w:rFonts w:ascii="Arial" w:hAnsi="Arial"/>
          <w:sz w:val="22"/>
        </w:rPr>
        <w:t>E</w:t>
      </w:r>
      <w:r>
        <w:rPr>
          <w:rFonts w:ascii="Arial" w:hAnsi="Arial"/>
          <w:sz w:val="22"/>
        </w:rPr>
        <w:t xml:space="preserve">gyrészt 2018. </w:t>
      </w:r>
      <w:r w:rsidR="00934510">
        <w:rPr>
          <w:rFonts w:ascii="Arial" w:hAnsi="Arial"/>
          <w:sz w:val="22"/>
        </w:rPr>
        <w:t>július</w:t>
      </w:r>
      <w:r>
        <w:rPr>
          <w:rFonts w:ascii="Arial" w:hAnsi="Arial"/>
          <w:sz w:val="22"/>
        </w:rPr>
        <w:t xml:space="preserve"> 1-jétől kötelezettséget ír elő az ilyen </w:t>
      </w:r>
      <w:proofErr w:type="spellStart"/>
      <w:r>
        <w:rPr>
          <w:rFonts w:ascii="Arial" w:hAnsi="Arial"/>
          <w:sz w:val="22"/>
        </w:rPr>
        <w:t>hordtasakokért</w:t>
      </w:r>
      <w:proofErr w:type="spellEnd"/>
      <w:r>
        <w:rPr>
          <w:rFonts w:ascii="Arial" w:hAnsi="Arial"/>
          <w:sz w:val="22"/>
        </w:rPr>
        <w:t xml:space="preserve"> való díj felszámítására,</w:t>
      </w:r>
      <w:r w:rsidR="00934510">
        <w:rPr>
          <w:rFonts w:ascii="Arial" w:hAnsi="Arial"/>
          <w:sz w:val="22"/>
        </w:rPr>
        <w:t xml:space="preserve"> az olyan tasakok kivételével, amelyek legalább 70%-ban újrahasznosított műanyagból </w:t>
      </w:r>
      <w:proofErr w:type="spellStart"/>
      <w:r w:rsidR="00934510">
        <w:rPr>
          <w:rFonts w:ascii="Arial" w:hAnsi="Arial"/>
          <w:sz w:val="22"/>
        </w:rPr>
        <w:t>készültek.M</w:t>
      </w:r>
      <w:r>
        <w:rPr>
          <w:rFonts w:ascii="Arial" w:hAnsi="Arial"/>
          <w:sz w:val="22"/>
        </w:rPr>
        <w:t>ásrészt</w:t>
      </w:r>
      <w:proofErr w:type="spellEnd"/>
      <w:r>
        <w:rPr>
          <w:rFonts w:ascii="Arial" w:hAnsi="Arial"/>
          <w:sz w:val="22"/>
        </w:rPr>
        <w:t xml:space="preserve"> pedig – a körforgásos gazdaság felé való elmozdulásra, valamint a hulladékokból származó anyagok új termékekben való felhasználásának előmozdítására irányulóan – 2020. január 1-jétől kötelezettséget ír elő arra vonatkozóan, hogy a szóban forgó </w:t>
      </w:r>
      <w:proofErr w:type="spellStart"/>
      <w:r>
        <w:rPr>
          <w:rFonts w:ascii="Arial" w:hAnsi="Arial"/>
          <w:sz w:val="22"/>
        </w:rPr>
        <w:t>hordtasakok</w:t>
      </w:r>
      <w:proofErr w:type="spellEnd"/>
      <w:r>
        <w:rPr>
          <w:rFonts w:ascii="Arial" w:hAnsi="Arial"/>
          <w:sz w:val="22"/>
        </w:rPr>
        <w:t xml:space="preserve"> legalább 50%-ban újrahasznosított műanyagot tartalmazzanak,, továbbá az ilyen </w:t>
      </w:r>
      <w:proofErr w:type="spellStart"/>
      <w:r>
        <w:rPr>
          <w:rFonts w:ascii="Arial" w:hAnsi="Arial"/>
          <w:sz w:val="22"/>
        </w:rPr>
        <w:t>hordtasakok</w:t>
      </w:r>
      <w:proofErr w:type="spellEnd"/>
      <w:r>
        <w:rPr>
          <w:rFonts w:ascii="Arial" w:hAnsi="Arial"/>
          <w:sz w:val="22"/>
        </w:rPr>
        <w:t xml:space="preserve"> vonatkozásában alacsonyabb irányárat javasol.</w:t>
      </w:r>
      <w:r w:rsidR="00A130C4">
        <w:rPr>
          <w:rFonts w:ascii="Arial" w:hAnsi="Arial"/>
          <w:sz w:val="22"/>
        </w:rPr>
        <w:t xml:space="preserve"> A több mint 70%-ban újrahasznosított műanyagot tartalmazó tasakok díjmentessége </w:t>
      </w:r>
      <w:proofErr w:type="spellStart"/>
      <w:r w:rsidR="00A130C4">
        <w:rPr>
          <w:rFonts w:ascii="Arial" w:hAnsi="Arial"/>
          <w:sz w:val="22"/>
        </w:rPr>
        <w:t>nyomonkövetésének</w:t>
      </w:r>
      <w:proofErr w:type="spellEnd"/>
      <w:r w:rsidR="00A130C4">
        <w:rPr>
          <w:rFonts w:ascii="Arial" w:hAnsi="Arial"/>
          <w:sz w:val="22"/>
        </w:rPr>
        <w:t xml:space="preserve"> és ellenőrzésének lehetővé tétele érdekében a kereskedőknek meg kell őrizniük ennek a százalékos aránynak az igazolásához szükséges dokumentációt.</w:t>
      </w:r>
    </w:p>
    <w:p w:rsidR="00966BE8" w:rsidRDefault="00966BE8" w:rsidP="00097EA7">
      <w:pPr>
        <w:ind w:left="851" w:right="339" w:firstLine="708"/>
        <w:jc w:val="both"/>
        <w:rPr>
          <w:rFonts w:ascii="Arial" w:hAnsi="Arial" w:cs="Arial"/>
          <w:sz w:val="22"/>
          <w:szCs w:val="22"/>
        </w:rPr>
      </w:pPr>
    </w:p>
    <w:p w:rsidR="00966BE8" w:rsidRPr="00E6754E" w:rsidRDefault="00966BE8" w:rsidP="00097EA7">
      <w:pPr>
        <w:ind w:left="851" w:right="339" w:firstLine="708"/>
        <w:jc w:val="both"/>
        <w:rPr>
          <w:rFonts w:ascii="Arial" w:hAnsi="Arial" w:cs="Arial"/>
          <w:sz w:val="22"/>
          <w:szCs w:val="22"/>
        </w:rPr>
      </w:pPr>
      <w:r>
        <w:rPr>
          <w:rFonts w:ascii="Arial" w:hAnsi="Arial" w:cs="Arial"/>
          <w:sz w:val="22"/>
          <w:szCs w:val="22"/>
        </w:rPr>
        <w:t xml:space="preserve">Végül, ki kell hangsúlyozni, hogy a fenti intézkedéseknek az online vásárlásokhoz és házhozszállításhoz biztosított </w:t>
      </w:r>
      <w:proofErr w:type="spellStart"/>
      <w:r>
        <w:rPr>
          <w:rFonts w:ascii="Arial" w:hAnsi="Arial" w:cs="Arial"/>
          <w:sz w:val="22"/>
          <w:szCs w:val="22"/>
        </w:rPr>
        <w:t>hordtasakokra</w:t>
      </w:r>
      <w:proofErr w:type="spellEnd"/>
      <w:r>
        <w:rPr>
          <w:rFonts w:ascii="Arial" w:hAnsi="Arial" w:cs="Arial"/>
          <w:sz w:val="22"/>
          <w:szCs w:val="22"/>
        </w:rPr>
        <w:t xml:space="preserve"> is ki kell terjedniük. Nem tartoznak ide a távértékesítés során használt műanyag védőcsomagolások, azonban ezek csomagolásnak minősülnek abban az esetben, ha megfelelnek a csomagolás 1997. április 24-i 11/1997. sz. törvényben szereplő </w:t>
      </w:r>
      <w:proofErr w:type="spellStart"/>
      <w:r>
        <w:rPr>
          <w:rFonts w:ascii="Arial" w:hAnsi="Arial" w:cs="Arial"/>
          <w:sz w:val="22"/>
          <w:szCs w:val="22"/>
        </w:rPr>
        <w:t>fogalommeghatározásának</w:t>
      </w:r>
      <w:proofErr w:type="spellEnd"/>
      <w:r>
        <w:rPr>
          <w:rFonts w:ascii="Arial" w:hAnsi="Arial" w:cs="Arial"/>
          <w:sz w:val="22"/>
          <w:szCs w:val="22"/>
        </w:rPr>
        <w:t xml:space="preserve">. </w:t>
      </w:r>
    </w:p>
    <w:p w:rsidR="00097EA7" w:rsidRPr="00E6754E" w:rsidRDefault="00097EA7" w:rsidP="00097EA7">
      <w:pPr>
        <w:ind w:left="851" w:right="339" w:firstLine="708"/>
        <w:jc w:val="both"/>
        <w:rPr>
          <w:rFonts w:ascii="Arial" w:hAnsi="Arial" w:cs="Arial"/>
          <w:sz w:val="22"/>
          <w:szCs w:val="22"/>
        </w:rPr>
      </w:pPr>
    </w:p>
    <w:p w:rsidR="00097EA7" w:rsidRPr="00E6754E" w:rsidRDefault="00097EA7" w:rsidP="00097EA7">
      <w:pPr>
        <w:ind w:left="851" w:right="339" w:firstLine="708"/>
        <w:jc w:val="both"/>
        <w:rPr>
          <w:rFonts w:ascii="Arial" w:hAnsi="Arial" w:cs="Arial"/>
          <w:sz w:val="22"/>
          <w:szCs w:val="22"/>
        </w:rPr>
      </w:pPr>
      <w:r>
        <w:rPr>
          <w:rFonts w:ascii="Arial" w:hAnsi="Arial"/>
          <w:sz w:val="22"/>
        </w:rPr>
        <w:t xml:space="preserve">E királyi rendeletben foglalt intézkedésekkel, továbbá a könnyű műanyag </w:t>
      </w:r>
      <w:proofErr w:type="spellStart"/>
      <w:r>
        <w:rPr>
          <w:rFonts w:ascii="Arial" w:hAnsi="Arial"/>
          <w:sz w:val="22"/>
        </w:rPr>
        <w:t>hordtasakok</w:t>
      </w:r>
      <w:proofErr w:type="spellEnd"/>
      <w:r>
        <w:rPr>
          <w:rFonts w:ascii="Arial" w:hAnsi="Arial"/>
          <w:sz w:val="22"/>
        </w:rPr>
        <w:t xml:space="preserve"> túlzott felhasználásának és azok környezetbe juttatásának környezetre gyakorolt hatásával kapcsolatos tájékoztatás és szemléletformálás, továbbá a hulladékhierarchia elve alkalmazásának előmozdítása érdekében a Mezőgazdasági, Halászati, Élelmezésügyi és Környezetvédelmi Minisztériumnak és az autonóm közösségek illetékes hatóságainak – legalább e királyi rendelet hatálybalépésétől számított első évben – szemléletformáló kampányokat kell végrehajtaniuk. </w:t>
      </w:r>
      <w:r w:rsidR="007F0E72">
        <w:rPr>
          <w:rFonts w:ascii="Arial" w:hAnsi="Arial"/>
          <w:sz w:val="22"/>
        </w:rPr>
        <w:t xml:space="preserve">Továbbá, ezen kampányok keretében tájékoztatni kell a fogyasztókat arról, hogy melyik </w:t>
      </w:r>
      <w:r w:rsidR="00C97E21">
        <w:rPr>
          <w:rFonts w:ascii="Arial" w:hAnsi="Arial"/>
          <w:sz w:val="22"/>
        </w:rPr>
        <w:t xml:space="preserve">hulladékgyűjtőt használják a komposztálható és a nem komposztálható műanyag </w:t>
      </w:r>
      <w:proofErr w:type="spellStart"/>
      <w:r w:rsidR="00C97E21">
        <w:rPr>
          <w:rFonts w:ascii="Arial" w:hAnsi="Arial"/>
          <w:sz w:val="22"/>
        </w:rPr>
        <w:t>hordtasakok</w:t>
      </w:r>
      <w:proofErr w:type="spellEnd"/>
      <w:r w:rsidR="00C97E21">
        <w:rPr>
          <w:rFonts w:ascii="Arial" w:hAnsi="Arial"/>
          <w:sz w:val="22"/>
        </w:rPr>
        <w:t xml:space="preserve"> eldobásához. </w:t>
      </w:r>
      <w:r>
        <w:rPr>
          <w:rFonts w:ascii="Arial" w:hAnsi="Arial"/>
          <w:sz w:val="22"/>
        </w:rPr>
        <w:t xml:space="preserve">Ennek megfelelően a helyi szervezetek és a magánszektor is folytathat szemléletformáló kampányokat. Tekintettel arra, hogy a műanyag </w:t>
      </w:r>
      <w:proofErr w:type="spellStart"/>
      <w:r>
        <w:rPr>
          <w:rFonts w:ascii="Arial" w:hAnsi="Arial"/>
          <w:sz w:val="22"/>
        </w:rPr>
        <w:t>hordtasakok</w:t>
      </w:r>
      <w:proofErr w:type="spellEnd"/>
      <w:r>
        <w:rPr>
          <w:rFonts w:ascii="Arial" w:hAnsi="Arial"/>
          <w:sz w:val="22"/>
        </w:rPr>
        <w:t xml:space="preserve"> csomagolóanyagok, a közigazgatási szervek által folytatott kampányokat a kiterjesztett kollektív felelősségi rendszerek (korábbi megnevezésük: integrált irányítási rendszerek) finanszírozhatják az autonóm közösségek – vagy adott esetben helyi szervezetek – és e rendszerek között létrejött finanszírozási megállapodások keretében.</w:t>
      </w:r>
    </w:p>
    <w:p w:rsidR="00097EA7" w:rsidRPr="00E6754E" w:rsidRDefault="00097EA7" w:rsidP="00097EA7">
      <w:pPr>
        <w:ind w:left="851" w:right="339"/>
        <w:jc w:val="both"/>
        <w:rPr>
          <w:rFonts w:ascii="Arial" w:hAnsi="Arial" w:cs="Arial"/>
          <w:sz w:val="22"/>
          <w:szCs w:val="22"/>
        </w:rPr>
      </w:pPr>
    </w:p>
    <w:p w:rsidR="00097EA7" w:rsidRPr="00E6754E" w:rsidRDefault="00097EA7" w:rsidP="00097EA7">
      <w:pPr>
        <w:ind w:left="851" w:right="339" w:firstLine="708"/>
        <w:jc w:val="both"/>
        <w:rPr>
          <w:rFonts w:ascii="Arial" w:hAnsi="Arial" w:cs="Arial"/>
          <w:sz w:val="22"/>
          <w:szCs w:val="22"/>
        </w:rPr>
      </w:pPr>
      <w:r>
        <w:rPr>
          <w:rFonts w:ascii="Arial" w:hAnsi="Arial"/>
          <w:sz w:val="22"/>
        </w:rPr>
        <w:t xml:space="preserve">A rendelet a közösségi jogszabályok rendelkezései alapján kötelezettséget ír elő a komposztálható </w:t>
      </w:r>
      <w:proofErr w:type="spellStart"/>
      <w:r>
        <w:rPr>
          <w:rFonts w:ascii="Arial" w:hAnsi="Arial"/>
          <w:sz w:val="22"/>
        </w:rPr>
        <w:t>hordtasakoknak</w:t>
      </w:r>
      <w:proofErr w:type="spellEnd"/>
      <w:r>
        <w:rPr>
          <w:rFonts w:ascii="Arial" w:hAnsi="Arial"/>
          <w:sz w:val="22"/>
        </w:rPr>
        <w:t xml:space="preserve"> – az ilyen </w:t>
      </w:r>
      <w:proofErr w:type="spellStart"/>
      <w:r>
        <w:rPr>
          <w:rFonts w:ascii="Arial" w:hAnsi="Arial"/>
          <w:sz w:val="22"/>
        </w:rPr>
        <w:t>hordtasakok</w:t>
      </w:r>
      <w:proofErr w:type="spellEnd"/>
      <w:r>
        <w:rPr>
          <w:rFonts w:ascii="Arial" w:hAnsi="Arial"/>
          <w:sz w:val="22"/>
        </w:rPr>
        <w:t xml:space="preserve"> egész EU-ban történő elismerését garantáló címkékre, illetve jelölésekre vonatkozó előírások meghatározásáról szóló jogszabály Európai Bizottság általi elfogadásától számított – </w:t>
      </w:r>
      <w:r w:rsidR="00C97E21">
        <w:rPr>
          <w:rFonts w:ascii="Arial" w:hAnsi="Arial"/>
          <w:sz w:val="22"/>
        </w:rPr>
        <w:t>18</w:t>
      </w:r>
      <w:r>
        <w:rPr>
          <w:rFonts w:ascii="Arial" w:hAnsi="Arial"/>
          <w:sz w:val="22"/>
        </w:rPr>
        <w:t xml:space="preserve"> hónapon belüli megjelölésére, továbbá az említett </w:t>
      </w:r>
      <w:proofErr w:type="spellStart"/>
      <w:r>
        <w:rPr>
          <w:rFonts w:ascii="Arial" w:hAnsi="Arial"/>
          <w:sz w:val="22"/>
        </w:rPr>
        <w:t>hordtasakok</w:t>
      </w:r>
      <w:proofErr w:type="spellEnd"/>
      <w:r>
        <w:rPr>
          <w:rFonts w:ascii="Arial" w:hAnsi="Arial"/>
          <w:sz w:val="22"/>
        </w:rPr>
        <w:t xml:space="preserve"> tulajdonságaival kapcsolatos helyes fogyasztói tájékoztatásra vonatkozóan.</w:t>
      </w:r>
    </w:p>
    <w:p w:rsidR="00097EA7" w:rsidRPr="00E6754E" w:rsidRDefault="00097EA7" w:rsidP="00097EA7">
      <w:pPr>
        <w:ind w:left="851" w:right="339" w:firstLine="708"/>
        <w:jc w:val="both"/>
        <w:rPr>
          <w:rFonts w:ascii="Arial" w:hAnsi="Arial" w:cs="Arial"/>
          <w:sz w:val="22"/>
          <w:szCs w:val="22"/>
        </w:rPr>
      </w:pPr>
    </w:p>
    <w:p w:rsidR="00097EA7" w:rsidRPr="00E6754E" w:rsidRDefault="00097EA7" w:rsidP="00097EA7">
      <w:pPr>
        <w:keepNext/>
        <w:keepLines/>
        <w:ind w:left="851" w:right="339"/>
        <w:jc w:val="center"/>
        <w:rPr>
          <w:rFonts w:ascii="Arial" w:hAnsi="Arial" w:cs="Arial"/>
          <w:sz w:val="22"/>
          <w:szCs w:val="22"/>
        </w:rPr>
      </w:pPr>
      <w:r>
        <w:rPr>
          <w:rFonts w:ascii="Arial" w:hAnsi="Arial"/>
          <w:sz w:val="22"/>
        </w:rPr>
        <w:t>IV.</w:t>
      </w:r>
    </w:p>
    <w:p w:rsidR="00097EA7" w:rsidRPr="00E6754E" w:rsidRDefault="00097EA7" w:rsidP="00097EA7">
      <w:pPr>
        <w:keepNext/>
        <w:keepLines/>
        <w:ind w:left="851" w:right="339"/>
        <w:jc w:val="center"/>
        <w:rPr>
          <w:rFonts w:ascii="Arial" w:hAnsi="Arial" w:cs="Arial"/>
          <w:sz w:val="22"/>
          <w:szCs w:val="22"/>
        </w:rPr>
      </w:pPr>
    </w:p>
    <w:p w:rsidR="00097EA7" w:rsidRPr="00E6754E" w:rsidRDefault="00097EA7" w:rsidP="00097EA7">
      <w:pPr>
        <w:ind w:left="851" w:right="339" w:firstLine="708"/>
        <w:jc w:val="both"/>
        <w:rPr>
          <w:rFonts w:ascii="Arial" w:hAnsi="Arial" w:cs="Arial"/>
          <w:sz w:val="22"/>
          <w:szCs w:val="22"/>
        </w:rPr>
      </w:pPr>
      <w:r>
        <w:rPr>
          <w:rFonts w:ascii="Arial" w:hAnsi="Arial"/>
          <w:sz w:val="22"/>
        </w:rPr>
        <w:t xml:space="preserve">A 2011. július 28-i 22/2011 törvény – a hulladékokról és egyes irányelvek hatályon kívül helyezéséről szóló, 2008. november 19-i 2008/98/EK európai parlamenti és tanácsi irányelvben (hulladékokról szóló keretirányelv) meghatározottak szerint – a hulladékok megelőzésére, </w:t>
      </w:r>
      <w:proofErr w:type="spellStart"/>
      <w:r>
        <w:rPr>
          <w:rFonts w:ascii="Arial" w:hAnsi="Arial"/>
          <w:sz w:val="22"/>
        </w:rPr>
        <w:t>újrahasználatára</w:t>
      </w:r>
      <w:proofErr w:type="spellEnd"/>
      <w:r>
        <w:rPr>
          <w:rFonts w:ascii="Arial" w:hAnsi="Arial"/>
          <w:sz w:val="22"/>
        </w:rPr>
        <w:t xml:space="preserve"> és újrafeldolgozására vonatkozó intézkedések végrehajtását mozdítja elő. A törvény tervezési eszközökként hulladékkezelési terveket és programokat, továbbá </w:t>
      </w:r>
      <w:proofErr w:type="spellStart"/>
      <w:r>
        <w:rPr>
          <w:rFonts w:ascii="Arial" w:hAnsi="Arial"/>
          <w:sz w:val="22"/>
        </w:rPr>
        <w:t>hulladékmegelőzési</w:t>
      </w:r>
      <w:proofErr w:type="spellEnd"/>
      <w:r>
        <w:rPr>
          <w:rFonts w:ascii="Arial" w:hAnsi="Arial"/>
          <w:sz w:val="22"/>
        </w:rPr>
        <w:t xml:space="preserve"> programokat ír elő, és célkitűzéseket határoz meg a hulladékok megelőzésére és elkülönített gyűjtésére vonatkozóan. Ezek a megelőzésre és elkülönített gyűjtésre vonatkozó célkitűzések – többek között – a piacra kerülő és a használatuk révén hulladékká alakuló termékek mennyiségére és típusára vonatkozóan rendelkezésre álló információkhoz kapcsolódnak.</w:t>
      </w:r>
    </w:p>
    <w:p w:rsidR="00097EA7" w:rsidRPr="00E6754E" w:rsidRDefault="00097EA7" w:rsidP="00097EA7">
      <w:pPr>
        <w:ind w:left="851" w:right="339" w:firstLine="708"/>
        <w:jc w:val="both"/>
        <w:rPr>
          <w:rFonts w:ascii="Arial" w:hAnsi="Arial" w:cs="Arial"/>
          <w:sz w:val="22"/>
          <w:szCs w:val="22"/>
        </w:rPr>
      </w:pPr>
    </w:p>
    <w:p w:rsidR="00097EA7" w:rsidRPr="00E6754E" w:rsidRDefault="00097EA7" w:rsidP="00097EA7">
      <w:pPr>
        <w:ind w:left="851" w:right="339" w:firstLine="708"/>
        <w:jc w:val="both"/>
        <w:rPr>
          <w:rFonts w:ascii="Arial" w:hAnsi="Arial" w:cs="Arial"/>
          <w:sz w:val="22"/>
          <w:szCs w:val="22"/>
        </w:rPr>
      </w:pPr>
      <w:r>
        <w:rPr>
          <w:rFonts w:ascii="Arial" w:hAnsi="Arial"/>
          <w:sz w:val="22"/>
        </w:rPr>
        <w:t>Mivel egyre fontosabbá válik, hogy előrelépés történjen bizonyos hulladékok keletkezésének megelőzése, azok begyűjtési módjainak javítása, az újrafeldolgozási arányok javítása és adott esetben azok finanszírozásával kapcsolatos intézkedések alkalmazása terén, a környezetvédelmi hatóságok bővebb tájékoztatást írnak elő a piacra kerülő és a használatuk révén hulladékká váló termékek mennyiségét és típusait illetően.</w:t>
      </w:r>
    </w:p>
    <w:p w:rsidR="00097EA7" w:rsidRPr="00E6754E" w:rsidRDefault="00097EA7" w:rsidP="00097EA7">
      <w:pPr>
        <w:ind w:left="851" w:right="339" w:firstLine="708"/>
        <w:jc w:val="both"/>
        <w:rPr>
          <w:rFonts w:ascii="Arial" w:hAnsi="Arial" w:cs="Arial"/>
          <w:sz w:val="22"/>
          <w:szCs w:val="22"/>
        </w:rPr>
      </w:pPr>
    </w:p>
    <w:p w:rsidR="00097EA7" w:rsidRPr="00E6754E" w:rsidRDefault="00097EA7" w:rsidP="00097EA7">
      <w:pPr>
        <w:ind w:left="851" w:right="339" w:firstLine="708"/>
        <w:jc w:val="both"/>
        <w:rPr>
          <w:rFonts w:ascii="Arial" w:hAnsi="Arial" w:cs="Arial"/>
          <w:sz w:val="22"/>
          <w:szCs w:val="22"/>
        </w:rPr>
      </w:pPr>
      <w:r>
        <w:rPr>
          <w:rFonts w:ascii="Arial" w:hAnsi="Arial"/>
          <w:sz w:val="22"/>
        </w:rPr>
        <w:t>A piacra kerülő és bizonyos típusú hulladékokat eredményező termékek mennyiségére vonatkozó információ nyilvántartás formájában történő gyűjtésére irányuló</w:t>
      </w:r>
      <w:r w:rsidR="00881517">
        <w:rPr>
          <w:rFonts w:ascii="Arial" w:hAnsi="Arial"/>
          <w:sz w:val="22"/>
        </w:rPr>
        <w:t xml:space="preserve"> </w:t>
      </w:r>
      <w:r>
        <w:rPr>
          <w:rFonts w:ascii="Arial" w:hAnsi="Arial"/>
          <w:sz w:val="22"/>
        </w:rPr>
        <w:t>kötelezettséget számos, hulladékkezelésről szóló közösségi irányelv előírja, különös tekintettel az előállító kibővített felelősségvállalásának elvére vonatkozó jogszabályokra. Ezen esetekben minden termékgyártó az általa forgalomba hozott termék mennyiségének és típusának megfelelő mértékben járul hozzá pénzügyileg a hulladékkezelés finanszírozásához.</w:t>
      </w:r>
    </w:p>
    <w:p w:rsidR="00097EA7" w:rsidRPr="00E6754E" w:rsidRDefault="00097EA7" w:rsidP="00097EA7">
      <w:pPr>
        <w:ind w:left="851" w:right="339"/>
        <w:jc w:val="both"/>
        <w:rPr>
          <w:rFonts w:ascii="Arial" w:hAnsi="Arial" w:cs="Arial"/>
          <w:sz w:val="22"/>
          <w:szCs w:val="22"/>
        </w:rPr>
      </w:pPr>
    </w:p>
    <w:p w:rsidR="00097EA7" w:rsidRPr="00E6754E" w:rsidRDefault="00097EA7" w:rsidP="00097EA7">
      <w:pPr>
        <w:ind w:left="851" w:right="339" w:firstLine="708"/>
        <w:jc w:val="both"/>
        <w:rPr>
          <w:rFonts w:ascii="Arial" w:hAnsi="Arial" w:cs="Arial"/>
          <w:sz w:val="22"/>
          <w:szCs w:val="22"/>
        </w:rPr>
      </w:pPr>
      <w:r>
        <w:rPr>
          <w:rFonts w:ascii="Arial" w:hAnsi="Arial"/>
          <w:sz w:val="22"/>
        </w:rPr>
        <w:t xml:space="preserve">Egy csomagolástípus – így a műanyag </w:t>
      </w:r>
      <w:proofErr w:type="spellStart"/>
      <w:r>
        <w:rPr>
          <w:rFonts w:ascii="Arial" w:hAnsi="Arial"/>
          <w:sz w:val="22"/>
        </w:rPr>
        <w:t>hordtasakok</w:t>
      </w:r>
      <w:proofErr w:type="spellEnd"/>
      <w:r>
        <w:rPr>
          <w:rFonts w:ascii="Arial" w:hAnsi="Arial"/>
          <w:sz w:val="22"/>
        </w:rPr>
        <w:t xml:space="preserve"> – forgalomba hozatalával kapcsolatosan rendelkezésre bocsátott információk elengedhetetlenek annak értékeléséhez, hogy teljesülnek-e a felhasználás csökkentésére vonatkozó közösségi célkitűzések, továbbá az Európai Bizottság számára történő éves információszolgáltatási kötelezettség betarthatósága érdekében. Ennélfogva elő kell írni a gyártók számára, hogy szolgáltassanak éves szintű adatokat a műanyag </w:t>
      </w:r>
      <w:proofErr w:type="spellStart"/>
      <w:r>
        <w:rPr>
          <w:rFonts w:ascii="Arial" w:hAnsi="Arial"/>
          <w:sz w:val="22"/>
        </w:rPr>
        <w:t>hordtasakok</w:t>
      </w:r>
      <w:proofErr w:type="spellEnd"/>
      <w:r>
        <w:rPr>
          <w:rFonts w:ascii="Arial" w:hAnsi="Arial"/>
          <w:sz w:val="22"/>
        </w:rPr>
        <w:t xml:space="preserve"> forgalomba hozataláról. Ebből a célból létrehozzák </w:t>
      </w:r>
      <w:r w:rsidR="000C24B1">
        <w:rPr>
          <w:rFonts w:ascii="Arial" w:hAnsi="Arial"/>
          <w:sz w:val="22"/>
        </w:rPr>
        <w:t xml:space="preserve">a Termékgyártók Nyilvántartását. A nyilvántartás </w:t>
      </w:r>
      <w:r w:rsidR="00895B96">
        <w:rPr>
          <w:rFonts w:ascii="Arial" w:hAnsi="Arial"/>
          <w:sz w:val="22"/>
        </w:rPr>
        <w:t>köz</w:t>
      </w:r>
      <w:r w:rsidR="000C24B1">
        <w:rPr>
          <w:rFonts w:ascii="Arial" w:hAnsi="Arial"/>
          <w:sz w:val="22"/>
        </w:rPr>
        <w:t>igazgatási</w:t>
      </w:r>
      <w:r w:rsidR="00895B96">
        <w:rPr>
          <w:rFonts w:ascii="Arial" w:hAnsi="Arial"/>
          <w:sz w:val="22"/>
        </w:rPr>
        <w:t xml:space="preserve"> és nyilatkozattételi jellegű</w:t>
      </w:r>
      <w:r w:rsidR="000C24B1">
        <w:rPr>
          <w:rFonts w:ascii="Arial" w:hAnsi="Arial"/>
          <w:sz w:val="22"/>
        </w:rPr>
        <w:t>,</w:t>
      </w:r>
      <w:r w:rsidR="00B331A7">
        <w:rPr>
          <w:rFonts w:ascii="Arial" w:hAnsi="Arial"/>
          <w:sz w:val="22"/>
        </w:rPr>
        <w:t xml:space="preserve"> </w:t>
      </w:r>
      <w:r>
        <w:rPr>
          <w:rFonts w:ascii="Arial" w:hAnsi="Arial"/>
          <w:sz w:val="22"/>
        </w:rPr>
        <w:t>amely a Mezőgazdasági, Halászati, Élelmezésügyi és Környezetvédelmi Minisztérium Minőségügyi és Környezetvédelmi Értékelésért és Természetes Környezetért Felelős Főigazgatóság</w:t>
      </w:r>
      <w:r w:rsidR="000E309A">
        <w:rPr>
          <w:rFonts w:ascii="Arial" w:hAnsi="Arial"/>
          <w:sz w:val="22"/>
        </w:rPr>
        <w:t>ának</w:t>
      </w:r>
      <w:r w:rsidR="006E3791">
        <w:rPr>
          <w:rFonts w:ascii="Arial" w:hAnsi="Arial"/>
          <w:sz w:val="22"/>
        </w:rPr>
        <w:t xml:space="preserve"> </w:t>
      </w:r>
      <w:r w:rsidR="000C24B1">
        <w:rPr>
          <w:rFonts w:ascii="Arial" w:hAnsi="Arial"/>
          <w:sz w:val="22"/>
        </w:rPr>
        <w:t>felelősségi körébe tartozik</w:t>
      </w:r>
      <w:r>
        <w:rPr>
          <w:rFonts w:ascii="Arial" w:hAnsi="Arial"/>
          <w:sz w:val="22"/>
        </w:rPr>
        <w:t xml:space="preserve">. </w:t>
      </w:r>
    </w:p>
    <w:p w:rsidR="00097EA7" w:rsidRPr="00E6754E" w:rsidRDefault="00097EA7" w:rsidP="00097EA7">
      <w:pPr>
        <w:ind w:left="851" w:right="339" w:firstLine="708"/>
        <w:jc w:val="both"/>
        <w:rPr>
          <w:rFonts w:ascii="Arial" w:hAnsi="Arial" w:cs="Arial"/>
          <w:sz w:val="22"/>
          <w:szCs w:val="22"/>
        </w:rPr>
      </w:pPr>
    </w:p>
    <w:p w:rsidR="00097EA7" w:rsidRPr="00E6754E" w:rsidRDefault="00097EA7" w:rsidP="00097EA7">
      <w:pPr>
        <w:ind w:left="851" w:right="339" w:firstLine="708"/>
        <w:jc w:val="both"/>
        <w:rPr>
          <w:rFonts w:ascii="Arial" w:hAnsi="Arial" w:cs="Arial"/>
          <w:sz w:val="22"/>
          <w:szCs w:val="22"/>
        </w:rPr>
      </w:pPr>
      <w:r>
        <w:rPr>
          <w:rFonts w:ascii="Arial" w:hAnsi="Arial"/>
          <w:sz w:val="22"/>
        </w:rPr>
        <w:t xml:space="preserve">A </w:t>
      </w:r>
      <w:r w:rsidR="00B45F3F">
        <w:rPr>
          <w:rFonts w:ascii="Arial" w:hAnsi="Arial"/>
          <w:sz w:val="22"/>
        </w:rPr>
        <w:t>Termékgyártók</w:t>
      </w:r>
      <w:r w:rsidR="006E3791">
        <w:rPr>
          <w:rFonts w:ascii="Arial" w:hAnsi="Arial"/>
          <w:sz w:val="22"/>
        </w:rPr>
        <w:t xml:space="preserve"> </w:t>
      </w:r>
      <w:r w:rsidR="00B45F3F">
        <w:rPr>
          <w:rFonts w:ascii="Arial" w:hAnsi="Arial"/>
          <w:sz w:val="22"/>
        </w:rPr>
        <w:t>N</w:t>
      </w:r>
      <w:r>
        <w:rPr>
          <w:rFonts w:ascii="Arial" w:hAnsi="Arial"/>
          <w:sz w:val="22"/>
        </w:rPr>
        <w:t>yilvántartás</w:t>
      </w:r>
      <w:r w:rsidR="00B45F3F">
        <w:rPr>
          <w:rFonts w:ascii="Arial" w:hAnsi="Arial"/>
          <w:sz w:val="22"/>
        </w:rPr>
        <w:t>á</w:t>
      </w:r>
      <w:r>
        <w:rPr>
          <w:rFonts w:ascii="Arial" w:hAnsi="Arial"/>
          <w:sz w:val="22"/>
        </w:rPr>
        <w:t xml:space="preserve">n belül létrehozásra kerül egy, a műanyag </w:t>
      </w:r>
      <w:proofErr w:type="spellStart"/>
      <w:r>
        <w:rPr>
          <w:rFonts w:ascii="Arial" w:hAnsi="Arial"/>
          <w:sz w:val="22"/>
        </w:rPr>
        <w:t>hordtasakok</w:t>
      </w:r>
      <w:proofErr w:type="spellEnd"/>
      <w:r>
        <w:rPr>
          <w:rFonts w:ascii="Arial" w:hAnsi="Arial"/>
          <w:sz w:val="22"/>
        </w:rPr>
        <w:t xml:space="preserve"> gyártóit nyilvántartó részleg</w:t>
      </w:r>
      <w:r w:rsidR="0054437E">
        <w:rPr>
          <w:rFonts w:ascii="Arial" w:hAnsi="Arial"/>
          <w:sz w:val="22"/>
        </w:rPr>
        <w:t>; a különleges hulladékáramokat szabályozó egyéb rendeletek révén új nyilvántartási részlegek is létrehozhatók</w:t>
      </w:r>
      <w:r>
        <w:rPr>
          <w:rFonts w:ascii="Arial" w:hAnsi="Arial"/>
          <w:sz w:val="22"/>
        </w:rPr>
        <w:t xml:space="preserve"> </w:t>
      </w:r>
    </w:p>
    <w:p w:rsidR="00097EA7" w:rsidRPr="00E6754E" w:rsidRDefault="00097EA7" w:rsidP="00097EA7">
      <w:pPr>
        <w:ind w:left="851" w:right="339" w:firstLine="708"/>
        <w:jc w:val="both"/>
        <w:rPr>
          <w:rFonts w:ascii="Arial" w:hAnsi="Arial" w:cs="Arial"/>
          <w:sz w:val="22"/>
          <w:szCs w:val="22"/>
        </w:rPr>
      </w:pPr>
    </w:p>
    <w:p w:rsidR="00097EA7" w:rsidRPr="00E6754E" w:rsidRDefault="00097EA7" w:rsidP="00097EA7">
      <w:pPr>
        <w:ind w:left="851" w:right="339" w:firstLine="708"/>
        <w:jc w:val="both"/>
        <w:rPr>
          <w:rFonts w:ascii="Arial" w:hAnsi="Arial" w:cs="Arial"/>
          <w:sz w:val="22"/>
          <w:szCs w:val="22"/>
        </w:rPr>
      </w:pPr>
      <w:r>
        <w:rPr>
          <w:rFonts w:ascii="Arial" w:hAnsi="Arial"/>
          <w:sz w:val="22"/>
        </w:rPr>
        <w:t xml:space="preserve">A királyi rendelet részletesen meghatározza a műanyag </w:t>
      </w:r>
      <w:proofErr w:type="spellStart"/>
      <w:r>
        <w:rPr>
          <w:rFonts w:ascii="Arial" w:hAnsi="Arial"/>
          <w:sz w:val="22"/>
        </w:rPr>
        <w:t>hordtasakok</w:t>
      </w:r>
      <w:proofErr w:type="spellEnd"/>
      <w:r>
        <w:rPr>
          <w:rFonts w:ascii="Arial" w:hAnsi="Arial"/>
          <w:sz w:val="22"/>
        </w:rPr>
        <w:t xml:space="preserve"> gyártóinak és importőreinek azon kötelezettségét, amely szerint – a szóban forgó királyi rendelet hatálybalépésétől számított három hónapon belül – be kell jegyezni azokat a </w:t>
      </w:r>
      <w:r w:rsidR="00244710">
        <w:rPr>
          <w:rFonts w:ascii="Arial" w:hAnsi="Arial"/>
          <w:sz w:val="22"/>
        </w:rPr>
        <w:t xml:space="preserve">Termékgyártók Nyilvántartásának </w:t>
      </w:r>
      <w:r>
        <w:rPr>
          <w:rFonts w:ascii="Arial" w:hAnsi="Arial"/>
          <w:sz w:val="22"/>
        </w:rPr>
        <w:t xml:space="preserve">műanyag </w:t>
      </w:r>
      <w:proofErr w:type="spellStart"/>
      <w:r>
        <w:rPr>
          <w:rFonts w:ascii="Arial" w:hAnsi="Arial"/>
          <w:sz w:val="22"/>
        </w:rPr>
        <w:t>hordtasakokra</w:t>
      </w:r>
      <w:proofErr w:type="spellEnd"/>
      <w:r>
        <w:rPr>
          <w:rFonts w:ascii="Arial" w:hAnsi="Arial"/>
          <w:sz w:val="22"/>
        </w:rPr>
        <w:t xml:space="preserve"> vonatkozó részlegébe, továbbá információt kell szolgáltatni a műanyag </w:t>
      </w:r>
      <w:proofErr w:type="spellStart"/>
      <w:r>
        <w:rPr>
          <w:rFonts w:ascii="Arial" w:hAnsi="Arial"/>
          <w:sz w:val="22"/>
        </w:rPr>
        <w:t>hordtasakok</w:t>
      </w:r>
      <w:proofErr w:type="spellEnd"/>
      <w:r>
        <w:rPr>
          <w:rFonts w:ascii="Arial" w:hAnsi="Arial"/>
          <w:sz w:val="22"/>
        </w:rPr>
        <w:t xml:space="preserve"> forgalomba hozataláról a műanyag </w:t>
      </w:r>
      <w:proofErr w:type="spellStart"/>
      <w:r>
        <w:rPr>
          <w:rFonts w:ascii="Arial" w:hAnsi="Arial"/>
          <w:sz w:val="22"/>
        </w:rPr>
        <w:t>hordtasakokra</w:t>
      </w:r>
      <w:proofErr w:type="spellEnd"/>
      <w:r>
        <w:rPr>
          <w:rFonts w:ascii="Arial" w:hAnsi="Arial"/>
          <w:sz w:val="22"/>
        </w:rPr>
        <w:t xml:space="preserve"> vonatkozó éves felhasználással kapcsolatos, az Európai Bizottság számára történő éves információszolgáltatási kötelezettségnek való megfelelés érdekében.</w:t>
      </w:r>
    </w:p>
    <w:p w:rsidR="00097EA7" w:rsidRPr="00E6754E" w:rsidRDefault="00097EA7" w:rsidP="00097EA7">
      <w:pPr>
        <w:ind w:left="851" w:right="339"/>
        <w:jc w:val="both"/>
        <w:rPr>
          <w:rFonts w:ascii="Arial" w:hAnsi="Arial" w:cs="Arial"/>
          <w:sz w:val="22"/>
          <w:szCs w:val="22"/>
        </w:rPr>
      </w:pPr>
    </w:p>
    <w:p w:rsidR="00097EA7" w:rsidRPr="00E6754E" w:rsidRDefault="00097EA7" w:rsidP="00097EA7">
      <w:pPr>
        <w:keepNext/>
        <w:keepLines/>
        <w:ind w:left="851" w:right="339"/>
        <w:jc w:val="center"/>
        <w:rPr>
          <w:rFonts w:ascii="Arial" w:hAnsi="Arial" w:cs="Arial"/>
          <w:sz w:val="22"/>
          <w:szCs w:val="22"/>
        </w:rPr>
      </w:pPr>
      <w:r>
        <w:rPr>
          <w:rFonts w:ascii="Arial" w:hAnsi="Arial"/>
          <w:sz w:val="22"/>
        </w:rPr>
        <w:t>V.</w:t>
      </w:r>
    </w:p>
    <w:p w:rsidR="00097EA7" w:rsidRPr="00E6754E" w:rsidRDefault="00097EA7" w:rsidP="00097EA7">
      <w:pPr>
        <w:keepNext/>
        <w:keepLines/>
        <w:ind w:left="851" w:right="339"/>
        <w:jc w:val="both"/>
        <w:rPr>
          <w:rFonts w:ascii="Arial" w:hAnsi="Arial" w:cs="Arial"/>
          <w:sz w:val="22"/>
          <w:szCs w:val="22"/>
        </w:rPr>
      </w:pPr>
    </w:p>
    <w:p w:rsidR="00097EA7" w:rsidRPr="00E6754E" w:rsidRDefault="00097EA7" w:rsidP="00097EA7">
      <w:pPr>
        <w:ind w:left="851" w:right="339" w:firstLine="708"/>
        <w:jc w:val="both"/>
        <w:rPr>
          <w:rFonts w:ascii="Arial" w:hAnsi="Arial" w:cs="Arial"/>
          <w:sz w:val="22"/>
          <w:szCs w:val="22"/>
        </w:rPr>
      </w:pPr>
      <w:r>
        <w:rPr>
          <w:rFonts w:ascii="Arial" w:hAnsi="Arial"/>
          <w:sz w:val="22"/>
        </w:rPr>
        <w:t xml:space="preserve">Ez a királyi rendelet a spanyol alkotmány 149. cikke 1. bekezdése 16ª. és 23ª. szabályában foglalt rendelkezések értelmében került kihirdetésre, amelyek kizárólagos illetékességet biztosítanak az államnak a gazdasági tevékenység általános tervezésének koordinációja, valamint a környezetvédelemre vonatkozó alapjogszabályok területén. A szóban forgó jogszabályi rendelkezés végrehajtására vonatkozó felhatalmazás a 2011. július 28-i 22/2011 törvény harmadik záró rendelkezésében szerepel, amely felhatalmazza a nemzeti kormányt, hogy az illetékességi körén belül meghozza azokat a jogszabályi rendelkezéseket, amelyek jelen törvény végrehajtásához és alkalmazásához szükségesek, különös tekintettel a különféle típusú hulladékokra vonatkozó, azok előállítását és kezelését konkrétan rögzítő rendelkezéseket tartalmazó jogszabályok meghatározására és az említett törvény nyolcadik kiegészítő rendelkezésére, amely előírja a hulladékokkal kapcsolatos végrehajtási rendelkezések törvényében szereplő előrejelzések elfogadását. </w:t>
      </w:r>
    </w:p>
    <w:p w:rsidR="00097EA7" w:rsidRPr="00E6754E" w:rsidRDefault="00097EA7" w:rsidP="00097EA7">
      <w:pPr>
        <w:ind w:left="851" w:right="339"/>
        <w:jc w:val="both"/>
        <w:rPr>
          <w:rFonts w:ascii="Arial" w:hAnsi="Arial" w:cs="Arial"/>
          <w:sz w:val="22"/>
          <w:szCs w:val="22"/>
        </w:rPr>
      </w:pPr>
    </w:p>
    <w:p w:rsidR="00097EA7" w:rsidRPr="00E6754E" w:rsidRDefault="00097EA7" w:rsidP="00097EA7">
      <w:pPr>
        <w:ind w:left="851" w:right="339" w:firstLine="708"/>
        <w:jc w:val="both"/>
        <w:rPr>
          <w:rFonts w:ascii="Arial" w:hAnsi="Arial" w:cs="Arial"/>
          <w:sz w:val="22"/>
          <w:szCs w:val="22"/>
        </w:rPr>
      </w:pPr>
      <w:r>
        <w:rPr>
          <w:rFonts w:ascii="Arial" w:hAnsi="Arial"/>
          <w:sz w:val="22"/>
        </w:rPr>
        <w:t>Az e királyi rendeltben foglalt intézkedések jellege továbbá a 2011. július 28-i 22/2011 törvény 16.1. cikkében meghatározottakon alapul, amely elrendeli, hogy az illetékes hatóságok gazdasági, pénzügyi és adóügyi intézkedéseket határozhatnak meg a hulladéktermelődés megelőzésének előmozdítására, az elkülönített gyűjtés megvalósítására, a hulladékok kezelésének javítására, az újrafeldolgozási piacok megerősítésére és arra irányulóan, hogy a hulladékágazat hozzájáruljon az üvegházhatást okozó gázok kibocsátásának enyhítéséhez.</w:t>
      </w:r>
    </w:p>
    <w:p w:rsidR="00097EA7" w:rsidRPr="00E6754E" w:rsidRDefault="00097EA7" w:rsidP="00097EA7">
      <w:pPr>
        <w:ind w:left="851" w:right="339"/>
        <w:jc w:val="both"/>
        <w:rPr>
          <w:rFonts w:ascii="Arial" w:hAnsi="Arial" w:cs="Arial"/>
          <w:sz w:val="22"/>
          <w:szCs w:val="22"/>
        </w:rPr>
      </w:pPr>
    </w:p>
    <w:p w:rsidR="00097EA7" w:rsidRPr="00E6754E" w:rsidRDefault="00097EA7" w:rsidP="00097EA7">
      <w:pPr>
        <w:ind w:left="851" w:right="339" w:firstLine="708"/>
        <w:jc w:val="both"/>
        <w:rPr>
          <w:rFonts w:ascii="Arial" w:hAnsi="Arial" w:cs="Arial"/>
          <w:sz w:val="22"/>
          <w:szCs w:val="22"/>
        </w:rPr>
      </w:pPr>
      <w:r>
        <w:rPr>
          <w:rFonts w:ascii="Arial" w:hAnsi="Arial"/>
          <w:sz w:val="22"/>
        </w:rPr>
        <w:t>A szóban forgó királyi rendelet szövegének kidolgozását megelőzően – a Mezőgazdasági, Halászati, Élelmezésügyi és Környezetvédelmi Minisztérium webes portálján keresztül – sor került a kormány 1997. november 27-i 50/1997 törvényének 26.2. cikkével kapcsolatosan az államháztartás egységes közigazgatási eljárásáról szóló, 2015. október 1-jei 39/2015 törvény 133. cikkében előírt előzetes konzultációra.</w:t>
      </w:r>
    </w:p>
    <w:p w:rsidR="00097EA7" w:rsidRPr="00E6754E" w:rsidRDefault="00097EA7" w:rsidP="00097EA7">
      <w:pPr>
        <w:ind w:left="851" w:right="339" w:firstLine="708"/>
        <w:jc w:val="both"/>
        <w:rPr>
          <w:rFonts w:ascii="Arial" w:hAnsi="Arial" w:cs="Arial"/>
          <w:sz w:val="22"/>
          <w:szCs w:val="22"/>
        </w:rPr>
      </w:pPr>
    </w:p>
    <w:p w:rsidR="00097EA7" w:rsidRPr="00E6754E" w:rsidRDefault="00097EA7" w:rsidP="00097EA7">
      <w:pPr>
        <w:ind w:left="851" w:right="339" w:firstLine="708"/>
        <w:jc w:val="both"/>
        <w:rPr>
          <w:rFonts w:ascii="Arial" w:hAnsi="Arial" w:cs="Arial"/>
          <w:sz w:val="22"/>
          <w:szCs w:val="22"/>
        </w:rPr>
      </w:pPr>
      <w:r>
        <w:rPr>
          <w:rFonts w:ascii="Arial" w:hAnsi="Arial"/>
          <w:sz w:val="22"/>
        </w:rPr>
        <w:t xml:space="preserve">A szóban forgó királyi rendelet kidolgozása során a gazdasági és társadalmi szereplőkkel, az autonóm közösségekkel, az autonóm státusszal rendelkező </w:t>
      </w:r>
      <w:proofErr w:type="spellStart"/>
      <w:r>
        <w:rPr>
          <w:rFonts w:ascii="Arial" w:hAnsi="Arial"/>
          <w:sz w:val="22"/>
        </w:rPr>
        <w:t>Ceuta</w:t>
      </w:r>
      <w:proofErr w:type="spellEnd"/>
      <w:r>
        <w:rPr>
          <w:rFonts w:ascii="Arial" w:hAnsi="Arial"/>
          <w:sz w:val="22"/>
        </w:rPr>
        <w:t xml:space="preserve"> és </w:t>
      </w:r>
      <w:proofErr w:type="spellStart"/>
      <w:r>
        <w:rPr>
          <w:rFonts w:ascii="Arial" w:hAnsi="Arial"/>
          <w:sz w:val="22"/>
        </w:rPr>
        <w:t>Melilla</w:t>
      </w:r>
      <w:proofErr w:type="spellEnd"/>
      <w:r>
        <w:rPr>
          <w:rFonts w:ascii="Arial" w:hAnsi="Arial"/>
          <w:sz w:val="22"/>
        </w:rPr>
        <w:t xml:space="preserve"> várossal, továbbá a potenciálisan érintett, leginkább reprezentatív helyi szervezetekkel és ágazatokkal folytattak konzultációt. A tervezet</w:t>
      </w:r>
      <w:r w:rsidR="00244710">
        <w:rPr>
          <w:rFonts w:ascii="Arial" w:hAnsi="Arial"/>
          <w:sz w:val="22"/>
        </w:rPr>
        <w:t>et</w:t>
      </w:r>
      <w:r>
        <w:rPr>
          <w:rFonts w:ascii="Arial" w:hAnsi="Arial"/>
          <w:sz w:val="22"/>
        </w:rPr>
        <w:t xml:space="preserve"> továbbá</w:t>
      </w:r>
      <w:r w:rsidR="00244710">
        <w:rPr>
          <w:rFonts w:ascii="Arial" w:hAnsi="Arial"/>
          <w:sz w:val="22"/>
        </w:rPr>
        <w:t xml:space="preserve"> konzultáció céljából benyújtották</w:t>
      </w:r>
      <w:r w:rsidR="006E3791">
        <w:rPr>
          <w:rFonts w:ascii="Arial" w:hAnsi="Arial"/>
          <w:sz w:val="22"/>
        </w:rPr>
        <w:t xml:space="preserve"> </w:t>
      </w:r>
      <w:r>
        <w:rPr>
          <w:rFonts w:ascii="Arial" w:hAnsi="Arial"/>
          <w:sz w:val="22"/>
        </w:rPr>
        <w:t>a környezetvédelmi tanácsadói testület</w:t>
      </w:r>
      <w:r w:rsidR="00244710">
        <w:rPr>
          <w:rFonts w:ascii="Arial" w:hAnsi="Arial"/>
          <w:sz w:val="22"/>
        </w:rPr>
        <w:t>hez</w:t>
      </w:r>
      <w:r w:rsidR="00616214">
        <w:rPr>
          <w:rFonts w:ascii="Arial" w:hAnsi="Arial"/>
          <w:sz w:val="22"/>
        </w:rPr>
        <w:t>,</w:t>
      </w:r>
      <w:r>
        <w:rPr>
          <w:rFonts w:ascii="Arial" w:hAnsi="Arial"/>
          <w:sz w:val="22"/>
        </w:rPr>
        <w:t xml:space="preserve"> és – az információhoz való hozzáférési jogok szabályozásáról, a nyilvánosság részvételéről és a környezetvédelem területén az igazságszolgáltatáshoz való hozzáférésről szóló, 2006. július 18-i 27/2006 törvény (amely a 2003/4/EK és 2003/35/EK irányelveket ülteti át) és a kormány 1997. november 27-i 50/1997 törvényének rendelkezéseivel összhangban –</w:t>
      </w:r>
      <w:r w:rsidR="00616214">
        <w:rPr>
          <w:rFonts w:ascii="Arial" w:hAnsi="Arial"/>
          <w:sz w:val="22"/>
        </w:rPr>
        <w:t xml:space="preserve"> </w:t>
      </w:r>
      <w:r>
        <w:rPr>
          <w:rFonts w:ascii="Arial" w:hAnsi="Arial"/>
          <w:sz w:val="22"/>
        </w:rPr>
        <w:t xml:space="preserve">nyilvános </w:t>
      </w:r>
      <w:r w:rsidR="00616214">
        <w:rPr>
          <w:rFonts w:ascii="Arial" w:hAnsi="Arial"/>
          <w:sz w:val="22"/>
        </w:rPr>
        <w:t>konzultációs eljárás tárgyát képezte</w:t>
      </w:r>
      <w:r>
        <w:rPr>
          <w:rFonts w:ascii="Arial" w:hAnsi="Arial"/>
          <w:sz w:val="22"/>
        </w:rPr>
        <w:t>.</w:t>
      </w:r>
    </w:p>
    <w:p w:rsidR="00097EA7" w:rsidRPr="00E6754E" w:rsidRDefault="00097EA7" w:rsidP="00097EA7">
      <w:pPr>
        <w:ind w:left="851" w:right="339"/>
        <w:jc w:val="both"/>
        <w:rPr>
          <w:rFonts w:ascii="Arial" w:hAnsi="Arial" w:cs="Arial"/>
          <w:sz w:val="22"/>
          <w:szCs w:val="22"/>
        </w:rPr>
      </w:pPr>
    </w:p>
    <w:p w:rsidR="00097EA7" w:rsidRDefault="00C74DB6" w:rsidP="00097EA7">
      <w:pPr>
        <w:ind w:left="851" w:right="339" w:firstLine="708"/>
        <w:jc w:val="both"/>
        <w:rPr>
          <w:rFonts w:ascii="Arial" w:hAnsi="Arial"/>
          <w:sz w:val="22"/>
        </w:rPr>
      </w:pPr>
      <w:r>
        <w:rPr>
          <w:rFonts w:ascii="Arial" w:hAnsi="Arial"/>
          <w:sz w:val="22"/>
        </w:rPr>
        <w:t>Hasonlóképpen, a</w:t>
      </w:r>
      <w:r w:rsidR="00B331A7">
        <w:rPr>
          <w:rFonts w:ascii="Arial" w:hAnsi="Arial"/>
          <w:sz w:val="22"/>
        </w:rPr>
        <w:t xml:space="preserve"> </w:t>
      </w:r>
      <w:r w:rsidR="00097EA7">
        <w:rPr>
          <w:rFonts w:ascii="Arial" w:hAnsi="Arial"/>
          <w:sz w:val="22"/>
        </w:rPr>
        <w:t xml:space="preserve">királyi rendelet szövege </w:t>
      </w:r>
      <w:r>
        <w:rPr>
          <w:rFonts w:ascii="Arial" w:hAnsi="Arial"/>
          <w:sz w:val="22"/>
        </w:rPr>
        <w:t xml:space="preserve">a csomagolásról és a csomagolási hulladékról szóló, 1994. december 20-i 94/62/EK </w:t>
      </w:r>
      <w:r w:rsidR="00B01E53">
        <w:rPr>
          <w:rFonts w:ascii="Arial" w:hAnsi="Arial"/>
          <w:sz w:val="22"/>
        </w:rPr>
        <w:t xml:space="preserve">európai parlamenti és tanácsi </w:t>
      </w:r>
      <w:r>
        <w:rPr>
          <w:rFonts w:ascii="Arial" w:hAnsi="Arial"/>
          <w:sz w:val="22"/>
        </w:rPr>
        <w:t xml:space="preserve">irányelv 16. cikke értelmében, </w:t>
      </w:r>
      <w:r w:rsidR="00097EA7">
        <w:rPr>
          <w:rFonts w:ascii="Arial" w:hAnsi="Arial"/>
          <w:sz w:val="22"/>
        </w:rPr>
        <w:t>a műszaki szabályokkal és az információs társadalom szolgáltatásaira vonatkozó szabályokkal kapcsolatos információszolgáltatási eljárás megállapításáról szóló, 2015. szeptember 9-i (EU) 2015/1535 európai parlamenti és tanácsi irányelvben, továbbá a műszaki szabványok és szabályok terén történő információszolgáltatás szabályozásáról, valamint az információs társadalom szolgáltatásaira vonatkozó szabályokról szóló</w:t>
      </w:r>
      <w:r w:rsidR="00B01E53">
        <w:rPr>
          <w:rFonts w:ascii="Arial" w:hAnsi="Arial"/>
          <w:sz w:val="22"/>
        </w:rPr>
        <w:t>,</w:t>
      </w:r>
      <w:r w:rsidR="00097EA7">
        <w:rPr>
          <w:rFonts w:ascii="Arial" w:hAnsi="Arial"/>
          <w:sz w:val="22"/>
        </w:rPr>
        <w:t xml:space="preserve"> 1999. július 31-i 1337/1999. sz. királyi rendeletben előírt eljárás szerint bejelentésre került</w:t>
      </w:r>
      <w:r w:rsidR="00B01E53">
        <w:rPr>
          <w:rFonts w:ascii="Arial" w:hAnsi="Arial"/>
          <w:sz w:val="22"/>
        </w:rPr>
        <w:t xml:space="preserve"> az Európai Bizottság részére</w:t>
      </w:r>
      <w:r w:rsidR="00097EA7">
        <w:rPr>
          <w:rFonts w:ascii="Arial" w:hAnsi="Arial"/>
          <w:sz w:val="22"/>
        </w:rPr>
        <w:t>.</w:t>
      </w:r>
    </w:p>
    <w:p w:rsidR="002F1528" w:rsidRDefault="002F1528" w:rsidP="00097EA7">
      <w:pPr>
        <w:ind w:left="851" w:right="339" w:firstLine="708"/>
        <w:jc w:val="both"/>
        <w:rPr>
          <w:rFonts w:ascii="Arial" w:hAnsi="Arial" w:cs="Arial"/>
          <w:sz w:val="22"/>
          <w:szCs w:val="22"/>
        </w:rPr>
      </w:pPr>
    </w:p>
    <w:p w:rsidR="002F1528" w:rsidRDefault="002F1528" w:rsidP="00097EA7">
      <w:pPr>
        <w:ind w:left="851" w:right="339" w:firstLine="708"/>
        <w:jc w:val="both"/>
        <w:rPr>
          <w:rFonts w:ascii="Arial" w:hAnsi="Arial" w:cs="Arial"/>
          <w:sz w:val="22"/>
          <w:szCs w:val="22"/>
        </w:rPr>
      </w:pPr>
      <w:r>
        <w:rPr>
          <w:rFonts w:ascii="Arial" w:hAnsi="Arial" w:cs="Arial"/>
          <w:sz w:val="22"/>
          <w:szCs w:val="22"/>
        </w:rPr>
        <w:t>A fentiekben meghatározott körülmények figyelembevételével, e királyi rendelet kidolgozására a szükségesség,</w:t>
      </w:r>
      <w:r w:rsidR="002E683B">
        <w:rPr>
          <w:rFonts w:ascii="Arial" w:hAnsi="Arial" w:cs="Arial"/>
          <w:sz w:val="22"/>
          <w:szCs w:val="22"/>
        </w:rPr>
        <w:t xml:space="preserve"> hatékonyság,</w:t>
      </w:r>
      <w:r>
        <w:rPr>
          <w:rFonts w:ascii="Arial" w:hAnsi="Arial" w:cs="Arial"/>
          <w:sz w:val="22"/>
          <w:szCs w:val="22"/>
        </w:rPr>
        <w:t xml:space="preserve"> arányosság, jogbiztonság, átláthatóság, és eredményesség elvével összhangban, a 2015. október 1-jei 39/2015. sz. törvény 129. cikkének rendelkezései szerint került sor.</w:t>
      </w:r>
    </w:p>
    <w:p w:rsidR="008E6F58" w:rsidRDefault="008E6F58" w:rsidP="00097EA7">
      <w:pPr>
        <w:ind w:left="851" w:right="339" w:firstLine="708"/>
        <w:jc w:val="both"/>
        <w:rPr>
          <w:rFonts w:ascii="Arial" w:hAnsi="Arial" w:cs="Arial"/>
          <w:sz w:val="22"/>
          <w:szCs w:val="22"/>
        </w:rPr>
      </w:pPr>
    </w:p>
    <w:p w:rsidR="008E6F58" w:rsidRPr="00E6754E" w:rsidRDefault="008E6F58" w:rsidP="00097EA7">
      <w:pPr>
        <w:ind w:left="851" w:right="339" w:firstLine="708"/>
        <w:jc w:val="both"/>
        <w:rPr>
          <w:rFonts w:ascii="Arial" w:hAnsi="Arial" w:cs="Arial"/>
          <w:sz w:val="22"/>
          <w:szCs w:val="22"/>
        </w:rPr>
      </w:pPr>
      <w:r>
        <w:rPr>
          <w:rFonts w:ascii="Arial" w:hAnsi="Arial" w:cs="Arial"/>
          <w:sz w:val="22"/>
          <w:szCs w:val="22"/>
        </w:rPr>
        <w:t xml:space="preserve">Ez a királyi rendelet továbbá az 1997. november 27-i 50/1997. sz. törvény 25. cikkével összhangban a 2018. évi Hivatalos Éves Szakpolitikai Menetrend részét képezi. </w:t>
      </w:r>
    </w:p>
    <w:p w:rsidR="00097EA7" w:rsidRPr="00E6754E" w:rsidRDefault="00097EA7" w:rsidP="00097EA7">
      <w:pPr>
        <w:ind w:left="851" w:right="339"/>
        <w:jc w:val="both"/>
        <w:rPr>
          <w:rFonts w:ascii="Arial" w:hAnsi="Arial" w:cs="Arial"/>
          <w:sz w:val="22"/>
          <w:szCs w:val="22"/>
        </w:rPr>
      </w:pPr>
    </w:p>
    <w:p w:rsidR="00097EA7" w:rsidRPr="00E6754E" w:rsidRDefault="00097EA7" w:rsidP="00097EA7">
      <w:pPr>
        <w:ind w:left="851" w:right="339" w:firstLine="708"/>
        <w:jc w:val="both"/>
        <w:rPr>
          <w:rFonts w:ascii="Arial" w:hAnsi="Arial" w:cs="Arial"/>
          <w:sz w:val="22"/>
          <w:szCs w:val="22"/>
        </w:rPr>
      </w:pPr>
      <w:r>
        <w:rPr>
          <w:rFonts w:ascii="Arial" w:hAnsi="Arial"/>
          <w:sz w:val="22"/>
        </w:rPr>
        <w:t xml:space="preserve">A mezőgazdasági, halászati, élelmezésügyi és környezetvédelmi miniszter javaslatára, a közigazgatási és pénzügyminiszter előzetes jóváhagyásával, az Államtanács egyetértésével és a miniszterek tanácsával </w:t>
      </w:r>
      <w:r w:rsidR="00AB3451">
        <w:rPr>
          <w:rFonts w:ascii="Arial" w:hAnsi="Arial"/>
          <w:sz w:val="22"/>
        </w:rPr>
        <w:t xml:space="preserve">2018. május 18-án </w:t>
      </w:r>
      <w:r>
        <w:rPr>
          <w:rFonts w:ascii="Arial" w:hAnsi="Arial"/>
          <w:sz w:val="22"/>
        </w:rPr>
        <w:t>folytatott előzetes tárgyalást követően,</w:t>
      </w:r>
    </w:p>
    <w:p w:rsidR="00097EA7" w:rsidRPr="00E6754E" w:rsidRDefault="00097EA7" w:rsidP="00097EA7">
      <w:pPr>
        <w:ind w:left="851" w:right="339"/>
        <w:jc w:val="both"/>
        <w:rPr>
          <w:rFonts w:ascii="Arial" w:hAnsi="Arial" w:cs="Arial"/>
          <w:sz w:val="22"/>
          <w:szCs w:val="22"/>
        </w:rPr>
      </w:pPr>
    </w:p>
    <w:p w:rsidR="00097EA7" w:rsidRPr="00E6754E" w:rsidRDefault="00097EA7" w:rsidP="00097EA7">
      <w:pPr>
        <w:ind w:left="851" w:right="339"/>
        <w:jc w:val="center"/>
        <w:rPr>
          <w:rFonts w:ascii="Arial" w:hAnsi="Arial" w:cs="Arial"/>
          <w:sz w:val="22"/>
          <w:szCs w:val="22"/>
        </w:rPr>
      </w:pPr>
    </w:p>
    <w:p w:rsidR="00097EA7" w:rsidRPr="00E6754E" w:rsidRDefault="00097EA7" w:rsidP="00097EA7">
      <w:pPr>
        <w:ind w:left="851" w:right="339"/>
        <w:jc w:val="center"/>
        <w:rPr>
          <w:rFonts w:ascii="Arial" w:hAnsi="Arial" w:cs="Arial"/>
          <w:sz w:val="22"/>
          <w:szCs w:val="22"/>
        </w:rPr>
      </w:pPr>
      <w:r>
        <w:rPr>
          <w:rFonts w:ascii="Arial" w:hAnsi="Arial"/>
          <w:sz w:val="22"/>
        </w:rPr>
        <w:t>ELRENDELEM AZ ALÁBBIAKAT:</w:t>
      </w:r>
    </w:p>
    <w:p w:rsidR="00097EA7" w:rsidRPr="00E6754E" w:rsidRDefault="00097EA7" w:rsidP="00097EA7">
      <w:pPr>
        <w:ind w:left="851" w:right="339"/>
        <w:jc w:val="both"/>
        <w:rPr>
          <w:rFonts w:ascii="Arial" w:hAnsi="Arial" w:cs="Arial"/>
          <w:sz w:val="22"/>
          <w:szCs w:val="22"/>
        </w:rPr>
      </w:pPr>
    </w:p>
    <w:p w:rsidR="00097EA7" w:rsidRPr="00E6754E" w:rsidRDefault="00097EA7" w:rsidP="00097EA7">
      <w:pPr>
        <w:ind w:left="851" w:right="339"/>
        <w:jc w:val="both"/>
        <w:rPr>
          <w:rFonts w:ascii="Arial" w:hAnsi="Arial" w:cs="Arial"/>
          <w:sz w:val="22"/>
          <w:szCs w:val="22"/>
        </w:rPr>
      </w:pPr>
    </w:p>
    <w:p w:rsidR="00097EA7" w:rsidRPr="00E6754E" w:rsidRDefault="00097EA7" w:rsidP="00097EA7">
      <w:pPr>
        <w:keepNext/>
        <w:keepLines/>
        <w:ind w:left="851" w:right="339"/>
        <w:jc w:val="center"/>
        <w:rPr>
          <w:rFonts w:ascii="Arial" w:hAnsi="Arial" w:cs="Arial"/>
          <w:sz w:val="22"/>
          <w:szCs w:val="22"/>
        </w:rPr>
      </w:pPr>
      <w:r>
        <w:rPr>
          <w:rFonts w:ascii="Arial" w:hAnsi="Arial"/>
          <w:sz w:val="22"/>
        </w:rPr>
        <w:t xml:space="preserve">I. </w:t>
      </w:r>
      <w:r w:rsidR="00FE1FB4">
        <w:rPr>
          <w:rFonts w:ascii="Arial" w:hAnsi="Arial"/>
          <w:sz w:val="22"/>
        </w:rPr>
        <w:t>FEJEZET</w:t>
      </w:r>
    </w:p>
    <w:p w:rsidR="00097EA7" w:rsidRPr="00E6754E" w:rsidRDefault="00097EA7" w:rsidP="00097EA7">
      <w:pPr>
        <w:keepNext/>
        <w:keepLines/>
        <w:ind w:left="851" w:right="339"/>
        <w:jc w:val="center"/>
        <w:rPr>
          <w:rFonts w:ascii="Arial" w:hAnsi="Arial" w:cs="Arial"/>
          <w:b/>
          <w:sz w:val="22"/>
          <w:szCs w:val="22"/>
        </w:rPr>
      </w:pPr>
      <w:r>
        <w:rPr>
          <w:rFonts w:ascii="Arial" w:hAnsi="Arial"/>
          <w:b/>
          <w:sz w:val="22"/>
        </w:rPr>
        <w:t>Általános rendelkezések</w:t>
      </w:r>
    </w:p>
    <w:p w:rsidR="00097EA7" w:rsidRPr="00E6754E" w:rsidRDefault="00097EA7" w:rsidP="00097EA7">
      <w:pPr>
        <w:keepNext/>
        <w:keepLines/>
        <w:ind w:left="851" w:right="339"/>
        <w:jc w:val="both"/>
        <w:rPr>
          <w:rFonts w:ascii="Arial" w:hAnsi="Arial" w:cs="Arial"/>
          <w:sz w:val="22"/>
          <w:szCs w:val="22"/>
        </w:rPr>
      </w:pPr>
    </w:p>
    <w:p w:rsidR="00097EA7" w:rsidRPr="00B02C4E" w:rsidRDefault="00097EA7" w:rsidP="00097EA7">
      <w:pPr>
        <w:keepNext/>
        <w:keepLines/>
        <w:ind w:left="851" w:right="339"/>
        <w:jc w:val="both"/>
        <w:rPr>
          <w:rFonts w:ascii="Arial" w:hAnsi="Arial" w:cs="Arial"/>
          <w:i/>
          <w:sz w:val="22"/>
          <w:szCs w:val="22"/>
        </w:rPr>
      </w:pPr>
      <w:r>
        <w:rPr>
          <w:rFonts w:ascii="Arial" w:hAnsi="Arial"/>
          <w:sz w:val="22"/>
        </w:rPr>
        <w:t xml:space="preserve">1. cikk </w:t>
      </w:r>
      <w:r>
        <w:rPr>
          <w:rFonts w:ascii="Arial" w:hAnsi="Arial"/>
          <w:i/>
          <w:sz w:val="22"/>
        </w:rPr>
        <w:t>Tárgy és cél.</w:t>
      </w:r>
    </w:p>
    <w:p w:rsidR="00097EA7" w:rsidRPr="00E6754E" w:rsidRDefault="00097EA7" w:rsidP="00097EA7">
      <w:pPr>
        <w:keepNext/>
        <w:keepLines/>
        <w:ind w:left="851" w:right="339"/>
        <w:jc w:val="both"/>
        <w:rPr>
          <w:rFonts w:ascii="Arial" w:hAnsi="Arial" w:cs="Arial"/>
          <w:sz w:val="22"/>
          <w:szCs w:val="22"/>
        </w:rPr>
      </w:pPr>
    </w:p>
    <w:p w:rsidR="00097EA7" w:rsidRPr="00E6754E" w:rsidRDefault="00097EA7" w:rsidP="00097EA7">
      <w:pPr>
        <w:ind w:left="851" w:right="339" w:firstLine="709"/>
        <w:jc w:val="both"/>
        <w:rPr>
          <w:rFonts w:ascii="Arial" w:hAnsi="Arial" w:cs="Arial"/>
          <w:sz w:val="22"/>
          <w:szCs w:val="22"/>
        </w:rPr>
      </w:pPr>
      <w:r>
        <w:rPr>
          <w:rFonts w:ascii="Arial" w:hAnsi="Arial"/>
          <w:sz w:val="22"/>
        </w:rPr>
        <w:t xml:space="preserve">1. E királyi rendelet célja a műanyag </w:t>
      </w:r>
      <w:proofErr w:type="spellStart"/>
      <w:r>
        <w:rPr>
          <w:rFonts w:ascii="Arial" w:hAnsi="Arial"/>
          <w:sz w:val="22"/>
        </w:rPr>
        <w:t>hordtasakok</w:t>
      </w:r>
      <w:proofErr w:type="spellEnd"/>
      <w:r>
        <w:rPr>
          <w:rFonts w:ascii="Arial" w:hAnsi="Arial"/>
          <w:sz w:val="22"/>
        </w:rPr>
        <w:t xml:space="preserve"> felhasználásának csökkentésére irányuló intézkedések elfogadása az említett műanyag </w:t>
      </w:r>
      <w:proofErr w:type="spellStart"/>
      <w:r>
        <w:rPr>
          <w:rFonts w:ascii="Arial" w:hAnsi="Arial"/>
          <w:sz w:val="22"/>
        </w:rPr>
        <w:t>hordtasakokból</w:t>
      </w:r>
      <w:proofErr w:type="spellEnd"/>
      <w:r>
        <w:rPr>
          <w:rFonts w:ascii="Arial" w:hAnsi="Arial"/>
          <w:sz w:val="22"/>
        </w:rPr>
        <w:t xml:space="preserve"> keletkező hulladékok környezetre gyakorolt kedvezőtlen hatásainak megelőzésére és csökkentésére irányulóan, különös tekintettel a vízi ökoszisztémák és bizonyos gazdasági tevékenységek – így többek között a halászat és az idegenforgalom – terén okozott károkra. Célja továbbá a műanyag </w:t>
      </w:r>
      <w:proofErr w:type="spellStart"/>
      <w:r>
        <w:rPr>
          <w:rFonts w:ascii="Arial" w:hAnsi="Arial"/>
          <w:sz w:val="22"/>
        </w:rPr>
        <w:t>hordtasakok</w:t>
      </w:r>
      <w:proofErr w:type="spellEnd"/>
      <w:r>
        <w:rPr>
          <w:rFonts w:ascii="Arial" w:hAnsi="Arial"/>
          <w:sz w:val="22"/>
        </w:rPr>
        <w:t xml:space="preserve"> lerakása és annak a környezetbe juttatása által okozott anyagi és gazdasági erőforrás-veszteségek elkerülése. </w:t>
      </w:r>
    </w:p>
    <w:p w:rsidR="00097EA7" w:rsidRPr="00E6754E" w:rsidRDefault="00097EA7" w:rsidP="00097EA7">
      <w:pPr>
        <w:ind w:left="851" w:right="339"/>
        <w:jc w:val="both"/>
        <w:rPr>
          <w:rFonts w:ascii="Arial" w:hAnsi="Arial" w:cs="Arial"/>
          <w:sz w:val="22"/>
          <w:szCs w:val="22"/>
        </w:rPr>
      </w:pPr>
    </w:p>
    <w:p w:rsidR="00097EA7" w:rsidRPr="00E6754E" w:rsidRDefault="00097EA7" w:rsidP="00097EA7">
      <w:pPr>
        <w:ind w:left="851" w:right="339" w:firstLine="708"/>
        <w:jc w:val="both"/>
        <w:rPr>
          <w:rFonts w:ascii="Arial" w:hAnsi="Arial" w:cs="Arial"/>
          <w:sz w:val="22"/>
          <w:szCs w:val="22"/>
        </w:rPr>
      </w:pPr>
      <w:r>
        <w:rPr>
          <w:rFonts w:ascii="Arial" w:hAnsi="Arial"/>
          <w:sz w:val="22"/>
        </w:rPr>
        <w:t>2. E királyi rendelet célja továbbá, hogy létrejöjjön a</w:t>
      </w:r>
      <w:r w:rsidR="00AB4746">
        <w:rPr>
          <w:rFonts w:ascii="Arial" w:hAnsi="Arial"/>
          <w:sz w:val="22"/>
        </w:rPr>
        <w:t xml:space="preserve"> Termékgyártók Nyilvántartása. Ez a nyilvántartás</w:t>
      </w:r>
      <w:r>
        <w:rPr>
          <w:rFonts w:ascii="Arial" w:hAnsi="Arial"/>
          <w:sz w:val="22"/>
        </w:rPr>
        <w:t xml:space="preserve"> közigazgatási </w:t>
      </w:r>
      <w:r w:rsidR="00AB4746">
        <w:rPr>
          <w:rFonts w:ascii="Arial" w:hAnsi="Arial"/>
          <w:sz w:val="22"/>
        </w:rPr>
        <w:t xml:space="preserve">és nyilatkozattételi </w:t>
      </w:r>
      <w:r>
        <w:rPr>
          <w:rFonts w:ascii="Arial" w:hAnsi="Arial"/>
          <w:sz w:val="22"/>
        </w:rPr>
        <w:t>jellegű, amely</w:t>
      </w:r>
      <w:r w:rsidR="00B331A7">
        <w:rPr>
          <w:rFonts w:ascii="Arial" w:hAnsi="Arial"/>
          <w:sz w:val="22"/>
        </w:rPr>
        <w:t xml:space="preserve"> </w:t>
      </w:r>
      <w:r>
        <w:rPr>
          <w:rFonts w:ascii="Arial" w:hAnsi="Arial"/>
          <w:sz w:val="22"/>
        </w:rPr>
        <w:t>a Mezőgazdasági, Halászati, Élelmezésügyi és Környezetvédelmi Minisztérium Minőségügyi és Környezetvédelmi Értékelésért és Természetes Környezetért Felelős Főigazgatóság</w:t>
      </w:r>
      <w:r w:rsidR="00AB4746">
        <w:rPr>
          <w:rFonts w:ascii="Arial" w:hAnsi="Arial"/>
          <w:sz w:val="22"/>
        </w:rPr>
        <w:t>ának</w:t>
      </w:r>
      <w:r>
        <w:rPr>
          <w:rFonts w:ascii="Arial" w:hAnsi="Arial"/>
          <w:sz w:val="22"/>
        </w:rPr>
        <w:t xml:space="preserve"> </w:t>
      </w:r>
      <w:r w:rsidR="00AB4746">
        <w:rPr>
          <w:rFonts w:ascii="Arial" w:hAnsi="Arial"/>
          <w:sz w:val="22"/>
        </w:rPr>
        <w:t>felelősségi körébe tartozik</w:t>
      </w:r>
      <w:r>
        <w:rPr>
          <w:rFonts w:ascii="Arial" w:hAnsi="Arial"/>
          <w:sz w:val="22"/>
        </w:rPr>
        <w:t xml:space="preserve">. </w:t>
      </w:r>
    </w:p>
    <w:p w:rsidR="00097EA7" w:rsidRPr="00E6754E" w:rsidRDefault="00097EA7" w:rsidP="00097EA7">
      <w:pPr>
        <w:ind w:left="851" w:right="339"/>
        <w:jc w:val="both"/>
        <w:rPr>
          <w:rFonts w:ascii="Arial" w:hAnsi="Arial" w:cs="Arial"/>
          <w:sz w:val="22"/>
          <w:szCs w:val="22"/>
        </w:rPr>
      </w:pPr>
    </w:p>
    <w:p w:rsidR="00097EA7" w:rsidRPr="00E6754E" w:rsidRDefault="00097EA7" w:rsidP="00097EA7">
      <w:pPr>
        <w:ind w:left="851" w:right="339"/>
        <w:jc w:val="both"/>
        <w:rPr>
          <w:rFonts w:ascii="Arial" w:hAnsi="Arial" w:cs="Arial"/>
          <w:sz w:val="22"/>
          <w:szCs w:val="22"/>
        </w:rPr>
      </w:pPr>
    </w:p>
    <w:p w:rsidR="00097EA7" w:rsidRPr="00E6754E" w:rsidRDefault="00097EA7" w:rsidP="00097EA7">
      <w:pPr>
        <w:keepNext/>
        <w:keepLines/>
        <w:ind w:left="851" w:right="339"/>
        <w:jc w:val="both"/>
        <w:rPr>
          <w:rFonts w:ascii="Arial" w:hAnsi="Arial" w:cs="Arial"/>
          <w:sz w:val="22"/>
          <w:szCs w:val="22"/>
        </w:rPr>
      </w:pPr>
      <w:r>
        <w:rPr>
          <w:rFonts w:ascii="Arial" w:hAnsi="Arial"/>
          <w:sz w:val="22"/>
        </w:rPr>
        <w:t>2. cikk</w:t>
      </w:r>
      <w:r>
        <w:rPr>
          <w:rFonts w:ascii="Arial" w:hAnsi="Arial"/>
          <w:i/>
          <w:sz w:val="22"/>
        </w:rPr>
        <w:t xml:space="preserve"> Alkalmazási terület </w:t>
      </w:r>
    </w:p>
    <w:p w:rsidR="00097EA7" w:rsidRPr="00E6754E" w:rsidRDefault="00097EA7" w:rsidP="00097EA7">
      <w:pPr>
        <w:keepNext/>
        <w:keepLines/>
        <w:ind w:left="851" w:right="339"/>
        <w:jc w:val="both"/>
        <w:rPr>
          <w:rFonts w:ascii="Arial" w:hAnsi="Arial" w:cs="Arial"/>
          <w:sz w:val="22"/>
          <w:szCs w:val="22"/>
        </w:rPr>
      </w:pPr>
    </w:p>
    <w:p w:rsidR="00097EA7" w:rsidRPr="00E6754E" w:rsidRDefault="00097EA7" w:rsidP="00097EA7">
      <w:pPr>
        <w:ind w:left="851" w:right="339" w:firstLine="708"/>
        <w:jc w:val="both"/>
        <w:rPr>
          <w:rFonts w:ascii="Arial" w:hAnsi="Arial" w:cs="Arial"/>
          <w:sz w:val="22"/>
          <w:szCs w:val="22"/>
        </w:rPr>
      </w:pPr>
      <w:r>
        <w:rPr>
          <w:rFonts w:ascii="Arial" w:hAnsi="Arial"/>
          <w:sz w:val="22"/>
        </w:rPr>
        <w:t xml:space="preserve">E királyi rendelet alkalmazási körébe tartozik valamennyi, az állam területén forgalomba hozott műanyag </w:t>
      </w:r>
      <w:proofErr w:type="spellStart"/>
      <w:r>
        <w:rPr>
          <w:rFonts w:ascii="Arial" w:hAnsi="Arial"/>
          <w:sz w:val="22"/>
        </w:rPr>
        <w:t>hordtasak</w:t>
      </w:r>
      <w:proofErr w:type="spellEnd"/>
      <w:r>
        <w:rPr>
          <w:rFonts w:ascii="Arial" w:hAnsi="Arial"/>
          <w:sz w:val="22"/>
        </w:rPr>
        <w:t xml:space="preserve">, továbbá az ilyen </w:t>
      </w:r>
      <w:proofErr w:type="spellStart"/>
      <w:r>
        <w:rPr>
          <w:rFonts w:ascii="Arial" w:hAnsi="Arial"/>
          <w:sz w:val="22"/>
        </w:rPr>
        <w:t>hordtasakokból</w:t>
      </w:r>
      <w:proofErr w:type="spellEnd"/>
      <w:r>
        <w:rPr>
          <w:rFonts w:ascii="Arial" w:hAnsi="Arial"/>
          <w:sz w:val="22"/>
        </w:rPr>
        <w:t xml:space="preserve"> keletkező hulladékok. </w:t>
      </w:r>
    </w:p>
    <w:p w:rsidR="00097EA7" w:rsidRPr="00E6754E" w:rsidRDefault="00097EA7" w:rsidP="00097EA7">
      <w:pPr>
        <w:ind w:left="851" w:right="339" w:firstLine="708"/>
        <w:jc w:val="both"/>
        <w:rPr>
          <w:rFonts w:ascii="Arial" w:hAnsi="Arial" w:cs="Arial"/>
          <w:sz w:val="22"/>
          <w:szCs w:val="22"/>
        </w:rPr>
      </w:pPr>
    </w:p>
    <w:p w:rsidR="00097EA7" w:rsidRPr="00E6754E" w:rsidRDefault="00097EA7" w:rsidP="00097EA7">
      <w:pPr>
        <w:ind w:left="851" w:right="339" w:firstLine="708"/>
        <w:jc w:val="both"/>
        <w:rPr>
          <w:rFonts w:ascii="Arial" w:hAnsi="Arial" w:cs="Arial"/>
          <w:sz w:val="22"/>
          <w:szCs w:val="22"/>
        </w:rPr>
      </w:pPr>
    </w:p>
    <w:p w:rsidR="00097EA7" w:rsidRPr="00E6754E" w:rsidRDefault="00097EA7" w:rsidP="00097EA7">
      <w:pPr>
        <w:keepNext/>
        <w:keepLines/>
        <w:ind w:left="851" w:right="339"/>
        <w:jc w:val="both"/>
        <w:rPr>
          <w:rFonts w:ascii="Arial" w:hAnsi="Arial" w:cs="Arial"/>
          <w:sz w:val="22"/>
          <w:szCs w:val="22"/>
        </w:rPr>
      </w:pPr>
      <w:r>
        <w:rPr>
          <w:rFonts w:ascii="Arial" w:hAnsi="Arial"/>
          <w:sz w:val="22"/>
        </w:rPr>
        <w:t xml:space="preserve">3. cikk </w:t>
      </w:r>
      <w:proofErr w:type="spellStart"/>
      <w:r>
        <w:rPr>
          <w:rFonts w:ascii="Arial" w:hAnsi="Arial"/>
          <w:i/>
          <w:sz w:val="22"/>
        </w:rPr>
        <w:t>Fogalommeghatározások</w:t>
      </w:r>
      <w:proofErr w:type="spellEnd"/>
    </w:p>
    <w:p w:rsidR="00097EA7" w:rsidRPr="00E6754E" w:rsidRDefault="00097EA7" w:rsidP="00097EA7">
      <w:pPr>
        <w:keepNext/>
        <w:keepLines/>
        <w:ind w:left="851" w:right="339"/>
        <w:jc w:val="both"/>
        <w:rPr>
          <w:rFonts w:ascii="Arial" w:hAnsi="Arial" w:cs="Arial"/>
          <w:sz w:val="22"/>
          <w:szCs w:val="22"/>
        </w:rPr>
      </w:pPr>
    </w:p>
    <w:p w:rsidR="00097EA7" w:rsidRPr="00E6754E" w:rsidRDefault="00097EA7" w:rsidP="00097EA7">
      <w:pPr>
        <w:ind w:left="851" w:right="339" w:firstLine="708"/>
        <w:jc w:val="both"/>
        <w:rPr>
          <w:rFonts w:ascii="Arial" w:hAnsi="Arial" w:cs="Arial"/>
          <w:sz w:val="22"/>
          <w:szCs w:val="22"/>
        </w:rPr>
      </w:pPr>
      <w:r>
        <w:rPr>
          <w:rFonts w:ascii="Arial" w:hAnsi="Arial"/>
          <w:sz w:val="22"/>
        </w:rPr>
        <w:t xml:space="preserve">A hulladékokról és a szennyezett talajokról szóló, 2011. július 28-i 22/2011 törvényben, a csomagolóanyagokról és csomagolóanyagok hulladékairól szóló, 1997. április 24-i 11/1997 törvényben, továbbá az 1997. április 24-i 11/1997 törvény végrehajtására irányuló rendelet jóváhagyásáról szóló, 1998. április 30-i 782/1998 királyi rendeletben foglalt </w:t>
      </w:r>
      <w:proofErr w:type="spellStart"/>
      <w:r>
        <w:rPr>
          <w:rFonts w:ascii="Arial" w:hAnsi="Arial"/>
          <w:sz w:val="22"/>
        </w:rPr>
        <w:t>fogalommeghatározásokon</w:t>
      </w:r>
      <w:proofErr w:type="spellEnd"/>
      <w:r>
        <w:rPr>
          <w:rFonts w:ascii="Arial" w:hAnsi="Arial"/>
          <w:sz w:val="22"/>
        </w:rPr>
        <w:t xml:space="preserve"> kívül az alábbi </w:t>
      </w:r>
      <w:proofErr w:type="spellStart"/>
      <w:r>
        <w:rPr>
          <w:rFonts w:ascii="Arial" w:hAnsi="Arial"/>
          <w:sz w:val="22"/>
        </w:rPr>
        <w:t>fogalommeghatározások</w:t>
      </w:r>
      <w:proofErr w:type="spellEnd"/>
      <w:r>
        <w:rPr>
          <w:rFonts w:ascii="Arial" w:hAnsi="Arial"/>
          <w:sz w:val="22"/>
        </w:rPr>
        <w:t xml:space="preserve"> vannak érvényben:</w:t>
      </w:r>
    </w:p>
    <w:p w:rsidR="00097EA7" w:rsidRPr="00E6754E" w:rsidRDefault="00097EA7" w:rsidP="00097EA7">
      <w:pPr>
        <w:ind w:left="851" w:right="339" w:firstLine="708"/>
        <w:jc w:val="both"/>
        <w:rPr>
          <w:rFonts w:ascii="Arial" w:hAnsi="Arial" w:cs="Arial"/>
          <w:sz w:val="22"/>
          <w:szCs w:val="22"/>
        </w:rPr>
      </w:pPr>
    </w:p>
    <w:p w:rsidR="00097EA7" w:rsidRPr="00E6754E" w:rsidRDefault="00097EA7" w:rsidP="00097EA7">
      <w:pPr>
        <w:ind w:left="851" w:right="339" w:firstLine="709"/>
        <w:jc w:val="both"/>
        <w:rPr>
          <w:rFonts w:ascii="Arial" w:hAnsi="Arial" w:cs="Arial"/>
          <w:sz w:val="22"/>
          <w:szCs w:val="22"/>
        </w:rPr>
      </w:pPr>
      <w:r>
        <w:rPr>
          <w:rFonts w:ascii="Arial" w:hAnsi="Arial"/>
          <w:sz w:val="22"/>
        </w:rPr>
        <w:t xml:space="preserve">a) „műanyag”: a 2006. december 18-i 1907/2006/EK európai parlamenti és tanácsi rendelet 3. cikkének (5) bekezdése szerinti olyan polimer, amelyhez adalékanyagokat vagy más anyagokat adtak, és amely a </w:t>
      </w:r>
      <w:proofErr w:type="spellStart"/>
      <w:r>
        <w:rPr>
          <w:rFonts w:ascii="Arial" w:hAnsi="Arial"/>
          <w:sz w:val="22"/>
        </w:rPr>
        <w:t>hordtasakok</w:t>
      </w:r>
      <w:proofErr w:type="spellEnd"/>
      <w:r>
        <w:rPr>
          <w:rFonts w:ascii="Arial" w:hAnsi="Arial"/>
          <w:sz w:val="22"/>
        </w:rPr>
        <w:t xml:space="preserve"> fő szerkezeti alkotórészeként funkcionálhat;</w:t>
      </w:r>
    </w:p>
    <w:p w:rsidR="00097EA7" w:rsidRPr="00E6754E" w:rsidRDefault="00097EA7" w:rsidP="00097EA7">
      <w:pPr>
        <w:ind w:left="851" w:right="339"/>
        <w:jc w:val="both"/>
        <w:rPr>
          <w:rFonts w:ascii="Arial" w:hAnsi="Arial" w:cs="Arial"/>
          <w:sz w:val="22"/>
          <w:szCs w:val="22"/>
        </w:rPr>
      </w:pPr>
      <w:r>
        <w:rPr>
          <w:rFonts w:ascii="Arial" w:hAnsi="Arial"/>
          <w:sz w:val="22"/>
        </w:rPr>
        <w:t xml:space="preserve"> </w:t>
      </w:r>
    </w:p>
    <w:p w:rsidR="00097EA7" w:rsidRPr="00E6754E" w:rsidRDefault="00097EA7" w:rsidP="00097EA7">
      <w:pPr>
        <w:ind w:left="851" w:right="339" w:firstLine="709"/>
        <w:jc w:val="both"/>
        <w:rPr>
          <w:rFonts w:ascii="Arial" w:hAnsi="Arial" w:cs="Arial"/>
          <w:sz w:val="22"/>
          <w:szCs w:val="22"/>
        </w:rPr>
      </w:pPr>
      <w:r>
        <w:rPr>
          <w:rFonts w:ascii="Arial" w:hAnsi="Arial"/>
          <w:sz w:val="22"/>
        </w:rPr>
        <w:t xml:space="preserve">b) „műanyag </w:t>
      </w:r>
      <w:proofErr w:type="spellStart"/>
      <w:r>
        <w:rPr>
          <w:rFonts w:ascii="Arial" w:hAnsi="Arial"/>
          <w:sz w:val="22"/>
        </w:rPr>
        <w:t>hordtasak</w:t>
      </w:r>
      <w:proofErr w:type="spellEnd"/>
      <w:r>
        <w:rPr>
          <w:rFonts w:ascii="Arial" w:hAnsi="Arial"/>
          <w:sz w:val="22"/>
        </w:rPr>
        <w:t xml:space="preserve">”: olyan, műanyagból készült, fogófüllel ellátott vagy fogófül nélküli </w:t>
      </w:r>
      <w:proofErr w:type="spellStart"/>
      <w:r>
        <w:rPr>
          <w:rFonts w:ascii="Arial" w:hAnsi="Arial"/>
          <w:sz w:val="22"/>
        </w:rPr>
        <w:t>hordtasak</w:t>
      </w:r>
      <w:proofErr w:type="spellEnd"/>
      <w:r>
        <w:rPr>
          <w:rFonts w:ascii="Arial" w:hAnsi="Arial"/>
          <w:sz w:val="22"/>
        </w:rPr>
        <w:t>, amelyet az áruk vagy termékek értékesítési pontján biztosítanak a fogyasztók részére</w:t>
      </w:r>
      <w:r w:rsidR="00281F46">
        <w:rPr>
          <w:rFonts w:ascii="Arial" w:hAnsi="Arial"/>
          <w:sz w:val="22"/>
        </w:rPr>
        <w:t>, többek között online vásárlások és házhozszállítás céljából</w:t>
      </w:r>
      <w:r>
        <w:rPr>
          <w:rFonts w:ascii="Arial" w:hAnsi="Arial"/>
          <w:sz w:val="22"/>
        </w:rPr>
        <w:t>;</w:t>
      </w:r>
    </w:p>
    <w:p w:rsidR="00097EA7" w:rsidRPr="00E6754E" w:rsidRDefault="00097EA7" w:rsidP="00097EA7">
      <w:pPr>
        <w:ind w:left="851" w:right="339"/>
        <w:jc w:val="both"/>
        <w:rPr>
          <w:rFonts w:ascii="Arial" w:hAnsi="Arial" w:cs="Arial"/>
          <w:sz w:val="22"/>
          <w:szCs w:val="22"/>
        </w:rPr>
      </w:pPr>
    </w:p>
    <w:p w:rsidR="00097EA7" w:rsidRPr="00E6754E" w:rsidRDefault="00097EA7" w:rsidP="00097EA7">
      <w:pPr>
        <w:ind w:left="851" w:right="339" w:firstLine="709"/>
        <w:jc w:val="both"/>
        <w:rPr>
          <w:rFonts w:ascii="Arial" w:hAnsi="Arial" w:cs="Arial"/>
          <w:sz w:val="22"/>
          <w:szCs w:val="22"/>
        </w:rPr>
      </w:pPr>
      <w:r>
        <w:rPr>
          <w:rFonts w:ascii="Arial" w:hAnsi="Arial"/>
          <w:sz w:val="22"/>
        </w:rPr>
        <w:t xml:space="preserve">c) „könnyű műanyag </w:t>
      </w:r>
      <w:proofErr w:type="spellStart"/>
      <w:r>
        <w:rPr>
          <w:rFonts w:ascii="Arial" w:hAnsi="Arial"/>
          <w:sz w:val="22"/>
        </w:rPr>
        <w:t>hordtasak</w:t>
      </w:r>
      <w:proofErr w:type="spellEnd"/>
      <w:r>
        <w:rPr>
          <w:rFonts w:ascii="Arial" w:hAnsi="Arial"/>
          <w:sz w:val="22"/>
        </w:rPr>
        <w:t xml:space="preserve">”: olyan műanyag </w:t>
      </w:r>
      <w:proofErr w:type="spellStart"/>
      <w:r>
        <w:rPr>
          <w:rFonts w:ascii="Arial" w:hAnsi="Arial"/>
          <w:sz w:val="22"/>
        </w:rPr>
        <w:t>hordtasak</w:t>
      </w:r>
      <w:proofErr w:type="spellEnd"/>
      <w:r>
        <w:rPr>
          <w:rFonts w:ascii="Arial" w:hAnsi="Arial"/>
          <w:sz w:val="22"/>
        </w:rPr>
        <w:t>, amelynek falvastagsága 50 mikronnál kevesebb;</w:t>
      </w:r>
    </w:p>
    <w:p w:rsidR="00097EA7" w:rsidRPr="00E6754E" w:rsidRDefault="00097EA7" w:rsidP="00097EA7">
      <w:pPr>
        <w:ind w:left="851" w:right="339" w:firstLine="709"/>
        <w:jc w:val="both"/>
        <w:rPr>
          <w:rFonts w:ascii="Arial" w:hAnsi="Arial" w:cs="Arial"/>
          <w:sz w:val="22"/>
          <w:szCs w:val="22"/>
        </w:rPr>
      </w:pPr>
    </w:p>
    <w:p w:rsidR="00097EA7" w:rsidRPr="00E6754E" w:rsidRDefault="00097EA7" w:rsidP="00097EA7">
      <w:pPr>
        <w:ind w:left="851" w:right="339" w:firstLine="709"/>
        <w:jc w:val="both"/>
        <w:rPr>
          <w:rFonts w:ascii="Arial" w:hAnsi="Arial" w:cs="Arial"/>
          <w:sz w:val="22"/>
          <w:szCs w:val="22"/>
        </w:rPr>
      </w:pPr>
      <w:r>
        <w:rPr>
          <w:rFonts w:ascii="Arial" w:hAnsi="Arial"/>
          <w:sz w:val="22"/>
        </w:rPr>
        <w:t xml:space="preserve">d) „nagyon könnyű műanyag </w:t>
      </w:r>
      <w:proofErr w:type="spellStart"/>
      <w:r>
        <w:rPr>
          <w:rFonts w:ascii="Arial" w:hAnsi="Arial"/>
          <w:sz w:val="22"/>
        </w:rPr>
        <w:t>hordtasak</w:t>
      </w:r>
      <w:proofErr w:type="spellEnd"/>
      <w:r>
        <w:rPr>
          <w:rFonts w:ascii="Arial" w:hAnsi="Arial"/>
          <w:sz w:val="22"/>
        </w:rPr>
        <w:t xml:space="preserve">”: olyan műanyag </w:t>
      </w:r>
      <w:proofErr w:type="spellStart"/>
      <w:r>
        <w:rPr>
          <w:rFonts w:ascii="Arial" w:hAnsi="Arial"/>
          <w:sz w:val="22"/>
        </w:rPr>
        <w:t>hordtasak</w:t>
      </w:r>
      <w:proofErr w:type="spellEnd"/>
      <w:r>
        <w:rPr>
          <w:rFonts w:ascii="Arial" w:hAnsi="Arial"/>
          <w:sz w:val="22"/>
        </w:rPr>
        <w:t>, amelynek falvastagsága 15 mikronnál kevesebb, és amelynek felhasználása higiéniai célokat szolgál, vagy amelyet ömlesztett élelmiszerek – így többek között gyümölcs, zöldség, hús, hal – elsődleges csomagolására használnak azokban az esetekben, amikor az segít megelőzni az élelmiszerpazarlást;</w:t>
      </w:r>
    </w:p>
    <w:p w:rsidR="00097EA7" w:rsidRPr="00E6754E" w:rsidRDefault="00097EA7" w:rsidP="00097EA7">
      <w:pPr>
        <w:ind w:left="851" w:right="339" w:firstLine="709"/>
        <w:jc w:val="both"/>
        <w:rPr>
          <w:rFonts w:ascii="Arial" w:hAnsi="Arial" w:cs="Arial"/>
          <w:sz w:val="22"/>
          <w:szCs w:val="22"/>
        </w:rPr>
      </w:pPr>
    </w:p>
    <w:p w:rsidR="00097EA7" w:rsidRPr="00E6754E" w:rsidRDefault="00097EA7" w:rsidP="00097EA7">
      <w:pPr>
        <w:ind w:left="851" w:right="339" w:firstLine="709"/>
        <w:jc w:val="both"/>
        <w:rPr>
          <w:rFonts w:ascii="Arial" w:hAnsi="Arial" w:cs="Arial"/>
          <w:sz w:val="22"/>
          <w:szCs w:val="22"/>
        </w:rPr>
      </w:pPr>
      <w:r>
        <w:rPr>
          <w:rFonts w:ascii="Arial" w:hAnsi="Arial"/>
          <w:sz w:val="22"/>
        </w:rPr>
        <w:t>e) „</w:t>
      </w:r>
      <w:proofErr w:type="spellStart"/>
      <w:r>
        <w:rPr>
          <w:rFonts w:ascii="Arial" w:hAnsi="Arial"/>
          <w:sz w:val="22"/>
        </w:rPr>
        <w:t>fragmentálható</w:t>
      </w:r>
      <w:proofErr w:type="spellEnd"/>
      <w:r>
        <w:rPr>
          <w:rFonts w:ascii="Arial" w:hAnsi="Arial"/>
          <w:sz w:val="22"/>
        </w:rPr>
        <w:t xml:space="preserve"> műanyag </w:t>
      </w:r>
      <w:proofErr w:type="spellStart"/>
      <w:r>
        <w:rPr>
          <w:rFonts w:ascii="Arial" w:hAnsi="Arial"/>
          <w:sz w:val="22"/>
        </w:rPr>
        <w:t>hordtasak</w:t>
      </w:r>
      <w:proofErr w:type="spellEnd"/>
      <w:r>
        <w:rPr>
          <w:rFonts w:ascii="Arial" w:hAnsi="Arial"/>
          <w:sz w:val="22"/>
        </w:rPr>
        <w:t xml:space="preserve">”: olyan adalékanyagokat tartalmazó műanyagból készült műanyag </w:t>
      </w:r>
      <w:proofErr w:type="spellStart"/>
      <w:r>
        <w:rPr>
          <w:rFonts w:ascii="Arial" w:hAnsi="Arial"/>
          <w:sz w:val="22"/>
        </w:rPr>
        <w:t>hordtasakok</w:t>
      </w:r>
      <w:proofErr w:type="spellEnd"/>
      <w:r>
        <w:rPr>
          <w:rFonts w:ascii="Arial" w:hAnsi="Arial"/>
          <w:sz w:val="22"/>
        </w:rPr>
        <w:t xml:space="preserve">, amelyek elősegítik a műanyag </w:t>
      </w:r>
      <w:proofErr w:type="spellStart"/>
      <w:r>
        <w:rPr>
          <w:rFonts w:ascii="Arial" w:hAnsi="Arial"/>
          <w:sz w:val="22"/>
        </w:rPr>
        <w:t>mikroméretű</w:t>
      </w:r>
      <w:proofErr w:type="spellEnd"/>
      <w:r>
        <w:rPr>
          <w:rFonts w:ascii="Arial" w:hAnsi="Arial"/>
          <w:sz w:val="22"/>
        </w:rPr>
        <w:t xml:space="preserve"> műanyagrészecskékre történő széttöredezését. A </w:t>
      </w:r>
      <w:proofErr w:type="spellStart"/>
      <w:r>
        <w:rPr>
          <w:rFonts w:ascii="Arial" w:hAnsi="Arial"/>
          <w:sz w:val="22"/>
        </w:rPr>
        <w:t>fragmentálható</w:t>
      </w:r>
      <w:proofErr w:type="spellEnd"/>
      <w:r>
        <w:rPr>
          <w:rFonts w:ascii="Arial" w:hAnsi="Arial"/>
          <w:sz w:val="22"/>
        </w:rPr>
        <w:t xml:space="preserve"> műanyag fogalmába tartozik mind az oxidatív biológiai úton </w:t>
      </w:r>
      <w:proofErr w:type="spellStart"/>
      <w:r>
        <w:rPr>
          <w:rFonts w:ascii="Arial" w:hAnsi="Arial"/>
          <w:sz w:val="22"/>
        </w:rPr>
        <w:t>fragmentálható</w:t>
      </w:r>
      <w:proofErr w:type="spellEnd"/>
      <w:r>
        <w:rPr>
          <w:rFonts w:ascii="Arial" w:hAnsi="Arial"/>
          <w:sz w:val="22"/>
        </w:rPr>
        <w:t xml:space="preserve">, mind pedig a fényre, hőre és vízben </w:t>
      </w:r>
      <w:proofErr w:type="spellStart"/>
      <w:r>
        <w:rPr>
          <w:rFonts w:ascii="Arial" w:hAnsi="Arial"/>
          <w:sz w:val="22"/>
        </w:rPr>
        <w:t>fragmentálható</w:t>
      </w:r>
      <w:proofErr w:type="spellEnd"/>
      <w:r>
        <w:rPr>
          <w:rFonts w:ascii="Arial" w:hAnsi="Arial"/>
          <w:sz w:val="22"/>
        </w:rPr>
        <w:t xml:space="preserve"> műanyag</w:t>
      </w:r>
      <w:r w:rsidR="002E683B">
        <w:rPr>
          <w:rFonts w:ascii="Arial" w:hAnsi="Arial"/>
          <w:sz w:val="22"/>
        </w:rPr>
        <w:t>;</w:t>
      </w:r>
    </w:p>
    <w:p w:rsidR="00097EA7" w:rsidRPr="00E6754E" w:rsidRDefault="00097EA7" w:rsidP="00097EA7">
      <w:pPr>
        <w:ind w:left="851" w:right="339" w:firstLine="709"/>
        <w:jc w:val="both"/>
        <w:rPr>
          <w:rFonts w:ascii="Arial" w:hAnsi="Arial" w:cs="Arial"/>
          <w:sz w:val="22"/>
          <w:szCs w:val="22"/>
        </w:rPr>
      </w:pPr>
    </w:p>
    <w:p w:rsidR="00097EA7" w:rsidRPr="00E6754E" w:rsidRDefault="00097EA7" w:rsidP="00097EA7">
      <w:pPr>
        <w:ind w:left="851" w:right="339" w:firstLine="709"/>
        <w:jc w:val="both"/>
        <w:rPr>
          <w:rFonts w:ascii="Arial" w:hAnsi="Arial" w:cs="Arial"/>
          <w:sz w:val="22"/>
          <w:szCs w:val="22"/>
        </w:rPr>
      </w:pPr>
      <w:r>
        <w:rPr>
          <w:rFonts w:ascii="Arial" w:hAnsi="Arial"/>
          <w:sz w:val="22"/>
        </w:rPr>
        <w:t xml:space="preserve">f) „komposztálható műanyag </w:t>
      </w:r>
      <w:proofErr w:type="spellStart"/>
      <w:r>
        <w:rPr>
          <w:rFonts w:ascii="Arial" w:hAnsi="Arial"/>
          <w:sz w:val="22"/>
        </w:rPr>
        <w:t>hordtasak</w:t>
      </w:r>
      <w:proofErr w:type="spellEnd"/>
      <w:r>
        <w:rPr>
          <w:rFonts w:ascii="Arial" w:hAnsi="Arial"/>
          <w:sz w:val="22"/>
        </w:rPr>
        <w:t xml:space="preserve">”: olyan műanyag </w:t>
      </w:r>
      <w:proofErr w:type="spellStart"/>
      <w:r>
        <w:rPr>
          <w:rFonts w:ascii="Arial" w:hAnsi="Arial"/>
          <w:sz w:val="22"/>
        </w:rPr>
        <w:t>hordtasak</w:t>
      </w:r>
      <w:proofErr w:type="spellEnd"/>
      <w:r>
        <w:rPr>
          <w:rFonts w:ascii="Arial" w:hAnsi="Arial"/>
          <w:sz w:val="22"/>
        </w:rPr>
        <w:t>, amely megfelel a „Komposztálással és biológiai lebomlással hasznosítható csomagolás követelményei. Vizsgálati program és a csomagolás végleges elfogadásának értékelési feltételei” elnevezésű, érvényben lévő EN</w:t>
      </w:r>
      <w:r w:rsidR="002E683B">
        <w:rPr>
          <w:rFonts w:ascii="Arial" w:hAnsi="Arial"/>
          <w:sz w:val="22"/>
        </w:rPr>
        <w:t> </w:t>
      </w:r>
      <w:r>
        <w:rPr>
          <w:rFonts w:ascii="Arial" w:hAnsi="Arial"/>
          <w:sz w:val="22"/>
        </w:rPr>
        <w:t>13432</w:t>
      </w:r>
      <w:r w:rsidR="002E683B">
        <w:rPr>
          <w:rFonts w:ascii="Arial" w:hAnsi="Arial"/>
          <w:sz w:val="22"/>
        </w:rPr>
        <w:t>:2000</w:t>
      </w:r>
      <w:r>
        <w:rPr>
          <w:rFonts w:ascii="Arial" w:hAnsi="Arial"/>
          <w:sz w:val="22"/>
        </w:rPr>
        <w:t xml:space="preserve"> európai szabványban és az aktualizált változataiban foglalt követelményeknek</w:t>
      </w:r>
      <w:r w:rsidR="008C1CD2">
        <w:rPr>
          <w:rFonts w:ascii="Arial" w:hAnsi="Arial"/>
          <w:sz w:val="22"/>
        </w:rPr>
        <w:t xml:space="preserve">, továbbá olyan műanyag </w:t>
      </w:r>
      <w:proofErr w:type="spellStart"/>
      <w:r w:rsidR="008C1CD2">
        <w:rPr>
          <w:rFonts w:ascii="Arial" w:hAnsi="Arial"/>
          <w:sz w:val="22"/>
        </w:rPr>
        <w:t>hordtasakok</w:t>
      </w:r>
      <w:proofErr w:type="spellEnd"/>
      <w:r w:rsidR="008C1CD2">
        <w:rPr>
          <w:rFonts w:ascii="Arial" w:hAnsi="Arial"/>
          <w:sz w:val="22"/>
        </w:rPr>
        <w:t>, amelyek a helyi komposztálás révén megfelelnek a biológiai úton történő lebonthatóságra vonatkozó európai, illetve nemzeti szabványoknak</w:t>
      </w:r>
      <w:r>
        <w:rPr>
          <w:rFonts w:ascii="Arial" w:hAnsi="Arial"/>
          <w:sz w:val="22"/>
        </w:rPr>
        <w:t>.</w:t>
      </w:r>
    </w:p>
    <w:p w:rsidR="00097EA7" w:rsidRPr="00E6754E" w:rsidRDefault="00097EA7" w:rsidP="00097EA7">
      <w:pPr>
        <w:ind w:left="851" w:right="339" w:firstLine="709"/>
        <w:jc w:val="both"/>
        <w:rPr>
          <w:rFonts w:ascii="Arial" w:hAnsi="Arial" w:cs="Arial"/>
          <w:sz w:val="22"/>
          <w:szCs w:val="22"/>
        </w:rPr>
      </w:pPr>
    </w:p>
    <w:p w:rsidR="00097EA7" w:rsidRPr="00E6754E" w:rsidRDefault="00097EA7" w:rsidP="00097EA7">
      <w:pPr>
        <w:ind w:left="851" w:right="339" w:firstLine="709"/>
        <w:jc w:val="both"/>
        <w:rPr>
          <w:rFonts w:ascii="Arial" w:hAnsi="Arial" w:cs="Arial"/>
          <w:sz w:val="22"/>
          <w:szCs w:val="22"/>
        </w:rPr>
      </w:pPr>
      <w:r>
        <w:rPr>
          <w:rFonts w:ascii="Arial" w:hAnsi="Arial"/>
          <w:sz w:val="22"/>
        </w:rPr>
        <w:t xml:space="preserve">g) „műanyag </w:t>
      </w:r>
      <w:proofErr w:type="spellStart"/>
      <w:r>
        <w:rPr>
          <w:rFonts w:ascii="Arial" w:hAnsi="Arial"/>
          <w:sz w:val="22"/>
        </w:rPr>
        <w:t>hordtasak</w:t>
      </w:r>
      <w:proofErr w:type="spellEnd"/>
      <w:r>
        <w:rPr>
          <w:rFonts w:ascii="Arial" w:hAnsi="Arial"/>
          <w:sz w:val="22"/>
        </w:rPr>
        <w:t xml:space="preserve"> gyártója”: olyan szereplő, amely kész műanyag </w:t>
      </w:r>
      <w:proofErr w:type="spellStart"/>
      <w:r>
        <w:rPr>
          <w:rFonts w:ascii="Arial" w:hAnsi="Arial"/>
          <w:sz w:val="22"/>
        </w:rPr>
        <w:t>hordtasakokat</w:t>
      </w:r>
      <w:proofErr w:type="spellEnd"/>
      <w:r>
        <w:rPr>
          <w:rFonts w:ascii="Arial" w:hAnsi="Arial"/>
          <w:sz w:val="22"/>
        </w:rPr>
        <w:t xml:space="preserve"> hoz forgalomba a nemzeti piacon. A kész műanyag </w:t>
      </w:r>
      <w:proofErr w:type="spellStart"/>
      <w:r>
        <w:rPr>
          <w:rFonts w:ascii="Arial" w:hAnsi="Arial"/>
          <w:sz w:val="22"/>
        </w:rPr>
        <w:t>hordtasakok</w:t>
      </w:r>
      <w:proofErr w:type="spellEnd"/>
      <w:r>
        <w:rPr>
          <w:rFonts w:ascii="Arial" w:hAnsi="Arial"/>
          <w:sz w:val="22"/>
        </w:rPr>
        <w:t xml:space="preserve"> importőreire ugyanazon feltételek vonatkoznak, mint a gyártókra.</w:t>
      </w:r>
    </w:p>
    <w:p w:rsidR="00097EA7" w:rsidRPr="00E6754E" w:rsidRDefault="00097EA7" w:rsidP="00097EA7">
      <w:pPr>
        <w:ind w:left="851" w:right="339" w:firstLine="709"/>
        <w:jc w:val="both"/>
        <w:rPr>
          <w:rFonts w:ascii="Arial" w:hAnsi="Arial" w:cs="Arial"/>
          <w:sz w:val="22"/>
          <w:szCs w:val="22"/>
        </w:rPr>
      </w:pPr>
    </w:p>
    <w:p w:rsidR="00097EA7" w:rsidRPr="00E6754E" w:rsidRDefault="00097EA7" w:rsidP="00097EA7">
      <w:pPr>
        <w:ind w:left="851" w:right="339" w:firstLine="709"/>
        <w:jc w:val="both"/>
        <w:rPr>
          <w:rFonts w:ascii="Arial" w:hAnsi="Arial" w:cs="Arial"/>
          <w:sz w:val="22"/>
          <w:szCs w:val="22"/>
        </w:rPr>
      </w:pPr>
    </w:p>
    <w:p w:rsidR="00097EA7" w:rsidRPr="00E6754E" w:rsidRDefault="00097EA7" w:rsidP="00097EA7">
      <w:pPr>
        <w:keepNext/>
        <w:keepLines/>
        <w:ind w:right="339" w:firstLine="993"/>
        <w:jc w:val="center"/>
        <w:rPr>
          <w:rFonts w:ascii="Arial" w:hAnsi="Arial" w:cs="Arial"/>
          <w:sz w:val="22"/>
          <w:szCs w:val="22"/>
        </w:rPr>
      </w:pPr>
      <w:r>
        <w:rPr>
          <w:rFonts w:ascii="Arial" w:hAnsi="Arial"/>
          <w:sz w:val="22"/>
        </w:rPr>
        <w:t xml:space="preserve">II. </w:t>
      </w:r>
      <w:r w:rsidR="003F1567">
        <w:rPr>
          <w:rFonts w:ascii="Arial" w:hAnsi="Arial"/>
          <w:sz w:val="22"/>
        </w:rPr>
        <w:t>FEJEZET</w:t>
      </w:r>
    </w:p>
    <w:p w:rsidR="00097EA7" w:rsidRPr="00E6754E" w:rsidRDefault="00097EA7" w:rsidP="00097EA7">
      <w:pPr>
        <w:keepNext/>
        <w:keepLines/>
        <w:ind w:right="339" w:firstLine="993"/>
        <w:jc w:val="center"/>
        <w:rPr>
          <w:rFonts w:ascii="Arial" w:hAnsi="Arial" w:cs="Arial"/>
          <w:sz w:val="22"/>
          <w:szCs w:val="22"/>
        </w:rPr>
      </w:pPr>
    </w:p>
    <w:p w:rsidR="00097EA7" w:rsidRPr="00E6754E" w:rsidRDefault="00097EA7" w:rsidP="00097EA7">
      <w:pPr>
        <w:keepNext/>
        <w:keepLines/>
        <w:ind w:left="851" w:right="339"/>
        <w:rPr>
          <w:rFonts w:ascii="Arial" w:hAnsi="Arial" w:cs="Arial"/>
          <w:b/>
          <w:sz w:val="22"/>
          <w:szCs w:val="22"/>
        </w:rPr>
      </w:pPr>
      <w:r>
        <w:rPr>
          <w:rFonts w:ascii="Arial" w:hAnsi="Arial"/>
          <w:b/>
          <w:sz w:val="22"/>
        </w:rPr>
        <w:t xml:space="preserve">A műanyag </w:t>
      </w:r>
      <w:proofErr w:type="spellStart"/>
      <w:r>
        <w:rPr>
          <w:rFonts w:ascii="Arial" w:hAnsi="Arial"/>
          <w:b/>
          <w:sz w:val="22"/>
        </w:rPr>
        <w:t>hordtasakok</w:t>
      </w:r>
      <w:proofErr w:type="spellEnd"/>
      <w:r>
        <w:rPr>
          <w:rFonts w:ascii="Arial" w:hAnsi="Arial"/>
          <w:b/>
          <w:sz w:val="22"/>
        </w:rPr>
        <w:t xml:space="preserve"> felhasználásának csökkentésére irányuló intézkedések, kötelezettségek és kampányok</w:t>
      </w:r>
    </w:p>
    <w:p w:rsidR="00097EA7" w:rsidRPr="00E6754E" w:rsidRDefault="00097EA7" w:rsidP="00097EA7">
      <w:pPr>
        <w:keepNext/>
        <w:keepLines/>
        <w:ind w:left="851" w:right="339"/>
        <w:jc w:val="both"/>
        <w:rPr>
          <w:rFonts w:ascii="Arial" w:hAnsi="Arial" w:cs="Arial"/>
          <w:sz w:val="22"/>
          <w:szCs w:val="22"/>
        </w:rPr>
      </w:pPr>
    </w:p>
    <w:p w:rsidR="00097EA7" w:rsidRPr="00E6754E" w:rsidRDefault="00097EA7" w:rsidP="00097EA7">
      <w:pPr>
        <w:keepNext/>
        <w:keepLines/>
        <w:ind w:left="851" w:right="339"/>
        <w:jc w:val="both"/>
        <w:rPr>
          <w:rFonts w:ascii="Arial" w:hAnsi="Arial" w:cs="Arial"/>
          <w:i/>
          <w:sz w:val="22"/>
          <w:szCs w:val="22"/>
        </w:rPr>
      </w:pPr>
      <w:r>
        <w:rPr>
          <w:rFonts w:ascii="Arial" w:hAnsi="Arial"/>
          <w:sz w:val="22"/>
        </w:rPr>
        <w:t xml:space="preserve">4. cikk </w:t>
      </w:r>
      <w:r>
        <w:rPr>
          <w:rFonts w:ascii="Arial" w:hAnsi="Arial"/>
          <w:i/>
          <w:sz w:val="22"/>
        </w:rPr>
        <w:t xml:space="preserve">A műanyag </w:t>
      </w:r>
      <w:proofErr w:type="spellStart"/>
      <w:r>
        <w:rPr>
          <w:rFonts w:ascii="Arial" w:hAnsi="Arial"/>
          <w:i/>
          <w:sz w:val="22"/>
        </w:rPr>
        <w:t>hordtasakok</w:t>
      </w:r>
      <w:proofErr w:type="spellEnd"/>
      <w:r>
        <w:rPr>
          <w:rFonts w:ascii="Arial" w:hAnsi="Arial"/>
          <w:i/>
          <w:sz w:val="22"/>
        </w:rPr>
        <w:t xml:space="preserve"> felhasználásának csökkentésére irányuló intézkedések</w:t>
      </w:r>
    </w:p>
    <w:p w:rsidR="00097EA7" w:rsidRPr="00E6754E" w:rsidRDefault="00097EA7" w:rsidP="00097EA7">
      <w:pPr>
        <w:keepNext/>
        <w:keepLines/>
        <w:ind w:left="851" w:right="339"/>
        <w:jc w:val="both"/>
        <w:rPr>
          <w:rFonts w:ascii="Arial" w:hAnsi="Arial" w:cs="Arial"/>
          <w:sz w:val="22"/>
          <w:szCs w:val="22"/>
        </w:rPr>
      </w:pPr>
    </w:p>
    <w:p w:rsidR="00097EA7" w:rsidRPr="00E6754E" w:rsidRDefault="00097EA7" w:rsidP="00097EA7">
      <w:pPr>
        <w:ind w:left="851" w:right="339" w:firstLine="567"/>
        <w:jc w:val="both"/>
        <w:rPr>
          <w:rFonts w:ascii="Arial" w:hAnsi="Arial" w:cs="Arial"/>
          <w:sz w:val="22"/>
          <w:szCs w:val="22"/>
        </w:rPr>
      </w:pPr>
      <w:r>
        <w:rPr>
          <w:rFonts w:ascii="Arial" w:hAnsi="Arial"/>
          <w:sz w:val="22"/>
        </w:rPr>
        <w:t xml:space="preserve">A hatálybalépés időpontjának függvényében </w:t>
      </w:r>
      <w:r w:rsidR="000163BF" w:rsidRPr="00D61F6E">
        <w:rPr>
          <w:rFonts w:ascii="Arial" w:hAnsi="Arial"/>
          <w:sz w:val="22"/>
        </w:rPr>
        <w:t xml:space="preserve">a műanyag </w:t>
      </w:r>
      <w:proofErr w:type="spellStart"/>
      <w:r w:rsidR="000163BF" w:rsidRPr="00D61F6E">
        <w:rPr>
          <w:rFonts w:ascii="Arial" w:hAnsi="Arial"/>
          <w:sz w:val="22"/>
        </w:rPr>
        <w:t>hordtasakok</w:t>
      </w:r>
      <w:proofErr w:type="spellEnd"/>
      <w:r w:rsidR="000163BF" w:rsidRPr="00D61F6E">
        <w:rPr>
          <w:rFonts w:ascii="Arial" w:hAnsi="Arial"/>
          <w:sz w:val="22"/>
        </w:rPr>
        <w:t xml:space="preserve"> felhasználásának csökkentésére irányuló</w:t>
      </w:r>
      <w:r>
        <w:rPr>
          <w:rFonts w:ascii="Arial" w:hAnsi="Arial"/>
          <w:sz w:val="22"/>
        </w:rPr>
        <w:t xml:space="preserve"> alábbi intézkedéseket fogadják el:</w:t>
      </w:r>
    </w:p>
    <w:p w:rsidR="00097EA7" w:rsidRPr="00E6754E" w:rsidRDefault="00097EA7" w:rsidP="00097EA7">
      <w:pPr>
        <w:ind w:left="851" w:right="339" w:firstLine="567"/>
        <w:jc w:val="both"/>
        <w:rPr>
          <w:rFonts w:ascii="Arial" w:hAnsi="Arial" w:cs="Arial"/>
          <w:sz w:val="22"/>
          <w:szCs w:val="22"/>
        </w:rPr>
      </w:pPr>
    </w:p>
    <w:p w:rsidR="00097EA7" w:rsidRPr="00E6754E" w:rsidRDefault="00097EA7" w:rsidP="00097EA7">
      <w:pPr>
        <w:pStyle w:val="ListParagraph"/>
        <w:keepNext/>
        <w:keepLines/>
        <w:ind w:left="851" w:right="339" w:firstLine="567"/>
        <w:jc w:val="both"/>
        <w:rPr>
          <w:rFonts w:ascii="Arial" w:hAnsi="Arial" w:cs="Arial"/>
          <w:sz w:val="22"/>
          <w:szCs w:val="22"/>
        </w:rPr>
      </w:pPr>
      <w:r>
        <w:rPr>
          <w:rFonts w:ascii="Arial" w:hAnsi="Arial"/>
          <w:sz w:val="22"/>
        </w:rPr>
        <w:t xml:space="preserve">1. 2018. </w:t>
      </w:r>
      <w:r w:rsidR="008D3925">
        <w:rPr>
          <w:rFonts w:ascii="Arial" w:hAnsi="Arial"/>
          <w:sz w:val="22"/>
        </w:rPr>
        <w:t>július</w:t>
      </w:r>
      <w:r>
        <w:rPr>
          <w:rFonts w:ascii="Arial" w:hAnsi="Arial"/>
          <w:sz w:val="22"/>
        </w:rPr>
        <w:t xml:space="preserve"> 1-jétől:</w:t>
      </w:r>
    </w:p>
    <w:p w:rsidR="00097EA7" w:rsidRPr="00E6754E" w:rsidRDefault="00097EA7" w:rsidP="00097EA7">
      <w:pPr>
        <w:pStyle w:val="ListParagraph"/>
        <w:keepNext/>
        <w:keepLines/>
        <w:ind w:left="851" w:right="339" w:firstLine="567"/>
        <w:jc w:val="both"/>
        <w:rPr>
          <w:rFonts w:ascii="Arial" w:hAnsi="Arial" w:cs="Arial"/>
          <w:sz w:val="22"/>
          <w:szCs w:val="22"/>
        </w:rPr>
      </w:pPr>
    </w:p>
    <w:p w:rsidR="00097EA7" w:rsidRPr="005A3ECD" w:rsidRDefault="00097EA7" w:rsidP="005A3ECD">
      <w:pPr>
        <w:pStyle w:val="ListParagraph"/>
        <w:ind w:left="851" w:right="339" w:firstLine="567"/>
        <w:jc w:val="both"/>
        <w:rPr>
          <w:rFonts w:ascii="Arial" w:hAnsi="Arial"/>
          <w:sz w:val="22"/>
        </w:rPr>
      </w:pPr>
      <w:r>
        <w:rPr>
          <w:rFonts w:ascii="Arial" w:hAnsi="Arial"/>
          <w:sz w:val="22"/>
        </w:rPr>
        <w:t xml:space="preserve">a) Tilos a javak vagy termékek értékesítési pontjain díjmentesen műanyag </w:t>
      </w:r>
      <w:proofErr w:type="spellStart"/>
      <w:r>
        <w:rPr>
          <w:rFonts w:ascii="Arial" w:hAnsi="Arial"/>
          <w:sz w:val="22"/>
        </w:rPr>
        <w:t>hordtasakokat</w:t>
      </w:r>
      <w:proofErr w:type="spellEnd"/>
      <w:r>
        <w:rPr>
          <w:rFonts w:ascii="Arial" w:hAnsi="Arial"/>
          <w:sz w:val="22"/>
        </w:rPr>
        <w:t xml:space="preserve"> adni a fogyasztók számára, kivéve a nagyon könnyű műanyag </w:t>
      </w:r>
      <w:proofErr w:type="spellStart"/>
      <w:r>
        <w:rPr>
          <w:rFonts w:ascii="Arial" w:hAnsi="Arial"/>
          <w:sz w:val="22"/>
        </w:rPr>
        <w:t>hordtasakokat</w:t>
      </w:r>
      <w:proofErr w:type="spellEnd"/>
      <w:r w:rsidR="005A3ECD">
        <w:rPr>
          <w:rFonts w:ascii="Arial" w:hAnsi="Arial"/>
          <w:sz w:val="22"/>
        </w:rPr>
        <w:t xml:space="preserve">, és az olyan műanyag </w:t>
      </w:r>
      <w:proofErr w:type="spellStart"/>
      <w:r w:rsidR="005A3ECD">
        <w:rPr>
          <w:rFonts w:ascii="Arial" w:hAnsi="Arial"/>
          <w:sz w:val="22"/>
        </w:rPr>
        <w:t>hordtasakokat</w:t>
      </w:r>
      <w:proofErr w:type="spellEnd"/>
      <w:r w:rsidR="005A3ECD">
        <w:rPr>
          <w:rFonts w:ascii="Arial" w:hAnsi="Arial"/>
          <w:sz w:val="22"/>
        </w:rPr>
        <w:t>, amelyek falvastagsága legalább 50 mikron, és legalább 70%-ban tartalmaznak újrahasznosított műanyagot</w:t>
      </w:r>
      <w:r>
        <w:rPr>
          <w:rFonts w:ascii="Arial" w:hAnsi="Arial"/>
          <w:sz w:val="22"/>
        </w:rPr>
        <w:t>.</w:t>
      </w:r>
    </w:p>
    <w:p w:rsidR="00097EA7" w:rsidRPr="00E6754E" w:rsidRDefault="00097EA7" w:rsidP="00097EA7">
      <w:pPr>
        <w:pStyle w:val="ListParagraph"/>
        <w:ind w:left="851" w:right="339" w:firstLine="567"/>
        <w:jc w:val="both"/>
        <w:rPr>
          <w:rFonts w:ascii="Arial" w:hAnsi="Arial" w:cs="Arial"/>
          <w:sz w:val="22"/>
          <w:szCs w:val="22"/>
        </w:rPr>
      </w:pPr>
    </w:p>
    <w:p w:rsidR="005A3ECD" w:rsidRDefault="005A3ECD" w:rsidP="00097EA7">
      <w:pPr>
        <w:pStyle w:val="ListParagraph"/>
        <w:ind w:left="851" w:right="339" w:firstLine="567"/>
        <w:jc w:val="both"/>
        <w:rPr>
          <w:rFonts w:ascii="Arial" w:hAnsi="Arial"/>
          <w:sz w:val="22"/>
        </w:rPr>
      </w:pPr>
      <w:r>
        <w:rPr>
          <w:rFonts w:ascii="Arial" w:hAnsi="Arial"/>
          <w:sz w:val="22"/>
        </w:rPr>
        <w:t xml:space="preserve">b) A legalább 50 mikron falvastagságú műanyag </w:t>
      </w:r>
      <w:proofErr w:type="spellStart"/>
      <w:r>
        <w:rPr>
          <w:rFonts w:ascii="Arial" w:hAnsi="Arial"/>
          <w:sz w:val="22"/>
        </w:rPr>
        <w:t>hordtasakok</w:t>
      </w:r>
      <w:proofErr w:type="spellEnd"/>
      <w:r>
        <w:rPr>
          <w:rFonts w:ascii="Arial" w:hAnsi="Arial"/>
          <w:sz w:val="22"/>
        </w:rPr>
        <w:t xml:space="preserve"> előző bekezdés szerinti mentessége tekintetében a kereskedő</w:t>
      </w:r>
      <w:r w:rsidR="008A027F">
        <w:rPr>
          <w:rFonts w:ascii="Arial" w:hAnsi="Arial"/>
          <w:sz w:val="22"/>
        </w:rPr>
        <w:t>nek rendelkeznie kell a gyártó által biztosított, ennek a százalékos aránynak az igazolására szolgáló dokumentációval.</w:t>
      </w:r>
    </w:p>
    <w:p w:rsidR="005A3ECD" w:rsidRDefault="005A3ECD" w:rsidP="00097EA7">
      <w:pPr>
        <w:pStyle w:val="ListParagraph"/>
        <w:ind w:left="851" w:right="339" w:firstLine="567"/>
        <w:jc w:val="both"/>
        <w:rPr>
          <w:rFonts w:ascii="Arial" w:hAnsi="Arial"/>
          <w:sz w:val="22"/>
        </w:rPr>
      </w:pPr>
    </w:p>
    <w:p w:rsidR="00097EA7" w:rsidRPr="00E6754E" w:rsidRDefault="008A027F" w:rsidP="00097EA7">
      <w:pPr>
        <w:pStyle w:val="ListParagraph"/>
        <w:ind w:left="851" w:right="339" w:firstLine="567"/>
        <w:jc w:val="both"/>
        <w:rPr>
          <w:rFonts w:ascii="Arial" w:hAnsi="Arial" w:cs="Arial"/>
          <w:sz w:val="22"/>
          <w:szCs w:val="22"/>
        </w:rPr>
      </w:pPr>
      <w:r>
        <w:rPr>
          <w:rFonts w:ascii="Arial" w:hAnsi="Arial"/>
          <w:sz w:val="22"/>
        </w:rPr>
        <w:t>c</w:t>
      </w:r>
      <w:r w:rsidR="00097EA7">
        <w:rPr>
          <w:rFonts w:ascii="Arial" w:hAnsi="Arial"/>
          <w:sz w:val="22"/>
        </w:rPr>
        <w:t xml:space="preserve">) A kereskedők minden egyes, a fogyasztók számára átadott műanyag </w:t>
      </w:r>
      <w:proofErr w:type="spellStart"/>
      <w:r w:rsidR="00097EA7">
        <w:rPr>
          <w:rFonts w:ascii="Arial" w:hAnsi="Arial"/>
          <w:sz w:val="22"/>
        </w:rPr>
        <w:t>hordtasak</w:t>
      </w:r>
      <w:proofErr w:type="spellEnd"/>
      <w:r w:rsidR="00097EA7">
        <w:rPr>
          <w:rFonts w:ascii="Arial" w:hAnsi="Arial"/>
          <w:sz w:val="22"/>
        </w:rPr>
        <w:t xml:space="preserve"> után díjat számítanak fel. A műanyag </w:t>
      </w:r>
      <w:proofErr w:type="spellStart"/>
      <w:r w:rsidR="00097EA7">
        <w:rPr>
          <w:rFonts w:ascii="Arial" w:hAnsi="Arial"/>
          <w:sz w:val="22"/>
        </w:rPr>
        <w:t>hordtasakok</w:t>
      </w:r>
      <w:proofErr w:type="spellEnd"/>
      <w:r w:rsidR="00097EA7">
        <w:rPr>
          <w:rFonts w:ascii="Arial" w:hAnsi="Arial"/>
          <w:sz w:val="22"/>
        </w:rPr>
        <w:t xml:space="preserve"> árának meghatározásához a kereskedők az I. mellékletben meghatározott irányárakat használhatják referenciaként.</w:t>
      </w:r>
    </w:p>
    <w:p w:rsidR="00097EA7" w:rsidRPr="00E6754E" w:rsidRDefault="00097EA7" w:rsidP="00097EA7">
      <w:pPr>
        <w:pStyle w:val="ListParagraph"/>
        <w:ind w:left="851" w:right="339" w:firstLine="567"/>
        <w:jc w:val="both"/>
        <w:rPr>
          <w:rFonts w:ascii="Arial" w:hAnsi="Arial" w:cs="Arial"/>
          <w:sz w:val="22"/>
          <w:szCs w:val="22"/>
        </w:rPr>
      </w:pPr>
    </w:p>
    <w:p w:rsidR="00097EA7" w:rsidRPr="00E6754E" w:rsidRDefault="008A027F" w:rsidP="00097EA7">
      <w:pPr>
        <w:pStyle w:val="ListParagraph"/>
        <w:ind w:left="851" w:right="339" w:firstLine="567"/>
        <w:jc w:val="both"/>
        <w:rPr>
          <w:rFonts w:ascii="Arial" w:hAnsi="Arial" w:cs="Arial"/>
          <w:sz w:val="22"/>
          <w:szCs w:val="22"/>
        </w:rPr>
      </w:pPr>
      <w:r>
        <w:rPr>
          <w:rFonts w:ascii="Arial" w:hAnsi="Arial"/>
          <w:sz w:val="22"/>
        </w:rPr>
        <w:t>d</w:t>
      </w:r>
      <w:r w:rsidR="00097EA7">
        <w:rPr>
          <w:rFonts w:ascii="Arial" w:hAnsi="Arial"/>
          <w:sz w:val="22"/>
        </w:rPr>
        <w:t xml:space="preserve">) A kereskedőknek ezenkívül értesíteniük kell a fogyasztókat a meghatározott árakról, amelyeket – a fenti bekezdésekben foglalt kötelezettségek betartására vonatkozó hivatkozással ellátva – jól látható helyen kell feltüntetniük a nyilvánosság számára. </w:t>
      </w:r>
    </w:p>
    <w:p w:rsidR="00097EA7" w:rsidRPr="00E6754E" w:rsidRDefault="00097EA7" w:rsidP="00097EA7">
      <w:pPr>
        <w:pStyle w:val="ListParagraph"/>
        <w:ind w:left="1068" w:right="339" w:firstLine="567"/>
        <w:jc w:val="both"/>
        <w:rPr>
          <w:rFonts w:ascii="Arial" w:hAnsi="Arial" w:cs="Arial"/>
          <w:sz w:val="22"/>
          <w:szCs w:val="22"/>
        </w:rPr>
      </w:pPr>
    </w:p>
    <w:p w:rsidR="00097EA7" w:rsidRPr="00E6754E" w:rsidRDefault="00097EA7" w:rsidP="00097EA7">
      <w:pPr>
        <w:pStyle w:val="ListParagraph"/>
        <w:keepNext/>
        <w:keepLines/>
        <w:ind w:left="851" w:right="339" w:firstLine="565"/>
        <w:jc w:val="both"/>
        <w:rPr>
          <w:rFonts w:ascii="Arial" w:hAnsi="Arial" w:cs="Arial"/>
          <w:sz w:val="22"/>
          <w:szCs w:val="22"/>
        </w:rPr>
      </w:pPr>
      <w:r>
        <w:rPr>
          <w:rFonts w:ascii="Arial" w:hAnsi="Arial"/>
          <w:sz w:val="22"/>
        </w:rPr>
        <w:t>2. 2020. január 1-jétől:</w:t>
      </w:r>
    </w:p>
    <w:p w:rsidR="00097EA7" w:rsidRPr="00E6754E" w:rsidRDefault="00097EA7" w:rsidP="00097EA7">
      <w:pPr>
        <w:pStyle w:val="ListParagraph"/>
        <w:keepNext/>
        <w:keepLines/>
        <w:ind w:left="851" w:right="339"/>
        <w:jc w:val="both"/>
        <w:rPr>
          <w:rFonts w:ascii="Arial" w:hAnsi="Arial" w:cs="Arial"/>
          <w:sz w:val="22"/>
          <w:szCs w:val="22"/>
        </w:rPr>
      </w:pPr>
    </w:p>
    <w:p w:rsidR="00097EA7" w:rsidRPr="00E6754E" w:rsidRDefault="00097EA7" w:rsidP="00684FBF">
      <w:pPr>
        <w:pStyle w:val="ListParagraph"/>
        <w:numPr>
          <w:ilvl w:val="0"/>
          <w:numId w:val="30"/>
        </w:numPr>
        <w:tabs>
          <w:tab w:val="left" w:pos="1710"/>
        </w:tabs>
        <w:ind w:left="851" w:right="339" w:firstLine="589"/>
        <w:jc w:val="both"/>
        <w:rPr>
          <w:rFonts w:ascii="Arial" w:hAnsi="Arial" w:cs="Arial"/>
          <w:sz w:val="22"/>
          <w:szCs w:val="22"/>
        </w:rPr>
      </w:pPr>
      <w:r>
        <w:rPr>
          <w:rFonts w:ascii="Arial" w:hAnsi="Arial"/>
          <w:sz w:val="22"/>
        </w:rPr>
        <w:t xml:space="preserve">Tilos a javak vagy termékek értékesítési pontjain </w:t>
      </w:r>
      <w:proofErr w:type="spellStart"/>
      <w:r w:rsidR="00DF610C">
        <w:rPr>
          <w:rFonts w:ascii="Arial" w:hAnsi="Arial"/>
          <w:sz w:val="22"/>
        </w:rPr>
        <w:t>fragmentálható</w:t>
      </w:r>
      <w:proofErr w:type="spellEnd"/>
      <w:r w:rsidR="0051161A">
        <w:rPr>
          <w:rFonts w:ascii="Arial" w:hAnsi="Arial"/>
          <w:sz w:val="22"/>
        </w:rPr>
        <w:t xml:space="preserve"> </w:t>
      </w:r>
      <w:r>
        <w:rPr>
          <w:rFonts w:ascii="Arial" w:hAnsi="Arial"/>
          <w:sz w:val="22"/>
        </w:rPr>
        <w:t xml:space="preserve">műanyag </w:t>
      </w:r>
      <w:proofErr w:type="spellStart"/>
      <w:r>
        <w:rPr>
          <w:rFonts w:ascii="Arial" w:hAnsi="Arial"/>
          <w:sz w:val="22"/>
        </w:rPr>
        <w:t>hordtasakokat</w:t>
      </w:r>
      <w:proofErr w:type="spellEnd"/>
      <w:r>
        <w:rPr>
          <w:rFonts w:ascii="Arial" w:hAnsi="Arial"/>
          <w:sz w:val="22"/>
        </w:rPr>
        <w:t xml:space="preserve"> adni a fogyasztók számára.</w:t>
      </w:r>
    </w:p>
    <w:p w:rsidR="00097EA7" w:rsidRPr="00E6754E" w:rsidRDefault="00097EA7" w:rsidP="00684FBF">
      <w:pPr>
        <w:pStyle w:val="ListParagraph"/>
        <w:tabs>
          <w:tab w:val="left" w:pos="1710"/>
        </w:tabs>
        <w:ind w:left="851" w:right="339" w:firstLine="589"/>
        <w:jc w:val="both"/>
        <w:rPr>
          <w:rFonts w:ascii="Arial" w:hAnsi="Arial" w:cs="Arial"/>
          <w:sz w:val="22"/>
          <w:szCs w:val="22"/>
        </w:rPr>
      </w:pPr>
    </w:p>
    <w:p w:rsidR="00097EA7" w:rsidRPr="00E6754E" w:rsidRDefault="0051161A" w:rsidP="00684FBF">
      <w:pPr>
        <w:pStyle w:val="ListParagraph"/>
        <w:numPr>
          <w:ilvl w:val="0"/>
          <w:numId w:val="30"/>
        </w:numPr>
        <w:tabs>
          <w:tab w:val="left" w:pos="1710"/>
        </w:tabs>
        <w:ind w:left="851" w:right="339" w:firstLine="589"/>
        <w:jc w:val="both"/>
        <w:rPr>
          <w:rFonts w:ascii="Arial" w:hAnsi="Arial" w:cs="Arial"/>
          <w:sz w:val="22"/>
          <w:szCs w:val="22"/>
        </w:rPr>
      </w:pPr>
      <w:r>
        <w:rPr>
          <w:rFonts w:ascii="Arial" w:hAnsi="Arial"/>
          <w:sz w:val="22"/>
        </w:rPr>
        <w:t xml:space="preserve">Az 50 mikron vagy annál nagyobb falvastagságú műanyag </w:t>
      </w:r>
      <w:proofErr w:type="spellStart"/>
      <w:r>
        <w:rPr>
          <w:rFonts w:ascii="Arial" w:hAnsi="Arial"/>
          <w:sz w:val="22"/>
        </w:rPr>
        <w:t>hordtasakoknak</w:t>
      </w:r>
      <w:proofErr w:type="spellEnd"/>
      <w:r>
        <w:rPr>
          <w:rFonts w:ascii="Arial" w:hAnsi="Arial"/>
          <w:sz w:val="22"/>
        </w:rPr>
        <w:t xml:space="preserve"> legalább 50%-ban </w:t>
      </w:r>
      <w:proofErr w:type="spellStart"/>
      <w:r>
        <w:rPr>
          <w:rFonts w:ascii="Arial" w:hAnsi="Arial"/>
          <w:sz w:val="22"/>
        </w:rPr>
        <w:t>újrafeldolgozott</w:t>
      </w:r>
      <w:proofErr w:type="spellEnd"/>
      <w:r>
        <w:rPr>
          <w:rFonts w:ascii="Arial" w:hAnsi="Arial"/>
          <w:sz w:val="22"/>
        </w:rPr>
        <w:t xml:space="preserve"> műanyagot kell tartalmazniuk.</w:t>
      </w:r>
    </w:p>
    <w:p w:rsidR="00097EA7" w:rsidRPr="00E6754E" w:rsidRDefault="00097EA7" w:rsidP="00684FBF">
      <w:pPr>
        <w:pStyle w:val="ListParagraph"/>
        <w:tabs>
          <w:tab w:val="left" w:pos="1710"/>
        </w:tabs>
        <w:ind w:left="851" w:right="339" w:firstLine="589"/>
        <w:jc w:val="both"/>
        <w:rPr>
          <w:rFonts w:ascii="Arial" w:hAnsi="Arial" w:cs="Arial"/>
          <w:b/>
          <w:sz w:val="22"/>
          <w:szCs w:val="22"/>
        </w:rPr>
      </w:pPr>
    </w:p>
    <w:p w:rsidR="00097EA7" w:rsidRPr="00E6754E" w:rsidRDefault="00097EA7" w:rsidP="00D61F6E">
      <w:pPr>
        <w:pStyle w:val="ListParagraph"/>
        <w:tabs>
          <w:tab w:val="left" w:pos="1710"/>
        </w:tabs>
        <w:ind w:left="1440" w:right="339"/>
        <w:jc w:val="both"/>
        <w:rPr>
          <w:rFonts w:ascii="Arial" w:hAnsi="Arial" w:cs="Arial"/>
          <w:sz w:val="22"/>
          <w:szCs w:val="22"/>
        </w:rPr>
      </w:pPr>
    </w:p>
    <w:p w:rsidR="00097EA7" w:rsidRDefault="00097EA7" w:rsidP="00097EA7">
      <w:pPr>
        <w:ind w:left="851" w:right="339" w:firstLine="709"/>
        <w:jc w:val="both"/>
        <w:rPr>
          <w:rFonts w:ascii="Arial" w:hAnsi="Arial" w:cs="Arial"/>
          <w:sz w:val="22"/>
          <w:szCs w:val="22"/>
        </w:rPr>
      </w:pPr>
    </w:p>
    <w:p w:rsidR="0051161A" w:rsidRPr="00E6754E" w:rsidRDefault="0051161A" w:rsidP="00097EA7">
      <w:pPr>
        <w:ind w:left="851" w:right="339" w:firstLine="709"/>
        <w:jc w:val="both"/>
        <w:rPr>
          <w:rFonts w:ascii="Arial" w:hAnsi="Arial" w:cs="Arial"/>
          <w:sz w:val="22"/>
          <w:szCs w:val="22"/>
        </w:rPr>
      </w:pPr>
      <w:r>
        <w:rPr>
          <w:rFonts w:ascii="Arial" w:hAnsi="Arial" w:cs="Arial"/>
          <w:sz w:val="22"/>
          <w:szCs w:val="22"/>
        </w:rPr>
        <w:t xml:space="preserve">3. 2021. január 1-jétől tilos a javak vagy termékek értékesítési pontjain könnyű vagy nagyon könnyű műanyag </w:t>
      </w:r>
      <w:proofErr w:type="spellStart"/>
      <w:r>
        <w:rPr>
          <w:rFonts w:ascii="Arial" w:hAnsi="Arial" w:cs="Arial"/>
          <w:sz w:val="22"/>
          <w:szCs w:val="22"/>
        </w:rPr>
        <w:t>hordtasakokat</w:t>
      </w:r>
      <w:proofErr w:type="spellEnd"/>
      <w:r>
        <w:rPr>
          <w:rFonts w:ascii="Arial" w:hAnsi="Arial" w:cs="Arial"/>
          <w:sz w:val="22"/>
          <w:szCs w:val="22"/>
        </w:rPr>
        <w:t xml:space="preserve"> adni a fogyasztók számára, kivéve, ha azok komposztálható műanyagból készültek. A műany</w:t>
      </w:r>
      <w:r w:rsidR="00FC3654">
        <w:rPr>
          <w:rFonts w:ascii="Arial" w:hAnsi="Arial" w:cs="Arial"/>
          <w:sz w:val="22"/>
          <w:szCs w:val="22"/>
        </w:rPr>
        <w:t xml:space="preserve">ag </w:t>
      </w:r>
      <w:proofErr w:type="spellStart"/>
      <w:r w:rsidR="00FC3654">
        <w:rPr>
          <w:rFonts w:ascii="Arial" w:hAnsi="Arial" w:cs="Arial"/>
          <w:sz w:val="22"/>
          <w:szCs w:val="22"/>
        </w:rPr>
        <w:t>hordtasakok</w:t>
      </w:r>
      <w:proofErr w:type="spellEnd"/>
      <w:r w:rsidR="00FC3654">
        <w:rPr>
          <w:rFonts w:ascii="Arial" w:hAnsi="Arial" w:cs="Arial"/>
          <w:sz w:val="22"/>
          <w:szCs w:val="22"/>
        </w:rPr>
        <w:t xml:space="preserve"> helyett a kereskedők</w:t>
      </w:r>
      <w:r>
        <w:rPr>
          <w:rFonts w:ascii="Arial" w:hAnsi="Arial" w:cs="Arial"/>
          <w:sz w:val="22"/>
          <w:szCs w:val="22"/>
        </w:rPr>
        <w:t xml:space="preserve"> más csomagolási formát is választhatnak.</w:t>
      </w:r>
    </w:p>
    <w:p w:rsidR="00097EA7" w:rsidRDefault="00097EA7" w:rsidP="00097EA7">
      <w:pPr>
        <w:ind w:left="851" w:right="339" w:firstLine="709"/>
        <w:jc w:val="both"/>
        <w:rPr>
          <w:rFonts w:ascii="Arial" w:hAnsi="Arial" w:cs="Arial"/>
          <w:sz w:val="22"/>
          <w:szCs w:val="22"/>
        </w:rPr>
      </w:pPr>
    </w:p>
    <w:p w:rsidR="00F501A4" w:rsidRDefault="00F501A4" w:rsidP="00097EA7">
      <w:pPr>
        <w:ind w:left="851" w:right="339" w:firstLine="709"/>
        <w:jc w:val="both"/>
        <w:rPr>
          <w:rFonts w:ascii="Arial" w:hAnsi="Arial" w:cs="Arial"/>
          <w:sz w:val="22"/>
          <w:szCs w:val="22"/>
        </w:rPr>
      </w:pPr>
      <w:r>
        <w:rPr>
          <w:rFonts w:ascii="Arial" w:hAnsi="Arial" w:cs="Arial"/>
          <w:sz w:val="22"/>
          <w:szCs w:val="22"/>
        </w:rPr>
        <w:t xml:space="preserve">4. Az ebben a cikkben foglalt rendelkezések a javak vagy termékek értékesítési pontjain biztosított műanyag </w:t>
      </w:r>
      <w:proofErr w:type="spellStart"/>
      <w:r>
        <w:rPr>
          <w:rFonts w:ascii="Arial" w:hAnsi="Arial" w:cs="Arial"/>
          <w:sz w:val="22"/>
          <w:szCs w:val="22"/>
        </w:rPr>
        <w:t>hordtasakokra</w:t>
      </w:r>
      <w:proofErr w:type="spellEnd"/>
      <w:r>
        <w:rPr>
          <w:rFonts w:ascii="Arial" w:hAnsi="Arial" w:cs="Arial"/>
          <w:sz w:val="22"/>
          <w:szCs w:val="22"/>
        </w:rPr>
        <w:t xml:space="preserve">, illetve az online vásárlás vagy házhozszállítás során esetlegesen biztosított </w:t>
      </w:r>
      <w:proofErr w:type="spellStart"/>
      <w:r>
        <w:rPr>
          <w:rFonts w:ascii="Arial" w:hAnsi="Arial" w:cs="Arial"/>
          <w:sz w:val="22"/>
          <w:szCs w:val="22"/>
        </w:rPr>
        <w:t>hordtasakokra</w:t>
      </w:r>
      <w:proofErr w:type="spellEnd"/>
      <w:r>
        <w:rPr>
          <w:rFonts w:ascii="Arial" w:hAnsi="Arial" w:cs="Arial"/>
          <w:sz w:val="22"/>
          <w:szCs w:val="22"/>
        </w:rPr>
        <w:t xml:space="preserve"> vonatkoznak.</w:t>
      </w:r>
      <w:r w:rsidR="00CF188F">
        <w:rPr>
          <w:rFonts w:ascii="Arial" w:hAnsi="Arial" w:cs="Arial"/>
          <w:sz w:val="22"/>
          <w:szCs w:val="22"/>
        </w:rPr>
        <w:t xml:space="preserve"> Nem tartoznak ide a távértékesítés során használt műanyag védőcsomagolások, azonban ezek csomagolásnak minősülnek abban az esetben, ha megfelelnek a csomagolás 1997. április 24-i 11/1997. sz. törvényben szereplő </w:t>
      </w:r>
      <w:proofErr w:type="spellStart"/>
      <w:r w:rsidR="00CF188F">
        <w:rPr>
          <w:rFonts w:ascii="Arial" w:hAnsi="Arial" w:cs="Arial"/>
          <w:sz w:val="22"/>
          <w:szCs w:val="22"/>
        </w:rPr>
        <w:t>fogalommeghatározásának</w:t>
      </w:r>
      <w:proofErr w:type="spellEnd"/>
      <w:r w:rsidR="00234F6D">
        <w:rPr>
          <w:rFonts w:ascii="Arial" w:hAnsi="Arial" w:cs="Arial"/>
          <w:sz w:val="22"/>
          <w:szCs w:val="22"/>
        </w:rPr>
        <w:t>.</w:t>
      </w:r>
    </w:p>
    <w:p w:rsidR="00F501A4" w:rsidRPr="00E6754E" w:rsidRDefault="00F501A4" w:rsidP="00097EA7">
      <w:pPr>
        <w:ind w:left="851" w:right="339" w:firstLine="709"/>
        <w:jc w:val="both"/>
        <w:rPr>
          <w:rFonts w:ascii="Arial" w:hAnsi="Arial" w:cs="Arial"/>
          <w:sz w:val="22"/>
          <w:szCs w:val="22"/>
        </w:rPr>
      </w:pPr>
    </w:p>
    <w:p w:rsidR="00097EA7" w:rsidRPr="00E6754E" w:rsidRDefault="00097EA7" w:rsidP="00097EA7">
      <w:pPr>
        <w:keepNext/>
        <w:keepLines/>
        <w:ind w:left="851" w:right="339"/>
        <w:jc w:val="both"/>
        <w:rPr>
          <w:rFonts w:ascii="Arial" w:hAnsi="Arial" w:cs="Arial"/>
          <w:sz w:val="22"/>
          <w:szCs w:val="22"/>
        </w:rPr>
      </w:pPr>
      <w:r>
        <w:rPr>
          <w:rFonts w:ascii="Arial" w:hAnsi="Arial"/>
          <w:sz w:val="22"/>
        </w:rPr>
        <w:t xml:space="preserve">5. cikk </w:t>
      </w:r>
      <w:r>
        <w:rPr>
          <w:rFonts w:ascii="Arial" w:hAnsi="Arial"/>
          <w:i/>
          <w:sz w:val="22"/>
        </w:rPr>
        <w:t xml:space="preserve">A műanyag </w:t>
      </w:r>
      <w:proofErr w:type="spellStart"/>
      <w:r>
        <w:rPr>
          <w:rFonts w:ascii="Arial" w:hAnsi="Arial"/>
          <w:i/>
          <w:sz w:val="22"/>
        </w:rPr>
        <w:t>hordtasakok</w:t>
      </w:r>
      <w:proofErr w:type="spellEnd"/>
      <w:r>
        <w:rPr>
          <w:rFonts w:ascii="Arial" w:hAnsi="Arial"/>
          <w:i/>
          <w:sz w:val="22"/>
        </w:rPr>
        <w:t xml:space="preserve"> jelölésére vonatkozó követelmények.</w:t>
      </w:r>
    </w:p>
    <w:p w:rsidR="00097EA7" w:rsidRPr="00E6754E" w:rsidRDefault="00097EA7" w:rsidP="00097EA7">
      <w:pPr>
        <w:keepNext/>
        <w:keepLines/>
        <w:ind w:left="851" w:right="339"/>
        <w:jc w:val="center"/>
        <w:rPr>
          <w:rFonts w:ascii="Arial" w:hAnsi="Arial" w:cs="Arial"/>
          <w:sz w:val="22"/>
          <w:szCs w:val="22"/>
        </w:rPr>
      </w:pPr>
    </w:p>
    <w:p w:rsidR="00097EA7" w:rsidRPr="00E6754E" w:rsidRDefault="00097EA7" w:rsidP="00D61F6E">
      <w:pPr>
        <w:ind w:left="851" w:right="339"/>
        <w:jc w:val="both"/>
        <w:rPr>
          <w:rFonts w:ascii="Arial" w:hAnsi="Arial" w:cs="Arial"/>
          <w:sz w:val="22"/>
          <w:szCs w:val="22"/>
        </w:rPr>
      </w:pPr>
      <w:r>
        <w:rPr>
          <w:rFonts w:ascii="Arial" w:hAnsi="Arial"/>
          <w:sz w:val="22"/>
        </w:rPr>
        <w:t>A csomagolásról és a csomagolási hulladékról szóló 1994. december 20-i 94/62/EK európai parlamenti és tanácsi irányelv 8</w:t>
      </w:r>
      <w:r w:rsidR="00234F6D">
        <w:rPr>
          <w:rFonts w:ascii="Arial" w:hAnsi="Arial"/>
          <w:sz w:val="22"/>
        </w:rPr>
        <w:t>a</w:t>
      </w:r>
      <w:r>
        <w:rPr>
          <w:rFonts w:ascii="Arial" w:hAnsi="Arial"/>
          <w:sz w:val="22"/>
        </w:rPr>
        <w:t>. cikké</w:t>
      </w:r>
      <w:r w:rsidR="00234F6D">
        <w:rPr>
          <w:rFonts w:ascii="Arial" w:hAnsi="Arial"/>
          <w:sz w:val="22"/>
        </w:rPr>
        <w:t>ben</w:t>
      </w:r>
      <w:r>
        <w:rPr>
          <w:rFonts w:ascii="Arial" w:hAnsi="Arial"/>
          <w:sz w:val="22"/>
        </w:rPr>
        <w:t xml:space="preserve"> meghatározott </w:t>
      </w:r>
      <w:r w:rsidR="00AD3386">
        <w:rPr>
          <w:rFonts w:ascii="Arial" w:hAnsi="Arial"/>
          <w:sz w:val="22"/>
        </w:rPr>
        <w:t>európai</w:t>
      </w:r>
      <w:r>
        <w:rPr>
          <w:rFonts w:ascii="Arial" w:hAnsi="Arial"/>
          <w:sz w:val="22"/>
        </w:rPr>
        <w:t xml:space="preserve"> jogszabály elfogadásától számított </w:t>
      </w:r>
      <w:r w:rsidR="00AD3386">
        <w:rPr>
          <w:rFonts w:ascii="Arial" w:hAnsi="Arial"/>
          <w:sz w:val="22"/>
        </w:rPr>
        <w:t>18</w:t>
      </w:r>
      <w:r>
        <w:rPr>
          <w:rFonts w:ascii="Arial" w:hAnsi="Arial"/>
          <w:sz w:val="22"/>
        </w:rPr>
        <w:t xml:space="preserve"> hónapon belül – a műanyag </w:t>
      </w:r>
      <w:proofErr w:type="spellStart"/>
      <w:r>
        <w:rPr>
          <w:rFonts w:ascii="Arial" w:hAnsi="Arial"/>
          <w:sz w:val="22"/>
        </w:rPr>
        <w:t>hordtasakok</w:t>
      </w:r>
      <w:proofErr w:type="spellEnd"/>
      <w:r>
        <w:rPr>
          <w:rFonts w:ascii="Arial" w:hAnsi="Arial"/>
          <w:sz w:val="22"/>
        </w:rPr>
        <w:t xml:space="preserve"> komposztálhatóként való elismerésére szolgáló címkék, illetve jelölések előírásainak Európa-szerte történő meghatározás</w:t>
      </w:r>
      <w:r w:rsidR="00AD3386">
        <w:rPr>
          <w:rFonts w:ascii="Arial" w:hAnsi="Arial"/>
          <w:sz w:val="22"/>
        </w:rPr>
        <w:t>a céljából</w:t>
      </w:r>
      <w:r>
        <w:rPr>
          <w:rFonts w:ascii="Arial" w:hAnsi="Arial"/>
          <w:sz w:val="22"/>
        </w:rPr>
        <w:t xml:space="preserve"> – az állami területen forgalomba hozott műanyag </w:t>
      </w:r>
      <w:proofErr w:type="spellStart"/>
      <w:r>
        <w:rPr>
          <w:rFonts w:ascii="Arial" w:hAnsi="Arial"/>
          <w:sz w:val="22"/>
        </w:rPr>
        <w:t>hordtasakokat</w:t>
      </w:r>
      <w:proofErr w:type="spellEnd"/>
      <w:r>
        <w:rPr>
          <w:rFonts w:ascii="Arial" w:hAnsi="Arial"/>
          <w:sz w:val="22"/>
        </w:rPr>
        <w:t xml:space="preserve"> a jóváhagyásra kerülő közösségi jogszabály szerinti jelöléssel kell ellátni. </w:t>
      </w:r>
    </w:p>
    <w:p w:rsidR="00097EA7" w:rsidRPr="00E6754E" w:rsidRDefault="00097EA7" w:rsidP="00097EA7">
      <w:pPr>
        <w:ind w:left="851" w:right="339" w:firstLine="708"/>
        <w:jc w:val="both"/>
        <w:rPr>
          <w:rFonts w:ascii="Arial" w:hAnsi="Arial" w:cs="Arial"/>
          <w:sz w:val="22"/>
          <w:szCs w:val="22"/>
        </w:rPr>
      </w:pPr>
    </w:p>
    <w:p w:rsidR="00097EA7" w:rsidRPr="00E6754E" w:rsidRDefault="00097EA7" w:rsidP="00097EA7">
      <w:pPr>
        <w:ind w:left="708" w:right="339" w:firstLine="852"/>
        <w:jc w:val="both"/>
        <w:rPr>
          <w:rFonts w:ascii="Arial" w:hAnsi="Arial" w:cs="Arial"/>
          <w:sz w:val="22"/>
          <w:szCs w:val="22"/>
        </w:rPr>
      </w:pPr>
      <w:r>
        <w:rPr>
          <w:rFonts w:ascii="Arial" w:hAnsi="Arial"/>
          <w:sz w:val="22"/>
        </w:rPr>
        <w:t>.</w:t>
      </w:r>
    </w:p>
    <w:p w:rsidR="00097EA7" w:rsidRPr="00E6754E" w:rsidRDefault="00097EA7" w:rsidP="00097EA7">
      <w:pPr>
        <w:pStyle w:val="ListParagraph"/>
        <w:ind w:left="1068" w:right="339"/>
        <w:jc w:val="both"/>
        <w:rPr>
          <w:rFonts w:ascii="Arial" w:hAnsi="Arial" w:cs="Arial"/>
          <w:sz w:val="22"/>
          <w:szCs w:val="22"/>
        </w:rPr>
      </w:pPr>
    </w:p>
    <w:p w:rsidR="00097EA7" w:rsidRPr="00E6754E" w:rsidRDefault="00097EA7" w:rsidP="00097EA7">
      <w:pPr>
        <w:ind w:left="851" w:right="339" w:firstLine="708"/>
        <w:jc w:val="both"/>
        <w:rPr>
          <w:rFonts w:ascii="Arial" w:hAnsi="Arial" w:cs="Arial"/>
          <w:sz w:val="22"/>
          <w:szCs w:val="22"/>
        </w:rPr>
      </w:pPr>
    </w:p>
    <w:p w:rsidR="00097EA7" w:rsidRPr="00B02C4E" w:rsidRDefault="00097EA7" w:rsidP="00097EA7">
      <w:pPr>
        <w:keepNext/>
        <w:keepLines/>
        <w:ind w:left="851" w:right="339"/>
        <w:jc w:val="both"/>
        <w:rPr>
          <w:rFonts w:ascii="Arial" w:hAnsi="Arial" w:cs="Arial"/>
          <w:i/>
          <w:sz w:val="22"/>
          <w:szCs w:val="22"/>
        </w:rPr>
      </w:pPr>
      <w:r>
        <w:rPr>
          <w:rFonts w:ascii="Arial" w:hAnsi="Arial"/>
          <w:sz w:val="22"/>
        </w:rPr>
        <w:t xml:space="preserve">6. cikk </w:t>
      </w:r>
      <w:r>
        <w:rPr>
          <w:rFonts w:ascii="Arial" w:hAnsi="Arial"/>
          <w:i/>
          <w:sz w:val="22"/>
        </w:rPr>
        <w:t>Szemléletformáló és tájékoztató kampányok.</w:t>
      </w:r>
    </w:p>
    <w:p w:rsidR="00097EA7" w:rsidRPr="00E6754E" w:rsidRDefault="00097EA7" w:rsidP="00097EA7">
      <w:pPr>
        <w:keepNext/>
        <w:keepLines/>
        <w:ind w:left="851" w:right="339"/>
        <w:jc w:val="both"/>
        <w:rPr>
          <w:rFonts w:ascii="Arial" w:hAnsi="Arial" w:cs="Arial"/>
          <w:sz w:val="22"/>
          <w:szCs w:val="22"/>
        </w:rPr>
      </w:pPr>
    </w:p>
    <w:p w:rsidR="00097EA7" w:rsidRPr="00E6754E" w:rsidRDefault="00097EA7" w:rsidP="00097EA7">
      <w:pPr>
        <w:ind w:left="851" w:right="339" w:firstLine="708"/>
        <w:jc w:val="both"/>
        <w:rPr>
          <w:rFonts w:ascii="Arial" w:hAnsi="Arial" w:cs="Arial"/>
          <w:sz w:val="22"/>
          <w:szCs w:val="22"/>
        </w:rPr>
      </w:pPr>
      <w:r>
        <w:rPr>
          <w:rFonts w:ascii="Arial" w:hAnsi="Arial"/>
          <w:sz w:val="22"/>
        </w:rPr>
        <w:t xml:space="preserve">1. </w:t>
      </w:r>
      <w:r w:rsidR="00054A7B">
        <w:rPr>
          <w:rFonts w:ascii="Arial" w:hAnsi="Arial"/>
          <w:sz w:val="22"/>
        </w:rPr>
        <w:t xml:space="preserve">A </w:t>
      </w:r>
      <w:r w:rsidR="00054A7B" w:rsidRPr="00054A7B">
        <w:rPr>
          <w:rFonts w:ascii="Arial" w:hAnsi="Arial"/>
          <w:sz w:val="22"/>
        </w:rPr>
        <w:t>Mezőgazdas</w:t>
      </w:r>
      <w:r w:rsidR="00054A7B">
        <w:rPr>
          <w:rFonts w:ascii="Arial" w:hAnsi="Arial"/>
          <w:sz w:val="22"/>
        </w:rPr>
        <w:t>ági, Halászati, Élelmezésügyi é</w:t>
      </w:r>
      <w:r w:rsidR="00054A7B" w:rsidRPr="00054A7B">
        <w:rPr>
          <w:rFonts w:ascii="Arial" w:hAnsi="Arial"/>
          <w:sz w:val="22"/>
        </w:rPr>
        <w:t xml:space="preserve">s Környezetvédelmi </w:t>
      </w:r>
      <w:bookmarkStart w:id="0" w:name="_GoBack"/>
      <w:bookmarkEnd w:id="0"/>
      <w:r w:rsidR="00054A7B" w:rsidRPr="00054A7B">
        <w:rPr>
          <w:rFonts w:ascii="Arial" w:hAnsi="Arial"/>
          <w:sz w:val="22"/>
        </w:rPr>
        <w:t>Minisztérium</w:t>
      </w:r>
      <w:r w:rsidR="00054A7B">
        <w:rPr>
          <w:rFonts w:ascii="Arial" w:hAnsi="Arial"/>
          <w:sz w:val="22"/>
        </w:rPr>
        <w:t xml:space="preserve">nak és az autonóm közösségeknek </w:t>
      </w:r>
      <w:r>
        <w:rPr>
          <w:rFonts w:ascii="Arial" w:hAnsi="Arial"/>
          <w:sz w:val="22"/>
        </w:rPr>
        <w:t xml:space="preserve">tájékoztató kampányokat kell folytatniuk a szóban forgó királyi rendeletben elfogadott intézkedésekről, továbbá szemléletformáló kampányokat kell végrehajtaniuk arról, hogy milyen kedvezőtlen következményekkel jár a környezetre nézve a műanyag </w:t>
      </w:r>
      <w:proofErr w:type="spellStart"/>
      <w:r>
        <w:rPr>
          <w:rFonts w:ascii="Arial" w:hAnsi="Arial"/>
          <w:sz w:val="22"/>
        </w:rPr>
        <w:t>hordtasakok</w:t>
      </w:r>
      <w:proofErr w:type="spellEnd"/>
      <w:r>
        <w:rPr>
          <w:rFonts w:ascii="Arial" w:hAnsi="Arial"/>
          <w:sz w:val="22"/>
        </w:rPr>
        <w:t xml:space="preserve"> valamennyi típusának túlzott felhasználása és azok lerakása, továbbá elő kell mozdítaniuk a hulladékhierarchia elvének alkalmazását.</w:t>
      </w:r>
      <w:r w:rsidR="00054A7B">
        <w:rPr>
          <w:rFonts w:ascii="Arial" w:hAnsi="Arial"/>
          <w:sz w:val="22"/>
        </w:rPr>
        <w:t xml:space="preserve"> Ezeknek a kampányoknak a keretében tájékoztatást kell nyújtani azokról a hulladékgyűjtőkről, a</w:t>
      </w:r>
      <w:r w:rsidR="00145472">
        <w:rPr>
          <w:rFonts w:ascii="Arial" w:hAnsi="Arial"/>
          <w:sz w:val="22"/>
        </w:rPr>
        <w:t>melyekbe a</w:t>
      </w:r>
      <w:r w:rsidR="00054A7B">
        <w:rPr>
          <w:rFonts w:ascii="Arial" w:hAnsi="Arial"/>
          <w:sz w:val="22"/>
        </w:rPr>
        <w:t xml:space="preserve"> komposztálható és a nem komposztá</w:t>
      </w:r>
      <w:r w:rsidR="00145472">
        <w:rPr>
          <w:rFonts w:ascii="Arial" w:hAnsi="Arial"/>
          <w:sz w:val="22"/>
        </w:rPr>
        <w:t xml:space="preserve">lható műanyag </w:t>
      </w:r>
      <w:proofErr w:type="spellStart"/>
      <w:r w:rsidR="00145472">
        <w:rPr>
          <w:rFonts w:ascii="Arial" w:hAnsi="Arial"/>
          <w:sz w:val="22"/>
        </w:rPr>
        <w:t>hordtasakokat</w:t>
      </w:r>
      <w:proofErr w:type="spellEnd"/>
      <w:r w:rsidR="00145472">
        <w:rPr>
          <w:rFonts w:ascii="Arial" w:hAnsi="Arial"/>
          <w:sz w:val="22"/>
        </w:rPr>
        <w:t xml:space="preserve"> kell bedobni a hulladékká válásukat követően</w:t>
      </w:r>
      <w:r w:rsidR="00054A7B">
        <w:rPr>
          <w:rFonts w:ascii="Arial" w:hAnsi="Arial"/>
          <w:sz w:val="22"/>
        </w:rPr>
        <w:t>.</w:t>
      </w:r>
    </w:p>
    <w:p w:rsidR="00097EA7" w:rsidRPr="00E6754E" w:rsidRDefault="00097EA7" w:rsidP="00097EA7">
      <w:pPr>
        <w:ind w:left="851" w:right="339"/>
        <w:jc w:val="both"/>
        <w:rPr>
          <w:rFonts w:ascii="Arial" w:hAnsi="Arial" w:cs="Arial"/>
          <w:sz w:val="22"/>
          <w:szCs w:val="22"/>
        </w:rPr>
      </w:pPr>
    </w:p>
    <w:p w:rsidR="00097EA7" w:rsidRPr="00E6754E" w:rsidRDefault="00097EA7" w:rsidP="00097EA7">
      <w:pPr>
        <w:ind w:left="851" w:right="339" w:firstLine="708"/>
        <w:jc w:val="both"/>
        <w:rPr>
          <w:rFonts w:ascii="Arial" w:hAnsi="Arial" w:cs="Arial"/>
          <w:sz w:val="22"/>
          <w:szCs w:val="22"/>
        </w:rPr>
      </w:pPr>
      <w:r>
        <w:rPr>
          <w:rFonts w:ascii="Arial" w:hAnsi="Arial"/>
          <w:sz w:val="22"/>
        </w:rPr>
        <w:t>Ezeket a kampányokat a szóban forgó királyi rendelet hatálybalépését követő legfeljebb egy éven belül kell végrehajtani, és annyi ideig tarthatnak, ameddig az a meghatározott célkitűzések megvalósításához szükségesnek bizonyul.</w:t>
      </w:r>
    </w:p>
    <w:p w:rsidR="00097EA7" w:rsidRPr="00E6754E" w:rsidRDefault="00097EA7" w:rsidP="00097EA7">
      <w:pPr>
        <w:ind w:left="851" w:right="339"/>
        <w:jc w:val="both"/>
        <w:rPr>
          <w:rFonts w:ascii="Arial" w:hAnsi="Arial" w:cs="Arial"/>
          <w:sz w:val="22"/>
          <w:szCs w:val="22"/>
        </w:rPr>
      </w:pPr>
    </w:p>
    <w:p w:rsidR="00097EA7" w:rsidRPr="00E6754E" w:rsidRDefault="00097EA7" w:rsidP="00097EA7">
      <w:pPr>
        <w:ind w:left="851" w:right="339" w:firstLine="708"/>
        <w:jc w:val="both"/>
        <w:rPr>
          <w:rFonts w:ascii="Arial" w:hAnsi="Arial" w:cs="Arial"/>
          <w:sz w:val="22"/>
          <w:szCs w:val="22"/>
        </w:rPr>
      </w:pPr>
      <w:r>
        <w:rPr>
          <w:rFonts w:ascii="Arial" w:hAnsi="Arial"/>
          <w:sz w:val="22"/>
        </w:rPr>
        <w:t xml:space="preserve">2. Összhangban az illetékes hatóságok kampányaival a helyi szervezetek és kereskedők is folytathatnak tájékoztató és szemléletformáló kampányokat. </w:t>
      </w:r>
    </w:p>
    <w:p w:rsidR="00097EA7" w:rsidRPr="00E6754E" w:rsidRDefault="00097EA7" w:rsidP="00097EA7">
      <w:pPr>
        <w:ind w:left="851" w:right="339" w:firstLine="708"/>
        <w:jc w:val="both"/>
        <w:rPr>
          <w:rFonts w:ascii="Arial" w:hAnsi="Arial" w:cs="Arial"/>
          <w:sz w:val="22"/>
          <w:szCs w:val="22"/>
        </w:rPr>
      </w:pPr>
    </w:p>
    <w:p w:rsidR="00097EA7" w:rsidRPr="00E6754E" w:rsidRDefault="00097EA7" w:rsidP="00097EA7">
      <w:pPr>
        <w:ind w:left="851" w:right="339" w:firstLine="708"/>
        <w:jc w:val="both"/>
        <w:rPr>
          <w:rFonts w:ascii="Arial" w:hAnsi="Arial" w:cs="Arial"/>
          <w:sz w:val="22"/>
          <w:szCs w:val="22"/>
        </w:rPr>
      </w:pPr>
      <w:r>
        <w:rPr>
          <w:rFonts w:ascii="Arial" w:hAnsi="Arial"/>
          <w:sz w:val="22"/>
        </w:rPr>
        <w:t>3. Az illetékes hatóságok által folytatott kampányokat a kiterjesztett kollektív felelősségi rendszerek finanszírozhatják az autonóm közösségek – vagy adott esetben helyi szervezetek – és e rendszerek között létrejött finanszírozási megállapodások keretében.</w:t>
      </w:r>
    </w:p>
    <w:p w:rsidR="00097EA7" w:rsidRPr="00E6754E" w:rsidRDefault="00097EA7" w:rsidP="00097EA7">
      <w:pPr>
        <w:ind w:left="851" w:right="339"/>
        <w:jc w:val="both"/>
        <w:rPr>
          <w:rFonts w:ascii="Arial" w:hAnsi="Arial" w:cs="Arial"/>
          <w:sz w:val="22"/>
          <w:szCs w:val="22"/>
        </w:rPr>
      </w:pPr>
    </w:p>
    <w:p w:rsidR="00097EA7" w:rsidRPr="00E6754E" w:rsidRDefault="00097EA7" w:rsidP="00097EA7">
      <w:pPr>
        <w:ind w:left="851" w:right="339"/>
        <w:jc w:val="center"/>
        <w:rPr>
          <w:rFonts w:ascii="Arial" w:hAnsi="Arial" w:cs="Arial"/>
          <w:sz w:val="22"/>
          <w:szCs w:val="22"/>
        </w:rPr>
      </w:pPr>
    </w:p>
    <w:p w:rsidR="00097EA7" w:rsidRPr="00E6754E" w:rsidRDefault="00097EA7" w:rsidP="00097EA7">
      <w:pPr>
        <w:keepNext/>
        <w:keepLines/>
        <w:ind w:left="851" w:right="339"/>
        <w:jc w:val="center"/>
        <w:rPr>
          <w:rFonts w:ascii="Arial" w:hAnsi="Arial" w:cs="Arial"/>
          <w:sz w:val="22"/>
          <w:szCs w:val="22"/>
        </w:rPr>
      </w:pPr>
      <w:r>
        <w:rPr>
          <w:rFonts w:ascii="Arial" w:hAnsi="Arial"/>
          <w:sz w:val="22"/>
        </w:rPr>
        <w:t xml:space="preserve">III. </w:t>
      </w:r>
      <w:r w:rsidR="00D60FA2">
        <w:rPr>
          <w:rFonts w:ascii="Arial" w:hAnsi="Arial"/>
          <w:sz w:val="22"/>
        </w:rPr>
        <w:t>FEJEZET</w:t>
      </w:r>
    </w:p>
    <w:p w:rsidR="00097EA7" w:rsidRPr="00E6754E" w:rsidRDefault="00D60FA2" w:rsidP="00097EA7">
      <w:pPr>
        <w:keepNext/>
        <w:keepLines/>
        <w:ind w:left="851" w:right="339"/>
        <w:jc w:val="center"/>
        <w:rPr>
          <w:rFonts w:ascii="Arial" w:hAnsi="Arial" w:cs="Arial"/>
          <w:b/>
          <w:sz w:val="22"/>
          <w:szCs w:val="22"/>
        </w:rPr>
      </w:pPr>
      <w:r>
        <w:rPr>
          <w:rFonts w:ascii="Arial" w:hAnsi="Arial"/>
          <w:b/>
          <w:sz w:val="22"/>
        </w:rPr>
        <w:t>Termékg</w:t>
      </w:r>
      <w:r w:rsidR="00097EA7">
        <w:rPr>
          <w:rFonts w:ascii="Arial" w:hAnsi="Arial"/>
          <w:b/>
          <w:sz w:val="22"/>
        </w:rPr>
        <w:t>yártó</w:t>
      </w:r>
      <w:r>
        <w:rPr>
          <w:rFonts w:ascii="Arial" w:hAnsi="Arial"/>
          <w:b/>
          <w:sz w:val="22"/>
        </w:rPr>
        <w:t>k</w:t>
      </w:r>
      <w:r w:rsidR="00097EA7">
        <w:rPr>
          <w:rFonts w:ascii="Arial" w:hAnsi="Arial"/>
          <w:b/>
          <w:sz w:val="22"/>
        </w:rPr>
        <w:t xml:space="preserve"> </w:t>
      </w:r>
      <w:r>
        <w:rPr>
          <w:rFonts w:ascii="Arial" w:hAnsi="Arial"/>
          <w:b/>
          <w:sz w:val="22"/>
        </w:rPr>
        <w:t>N</w:t>
      </w:r>
      <w:r w:rsidR="00097EA7">
        <w:rPr>
          <w:rFonts w:ascii="Arial" w:hAnsi="Arial"/>
          <w:b/>
          <w:sz w:val="22"/>
        </w:rPr>
        <w:t>yilvántartás</w:t>
      </w:r>
      <w:r>
        <w:rPr>
          <w:rFonts w:ascii="Arial" w:hAnsi="Arial"/>
          <w:b/>
          <w:sz w:val="22"/>
        </w:rPr>
        <w:t>a</w:t>
      </w:r>
    </w:p>
    <w:p w:rsidR="00097EA7" w:rsidRPr="00E6754E" w:rsidRDefault="00097EA7" w:rsidP="00097EA7">
      <w:pPr>
        <w:keepNext/>
        <w:keepLines/>
        <w:ind w:left="851" w:right="339"/>
        <w:jc w:val="both"/>
        <w:rPr>
          <w:rFonts w:ascii="Arial" w:hAnsi="Arial" w:cs="Arial"/>
          <w:sz w:val="22"/>
          <w:szCs w:val="22"/>
          <w:highlight w:val="yellow"/>
        </w:rPr>
      </w:pPr>
    </w:p>
    <w:p w:rsidR="00097EA7" w:rsidRPr="00E6754E" w:rsidRDefault="00097EA7" w:rsidP="00097EA7">
      <w:pPr>
        <w:keepNext/>
        <w:keepLines/>
        <w:ind w:left="851" w:right="339"/>
        <w:jc w:val="both"/>
        <w:rPr>
          <w:rFonts w:ascii="Arial" w:hAnsi="Arial" w:cs="Arial"/>
          <w:i/>
          <w:sz w:val="22"/>
          <w:szCs w:val="22"/>
        </w:rPr>
      </w:pPr>
      <w:r>
        <w:rPr>
          <w:rFonts w:ascii="Arial" w:hAnsi="Arial"/>
          <w:sz w:val="22"/>
        </w:rPr>
        <w:t xml:space="preserve">7. cikk A </w:t>
      </w:r>
      <w:r w:rsidR="00D60FA2">
        <w:rPr>
          <w:rFonts w:ascii="Arial" w:hAnsi="Arial"/>
          <w:sz w:val="22"/>
        </w:rPr>
        <w:t>Termékgyártók Nyilvántartásának</w:t>
      </w:r>
      <w:r>
        <w:rPr>
          <w:rFonts w:ascii="Arial" w:hAnsi="Arial"/>
          <w:sz w:val="22"/>
        </w:rPr>
        <w:t xml:space="preserve"> létrehozása</w:t>
      </w:r>
    </w:p>
    <w:p w:rsidR="00097EA7" w:rsidRPr="00E6754E" w:rsidRDefault="00097EA7" w:rsidP="00097EA7">
      <w:pPr>
        <w:keepNext/>
        <w:keepLines/>
        <w:ind w:left="851" w:right="339"/>
        <w:jc w:val="both"/>
        <w:rPr>
          <w:rFonts w:ascii="Arial" w:hAnsi="Arial" w:cs="Arial"/>
          <w:sz w:val="22"/>
          <w:szCs w:val="22"/>
        </w:rPr>
      </w:pPr>
    </w:p>
    <w:p w:rsidR="00097EA7" w:rsidRPr="00E6754E" w:rsidRDefault="00097EA7" w:rsidP="00097EA7">
      <w:pPr>
        <w:ind w:left="851" w:right="339" w:firstLine="708"/>
        <w:jc w:val="both"/>
        <w:rPr>
          <w:rFonts w:ascii="Arial" w:hAnsi="Arial" w:cs="Arial"/>
          <w:sz w:val="22"/>
          <w:szCs w:val="22"/>
        </w:rPr>
      </w:pPr>
      <w:r>
        <w:rPr>
          <w:rFonts w:ascii="Arial" w:hAnsi="Arial"/>
          <w:sz w:val="22"/>
        </w:rPr>
        <w:t xml:space="preserve">1. Létrejön a közigazgatási </w:t>
      </w:r>
      <w:r w:rsidR="00D60FA2">
        <w:rPr>
          <w:rFonts w:ascii="Arial" w:hAnsi="Arial"/>
          <w:sz w:val="22"/>
        </w:rPr>
        <w:t xml:space="preserve">és nyilatkozattételi </w:t>
      </w:r>
      <w:r>
        <w:rPr>
          <w:rFonts w:ascii="Arial" w:hAnsi="Arial"/>
          <w:sz w:val="22"/>
        </w:rPr>
        <w:t xml:space="preserve">jellegű </w:t>
      </w:r>
      <w:r w:rsidR="00D60FA2">
        <w:rPr>
          <w:rFonts w:ascii="Arial" w:hAnsi="Arial"/>
          <w:sz w:val="22"/>
        </w:rPr>
        <w:t>Termék</w:t>
      </w:r>
      <w:r>
        <w:rPr>
          <w:rFonts w:ascii="Arial" w:hAnsi="Arial"/>
          <w:sz w:val="22"/>
        </w:rPr>
        <w:t xml:space="preserve">gyártói </w:t>
      </w:r>
      <w:r w:rsidR="00D60FA2">
        <w:rPr>
          <w:rFonts w:ascii="Arial" w:hAnsi="Arial"/>
          <w:sz w:val="22"/>
        </w:rPr>
        <w:t>N</w:t>
      </w:r>
      <w:r>
        <w:rPr>
          <w:rFonts w:ascii="Arial" w:hAnsi="Arial"/>
          <w:sz w:val="22"/>
        </w:rPr>
        <w:t>yilvántartás, amely</w:t>
      </w:r>
      <w:r w:rsidR="006E3791">
        <w:rPr>
          <w:rFonts w:ascii="Arial" w:hAnsi="Arial"/>
          <w:sz w:val="22"/>
        </w:rPr>
        <w:t xml:space="preserve"> </w:t>
      </w:r>
      <w:r>
        <w:rPr>
          <w:rFonts w:ascii="Arial" w:hAnsi="Arial"/>
          <w:sz w:val="22"/>
        </w:rPr>
        <w:t>a Mezőgazdasági, Halászati, Élelmezésügyi és Környezetvédelmi Minisztérium Minőségügyi és Környezetvédelmi Értékelésért és Természetes Környezetért Felelős Főigazgatóság</w:t>
      </w:r>
      <w:r w:rsidR="00D60FA2">
        <w:rPr>
          <w:rFonts w:ascii="Arial" w:hAnsi="Arial"/>
          <w:sz w:val="22"/>
        </w:rPr>
        <w:t>ának felelősségi körébe tartozik</w:t>
      </w:r>
      <w:r>
        <w:rPr>
          <w:rFonts w:ascii="Arial" w:hAnsi="Arial"/>
          <w:sz w:val="22"/>
        </w:rPr>
        <w:t xml:space="preserve">. </w:t>
      </w:r>
    </w:p>
    <w:p w:rsidR="00097EA7" w:rsidRPr="00E6754E" w:rsidRDefault="00097EA7" w:rsidP="00097EA7">
      <w:pPr>
        <w:ind w:left="851" w:right="339" w:firstLine="708"/>
        <w:jc w:val="both"/>
        <w:rPr>
          <w:rFonts w:ascii="Arial" w:hAnsi="Arial" w:cs="Arial"/>
          <w:sz w:val="22"/>
          <w:szCs w:val="22"/>
        </w:rPr>
      </w:pPr>
    </w:p>
    <w:p w:rsidR="00097EA7" w:rsidRPr="00E6754E" w:rsidRDefault="00097EA7" w:rsidP="00097EA7">
      <w:pPr>
        <w:ind w:left="851" w:right="339" w:firstLine="708"/>
        <w:jc w:val="both"/>
        <w:rPr>
          <w:rFonts w:ascii="Arial" w:hAnsi="Arial" w:cs="Arial"/>
          <w:sz w:val="22"/>
          <w:szCs w:val="22"/>
        </w:rPr>
      </w:pPr>
      <w:r>
        <w:rPr>
          <w:rFonts w:ascii="Arial" w:hAnsi="Arial"/>
          <w:sz w:val="22"/>
        </w:rPr>
        <w:t xml:space="preserve">2. A </w:t>
      </w:r>
      <w:r w:rsidR="00A21C7C">
        <w:rPr>
          <w:rFonts w:ascii="Arial" w:hAnsi="Arial"/>
          <w:sz w:val="22"/>
        </w:rPr>
        <w:t>Termék</w:t>
      </w:r>
      <w:r>
        <w:rPr>
          <w:rFonts w:ascii="Arial" w:hAnsi="Arial"/>
          <w:sz w:val="22"/>
        </w:rPr>
        <w:t>gyártó</w:t>
      </w:r>
      <w:r w:rsidR="00A21C7C">
        <w:rPr>
          <w:rFonts w:ascii="Arial" w:hAnsi="Arial"/>
          <w:sz w:val="22"/>
        </w:rPr>
        <w:t>k</w:t>
      </w:r>
      <w:r>
        <w:rPr>
          <w:rFonts w:ascii="Arial" w:hAnsi="Arial"/>
          <w:sz w:val="22"/>
        </w:rPr>
        <w:t xml:space="preserve"> </w:t>
      </w:r>
      <w:r w:rsidR="00A21C7C">
        <w:rPr>
          <w:rFonts w:ascii="Arial" w:hAnsi="Arial"/>
          <w:sz w:val="22"/>
        </w:rPr>
        <w:t>N</w:t>
      </w:r>
      <w:r>
        <w:rPr>
          <w:rFonts w:ascii="Arial" w:hAnsi="Arial"/>
          <w:sz w:val="22"/>
        </w:rPr>
        <w:t>yilvántartás</w:t>
      </w:r>
      <w:r w:rsidR="00A21C7C">
        <w:rPr>
          <w:rFonts w:ascii="Arial" w:hAnsi="Arial"/>
          <w:sz w:val="22"/>
        </w:rPr>
        <w:t>a</w:t>
      </w:r>
      <w:r>
        <w:rPr>
          <w:rFonts w:ascii="Arial" w:hAnsi="Arial"/>
          <w:sz w:val="22"/>
        </w:rPr>
        <w:t xml:space="preserve"> gyártói szakaszokból tevődik össze, és a termékek forgalomba hozataláról tartalmaz információkat a hulladékkezeléssel kapcsolatos információszolgáltatási kötelezettségnek való megfelelés érdekében. A </w:t>
      </w:r>
      <w:r w:rsidR="00A21C7C">
        <w:rPr>
          <w:rFonts w:ascii="Arial" w:hAnsi="Arial"/>
          <w:sz w:val="22"/>
        </w:rPr>
        <w:t>Termék</w:t>
      </w:r>
      <w:r>
        <w:rPr>
          <w:rFonts w:ascii="Arial" w:hAnsi="Arial"/>
          <w:sz w:val="22"/>
        </w:rPr>
        <w:t>gyártó</w:t>
      </w:r>
      <w:r w:rsidR="00A21C7C">
        <w:rPr>
          <w:rFonts w:ascii="Arial" w:hAnsi="Arial"/>
          <w:sz w:val="22"/>
        </w:rPr>
        <w:t>k</w:t>
      </w:r>
      <w:r>
        <w:rPr>
          <w:rFonts w:ascii="Arial" w:hAnsi="Arial"/>
          <w:sz w:val="22"/>
        </w:rPr>
        <w:t xml:space="preserve"> </w:t>
      </w:r>
      <w:r w:rsidR="00A21C7C">
        <w:rPr>
          <w:rFonts w:ascii="Arial" w:hAnsi="Arial"/>
          <w:sz w:val="22"/>
        </w:rPr>
        <w:t>N</w:t>
      </w:r>
      <w:r>
        <w:rPr>
          <w:rFonts w:ascii="Arial" w:hAnsi="Arial"/>
          <w:sz w:val="22"/>
        </w:rPr>
        <w:t>yilvántartás</w:t>
      </w:r>
      <w:r w:rsidR="00A21C7C">
        <w:rPr>
          <w:rFonts w:ascii="Arial" w:hAnsi="Arial"/>
          <w:sz w:val="22"/>
        </w:rPr>
        <w:t>a</w:t>
      </w:r>
      <w:r>
        <w:rPr>
          <w:rFonts w:ascii="Arial" w:hAnsi="Arial"/>
          <w:sz w:val="22"/>
        </w:rPr>
        <w:t xml:space="preserve"> tartalmazni fogja legalább a műanyag </w:t>
      </w:r>
      <w:proofErr w:type="spellStart"/>
      <w:r>
        <w:rPr>
          <w:rFonts w:ascii="Arial" w:hAnsi="Arial"/>
          <w:sz w:val="22"/>
        </w:rPr>
        <w:t>hordtasakok</w:t>
      </w:r>
      <w:proofErr w:type="spellEnd"/>
      <w:r>
        <w:rPr>
          <w:rFonts w:ascii="Arial" w:hAnsi="Arial"/>
          <w:sz w:val="22"/>
        </w:rPr>
        <w:t xml:space="preserve"> gyártóira vonatkozó szakaszt.</w:t>
      </w:r>
    </w:p>
    <w:p w:rsidR="00097EA7" w:rsidRPr="00E6754E" w:rsidRDefault="00097EA7" w:rsidP="00097EA7">
      <w:pPr>
        <w:ind w:left="851" w:right="339"/>
        <w:jc w:val="both"/>
        <w:rPr>
          <w:rFonts w:ascii="Arial" w:hAnsi="Arial" w:cs="Arial"/>
          <w:sz w:val="22"/>
          <w:szCs w:val="22"/>
        </w:rPr>
      </w:pPr>
    </w:p>
    <w:p w:rsidR="00097EA7" w:rsidRPr="00E6754E" w:rsidRDefault="00097EA7" w:rsidP="00097EA7">
      <w:pPr>
        <w:ind w:left="851" w:right="339" w:firstLine="708"/>
        <w:jc w:val="both"/>
        <w:rPr>
          <w:rFonts w:ascii="Arial" w:hAnsi="Arial" w:cs="Arial"/>
          <w:sz w:val="22"/>
          <w:szCs w:val="22"/>
        </w:rPr>
      </w:pPr>
      <w:r>
        <w:rPr>
          <w:rFonts w:ascii="Arial" w:hAnsi="Arial"/>
          <w:sz w:val="22"/>
        </w:rPr>
        <w:t xml:space="preserve">A hulladékokra vonatkozó megfelelő szabályozások révén – az azok által meghatározott tartalommal – </w:t>
      </w:r>
      <w:r w:rsidR="00A21C7C">
        <w:rPr>
          <w:rFonts w:ascii="Arial" w:hAnsi="Arial"/>
          <w:sz w:val="22"/>
        </w:rPr>
        <w:t xml:space="preserve">a Termékgyártók Nyilvántartásában </w:t>
      </w:r>
      <w:r>
        <w:rPr>
          <w:rFonts w:ascii="Arial" w:hAnsi="Arial"/>
          <w:sz w:val="22"/>
        </w:rPr>
        <w:t>új i szakaszok kerülhetnek kialakításra.</w:t>
      </w:r>
    </w:p>
    <w:p w:rsidR="00097EA7" w:rsidRPr="00E6754E" w:rsidRDefault="00097EA7" w:rsidP="00097EA7">
      <w:pPr>
        <w:ind w:left="851" w:right="339"/>
        <w:jc w:val="both"/>
        <w:rPr>
          <w:rFonts w:ascii="Arial" w:hAnsi="Arial" w:cs="Arial"/>
          <w:sz w:val="22"/>
          <w:szCs w:val="22"/>
        </w:rPr>
      </w:pPr>
    </w:p>
    <w:p w:rsidR="00097EA7" w:rsidRPr="00E6754E" w:rsidRDefault="00097EA7" w:rsidP="00097EA7">
      <w:pPr>
        <w:ind w:left="851" w:right="339"/>
        <w:jc w:val="both"/>
        <w:rPr>
          <w:rFonts w:ascii="Arial" w:hAnsi="Arial" w:cs="Arial"/>
          <w:sz w:val="22"/>
          <w:szCs w:val="22"/>
        </w:rPr>
      </w:pPr>
    </w:p>
    <w:p w:rsidR="00097EA7" w:rsidRPr="00E6754E" w:rsidRDefault="00097EA7" w:rsidP="00097EA7">
      <w:pPr>
        <w:keepNext/>
        <w:keepLines/>
        <w:ind w:left="851" w:right="339"/>
        <w:jc w:val="both"/>
        <w:rPr>
          <w:rFonts w:ascii="Arial" w:hAnsi="Arial" w:cs="Arial"/>
          <w:i/>
          <w:sz w:val="22"/>
          <w:szCs w:val="22"/>
        </w:rPr>
      </w:pPr>
      <w:r>
        <w:rPr>
          <w:rFonts w:ascii="Arial" w:hAnsi="Arial"/>
          <w:sz w:val="22"/>
        </w:rPr>
        <w:t xml:space="preserve">8. cikk </w:t>
      </w:r>
      <w:r>
        <w:rPr>
          <w:rFonts w:ascii="Arial" w:hAnsi="Arial"/>
          <w:i/>
          <w:sz w:val="22"/>
        </w:rPr>
        <w:t xml:space="preserve">A műanyag </w:t>
      </w:r>
      <w:proofErr w:type="spellStart"/>
      <w:r>
        <w:rPr>
          <w:rFonts w:ascii="Arial" w:hAnsi="Arial"/>
          <w:i/>
          <w:sz w:val="22"/>
        </w:rPr>
        <w:t>hordtasakok</w:t>
      </w:r>
      <w:proofErr w:type="spellEnd"/>
      <w:r>
        <w:rPr>
          <w:rFonts w:ascii="Arial" w:hAnsi="Arial"/>
          <w:i/>
          <w:sz w:val="22"/>
        </w:rPr>
        <w:t xml:space="preserve"> gyártóinak bejegyzése a </w:t>
      </w:r>
      <w:r w:rsidR="00266892">
        <w:rPr>
          <w:rFonts w:ascii="Arial" w:hAnsi="Arial"/>
          <w:i/>
          <w:sz w:val="22"/>
        </w:rPr>
        <w:t>Termékgyártók N</w:t>
      </w:r>
      <w:r>
        <w:rPr>
          <w:rFonts w:ascii="Arial" w:hAnsi="Arial"/>
          <w:i/>
          <w:sz w:val="22"/>
        </w:rPr>
        <w:t>yilvántartás</w:t>
      </w:r>
      <w:r w:rsidR="00266892">
        <w:rPr>
          <w:rFonts w:ascii="Arial" w:hAnsi="Arial"/>
          <w:i/>
          <w:sz w:val="22"/>
        </w:rPr>
        <w:t>á</w:t>
      </w:r>
      <w:r>
        <w:rPr>
          <w:rFonts w:ascii="Arial" w:hAnsi="Arial"/>
          <w:i/>
          <w:sz w:val="22"/>
        </w:rPr>
        <w:t>ba.</w:t>
      </w:r>
    </w:p>
    <w:p w:rsidR="00097EA7" w:rsidRPr="00E6754E" w:rsidRDefault="00097EA7" w:rsidP="00097EA7">
      <w:pPr>
        <w:keepNext/>
        <w:keepLines/>
        <w:ind w:left="851" w:right="339"/>
        <w:jc w:val="both"/>
        <w:rPr>
          <w:rFonts w:ascii="Arial" w:hAnsi="Arial" w:cs="Arial"/>
          <w:i/>
          <w:sz w:val="22"/>
          <w:szCs w:val="22"/>
        </w:rPr>
      </w:pPr>
    </w:p>
    <w:p w:rsidR="00097EA7" w:rsidRPr="00E6754E" w:rsidRDefault="00097EA7" w:rsidP="00097EA7">
      <w:pPr>
        <w:ind w:left="851" w:right="339" w:firstLine="708"/>
        <w:jc w:val="both"/>
        <w:rPr>
          <w:rFonts w:ascii="Arial" w:hAnsi="Arial" w:cs="Arial"/>
          <w:sz w:val="22"/>
          <w:szCs w:val="22"/>
        </w:rPr>
      </w:pPr>
      <w:r>
        <w:rPr>
          <w:rFonts w:ascii="Arial" w:hAnsi="Arial"/>
          <w:sz w:val="22"/>
        </w:rPr>
        <w:t xml:space="preserve">A műanyag </w:t>
      </w:r>
      <w:proofErr w:type="spellStart"/>
      <w:r>
        <w:rPr>
          <w:rFonts w:ascii="Arial" w:hAnsi="Arial"/>
          <w:sz w:val="22"/>
        </w:rPr>
        <w:t>hordtasakok</w:t>
      </w:r>
      <w:proofErr w:type="spellEnd"/>
      <w:r>
        <w:rPr>
          <w:rFonts w:ascii="Arial" w:hAnsi="Arial"/>
          <w:sz w:val="22"/>
        </w:rPr>
        <w:t xml:space="preserve"> gyártói a Mezőgazdasági, Halászati, Élelmezésügyi és Környezetvédelmi Minisztérium </w:t>
      </w:r>
      <w:r w:rsidR="0070566F">
        <w:rPr>
          <w:rFonts w:ascii="Arial" w:hAnsi="Arial"/>
          <w:sz w:val="22"/>
        </w:rPr>
        <w:t xml:space="preserve">által kezelt Termékgyártói Nyilvántartás </w:t>
      </w:r>
      <w:r>
        <w:rPr>
          <w:rFonts w:ascii="Arial" w:hAnsi="Arial"/>
          <w:sz w:val="22"/>
        </w:rPr>
        <w:t xml:space="preserve">műanyag </w:t>
      </w:r>
      <w:proofErr w:type="spellStart"/>
      <w:r>
        <w:rPr>
          <w:rFonts w:ascii="Arial" w:hAnsi="Arial"/>
          <w:sz w:val="22"/>
        </w:rPr>
        <w:t>hordtasakok</w:t>
      </w:r>
      <w:proofErr w:type="spellEnd"/>
      <w:r>
        <w:rPr>
          <w:rFonts w:ascii="Arial" w:hAnsi="Arial"/>
          <w:sz w:val="22"/>
        </w:rPr>
        <w:t xml:space="preserve"> gyártóira vonatkozó szakaszába a szóban forgó királyi rendelet hatálybalépését követő három hónapon belül kerülnek bejegyzésre. A bejegyzés során a II.</w:t>
      </w:r>
      <w:r w:rsidR="006E3791">
        <w:rPr>
          <w:rFonts w:ascii="Arial" w:hAnsi="Arial"/>
          <w:sz w:val="22"/>
        </w:rPr>
        <w:t xml:space="preserve"> </w:t>
      </w:r>
      <w:r>
        <w:rPr>
          <w:rFonts w:ascii="Arial" w:hAnsi="Arial"/>
          <w:sz w:val="22"/>
        </w:rPr>
        <w:t xml:space="preserve">melléklet </w:t>
      </w:r>
      <w:r w:rsidR="0070566F">
        <w:rPr>
          <w:rFonts w:ascii="Arial" w:hAnsi="Arial"/>
          <w:sz w:val="22"/>
        </w:rPr>
        <w:t>(1)</w:t>
      </w:r>
      <w:r>
        <w:rPr>
          <w:rFonts w:ascii="Arial" w:hAnsi="Arial"/>
          <w:sz w:val="22"/>
        </w:rPr>
        <w:t xml:space="preserve"> bekezdésében meghatározott adatokat kell megadni, és azok nyilvánosan hozzáférhetők lesznek. A személyes adatoknak a személyes adatok védelméről szóló, érvényben lévő állami szabályozás biztosít védelmet. </w:t>
      </w:r>
    </w:p>
    <w:p w:rsidR="00097EA7" w:rsidRPr="00E6754E" w:rsidRDefault="00097EA7" w:rsidP="00097EA7">
      <w:pPr>
        <w:ind w:left="851" w:right="339"/>
        <w:jc w:val="center"/>
        <w:rPr>
          <w:rFonts w:ascii="Arial" w:hAnsi="Arial" w:cs="Arial"/>
          <w:sz w:val="22"/>
          <w:szCs w:val="22"/>
        </w:rPr>
      </w:pPr>
    </w:p>
    <w:p w:rsidR="00097EA7" w:rsidRPr="00E6754E" w:rsidRDefault="00097EA7" w:rsidP="00097EA7">
      <w:pPr>
        <w:ind w:left="851" w:right="339"/>
        <w:jc w:val="center"/>
        <w:rPr>
          <w:rFonts w:ascii="Arial" w:hAnsi="Arial" w:cs="Arial"/>
          <w:sz w:val="22"/>
          <w:szCs w:val="22"/>
        </w:rPr>
      </w:pPr>
    </w:p>
    <w:p w:rsidR="00097EA7" w:rsidRPr="00E6754E" w:rsidRDefault="00097EA7" w:rsidP="00097EA7">
      <w:pPr>
        <w:keepNext/>
        <w:keepLines/>
        <w:ind w:left="851" w:right="339"/>
        <w:jc w:val="both"/>
        <w:rPr>
          <w:rFonts w:ascii="Arial" w:hAnsi="Arial" w:cs="Arial"/>
          <w:sz w:val="22"/>
          <w:szCs w:val="22"/>
        </w:rPr>
      </w:pPr>
      <w:r>
        <w:rPr>
          <w:rFonts w:ascii="Arial" w:hAnsi="Arial"/>
          <w:sz w:val="22"/>
        </w:rPr>
        <w:t xml:space="preserve">9. cikk </w:t>
      </w:r>
      <w:r>
        <w:rPr>
          <w:rFonts w:ascii="Arial" w:hAnsi="Arial"/>
          <w:i/>
          <w:sz w:val="22"/>
        </w:rPr>
        <w:t xml:space="preserve">A műanyag </w:t>
      </w:r>
      <w:proofErr w:type="spellStart"/>
      <w:r>
        <w:rPr>
          <w:rFonts w:ascii="Arial" w:hAnsi="Arial"/>
          <w:i/>
          <w:sz w:val="22"/>
        </w:rPr>
        <w:t>hordtasakokkal</w:t>
      </w:r>
      <w:proofErr w:type="spellEnd"/>
      <w:r>
        <w:rPr>
          <w:rFonts w:ascii="Arial" w:hAnsi="Arial"/>
          <w:i/>
          <w:sz w:val="22"/>
        </w:rPr>
        <w:t xml:space="preserve"> kapcsolatos tájékoztatási kötelezettség</w:t>
      </w:r>
    </w:p>
    <w:p w:rsidR="00097EA7" w:rsidRPr="00E6754E" w:rsidRDefault="00097EA7" w:rsidP="00097EA7">
      <w:pPr>
        <w:keepNext/>
        <w:keepLines/>
        <w:ind w:left="851" w:right="339"/>
        <w:jc w:val="both"/>
        <w:rPr>
          <w:rFonts w:ascii="Arial" w:hAnsi="Arial" w:cs="Arial"/>
          <w:sz w:val="22"/>
          <w:szCs w:val="22"/>
        </w:rPr>
      </w:pPr>
    </w:p>
    <w:p w:rsidR="00097EA7" w:rsidRPr="00E6754E" w:rsidRDefault="00097EA7" w:rsidP="00097EA7">
      <w:pPr>
        <w:ind w:left="851" w:right="339" w:firstLine="708"/>
        <w:jc w:val="both"/>
        <w:rPr>
          <w:rFonts w:ascii="Arial" w:hAnsi="Arial" w:cs="Arial"/>
          <w:sz w:val="22"/>
          <w:szCs w:val="22"/>
        </w:rPr>
      </w:pPr>
      <w:r>
        <w:rPr>
          <w:rFonts w:ascii="Arial" w:hAnsi="Arial"/>
          <w:sz w:val="22"/>
        </w:rPr>
        <w:t xml:space="preserve">A műanyag </w:t>
      </w:r>
      <w:proofErr w:type="spellStart"/>
      <w:r>
        <w:rPr>
          <w:rFonts w:ascii="Arial" w:hAnsi="Arial"/>
          <w:sz w:val="22"/>
        </w:rPr>
        <w:t>hordtasakok</w:t>
      </w:r>
      <w:proofErr w:type="spellEnd"/>
      <w:r>
        <w:rPr>
          <w:rFonts w:ascii="Arial" w:hAnsi="Arial"/>
          <w:sz w:val="22"/>
        </w:rPr>
        <w:t xml:space="preserve"> gyártói minden naptári évben kötelesek összegyűjteni a II. melléklet második bekezdése szerinti adatokat a nemzeti forgalomba hozott </w:t>
      </w:r>
      <w:proofErr w:type="spellStart"/>
      <w:r>
        <w:rPr>
          <w:rFonts w:ascii="Arial" w:hAnsi="Arial"/>
          <w:sz w:val="22"/>
        </w:rPr>
        <w:t>hordtasakokra</w:t>
      </w:r>
      <w:proofErr w:type="spellEnd"/>
      <w:r>
        <w:rPr>
          <w:rFonts w:ascii="Arial" w:hAnsi="Arial"/>
          <w:sz w:val="22"/>
        </w:rPr>
        <w:t xml:space="preserve"> vonatkozóan. A szóban forgó adatokat az azt követő év március 31. előtt be kell nyújtani a Mezőgazdasági, Halászati, Élelmezésügyi és Környezetvédelmi Minisztériumhoz azon, műanyag </w:t>
      </w:r>
      <w:proofErr w:type="spellStart"/>
      <w:r>
        <w:rPr>
          <w:rFonts w:ascii="Arial" w:hAnsi="Arial"/>
          <w:sz w:val="22"/>
        </w:rPr>
        <w:t>hordtasakokra</w:t>
      </w:r>
      <w:proofErr w:type="spellEnd"/>
      <w:r>
        <w:rPr>
          <w:rFonts w:ascii="Arial" w:hAnsi="Arial"/>
          <w:sz w:val="22"/>
        </w:rPr>
        <w:t xml:space="preserve"> vonatkozó információk előkészítése céljából, amelyeket az érvényes jogszabályok értelmében az Európai Bizottság rendelkezésére kell bocsátani, és amelyet évente nyilvánosságra hoznak. </w:t>
      </w:r>
    </w:p>
    <w:p w:rsidR="00097EA7" w:rsidRPr="00E6754E" w:rsidRDefault="00097EA7" w:rsidP="00097EA7">
      <w:pPr>
        <w:ind w:left="851" w:right="339" w:firstLine="708"/>
        <w:jc w:val="both"/>
        <w:rPr>
          <w:rFonts w:ascii="Arial" w:hAnsi="Arial" w:cs="Arial"/>
          <w:sz w:val="22"/>
          <w:szCs w:val="22"/>
        </w:rPr>
      </w:pPr>
      <w:r>
        <w:rPr>
          <w:rFonts w:ascii="Arial" w:hAnsi="Arial"/>
          <w:sz w:val="22"/>
        </w:rPr>
        <w:t xml:space="preserve">A </w:t>
      </w:r>
      <w:proofErr w:type="spellStart"/>
      <w:r>
        <w:rPr>
          <w:rFonts w:ascii="Arial" w:hAnsi="Arial"/>
          <w:sz w:val="22"/>
        </w:rPr>
        <w:t>hordtasakok</w:t>
      </w:r>
      <w:proofErr w:type="spellEnd"/>
      <w:r>
        <w:rPr>
          <w:rFonts w:ascii="Arial" w:hAnsi="Arial"/>
          <w:sz w:val="22"/>
        </w:rPr>
        <w:t xml:space="preserve"> gyártói által szolgáltatott adatok – felügyelet és ellenőrzés céljából – az illetékes hatóságok számára elérhetők lesznek.</w:t>
      </w:r>
    </w:p>
    <w:p w:rsidR="00097EA7" w:rsidRPr="00E6754E" w:rsidRDefault="00097EA7" w:rsidP="00097EA7">
      <w:pPr>
        <w:ind w:left="851" w:right="339"/>
        <w:jc w:val="both"/>
        <w:rPr>
          <w:rFonts w:ascii="Arial" w:hAnsi="Arial" w:cs="Arial"/>
          <w:sz w:val="22"/>
          <w:szCs w:val="22"/>
        </w:rPr>
      </w:pPr>
    </w:p>
    <w:p w:rsidR="00097EA7" w:rsidRPr="00E6754E" w:rsidRDefault="00097EA7" w:rsidP="00097EA7">
      <w:pPr>
        <w:ind w:left="851" w:right="339"/>
        <w:jc w:val="both"/>
        <w:rPr>
          <w:rFonts w:ascii="Arial" w:hAnsi="Arial" w:cs="Arial"/>
          <w:sz w:val="22"/>
          <w:szCs w:val="22"/>
        </w:rPr>
      </w:pPr>
    </w:p>
    <w:p w:rsidR="00097EA7" w:rsidRPr="00E6754E" w:rsidRDefault="00097EA7" w:rsidP="00097EA7">
      <w:pPr>
        <w:keepNext/>
        <w:keepLines/>
        <w:ind w:left="851" w:right="339"/>
        <w:jc w:val="center"/>
        <w:rPr>
          <w:rFonts w:ascii="Arial" w:hAnsi="Arial" w:cs="Arial"/>
          <w:sz w:val="22"/>
          <w:szCs w:val="22"/>
        </w:rPr>
      </w:pPr>
      <w:r>
        <w:rPr>
          <w:rFonts w:ascii="Arial" w:hAnsi="Arial"/>
          <w:sz w:val="22"/>
        </w:rPr>
        <w:t xml:space="preserve">IV. </w:t>
      </w:r>
      <w:r w:rsidR="00A25579">
        <w:rPr>
          <w:rFonts w:ascii="Arial" w:hAnsi="Arial"/>
          <w:sz w:val="22"/>
        </w:rPr>
        <w:t>FEJEZET</w:t>
      </w:r>
    </w:p>
    <w:p w:rsidR="00097EA7" w:rsidRPr="00E6754E" w:rsidRDefault="00097EA7" w:rsidP="00097EA7">
      <w:pPr>
        <w:keepNext/>
        <w:keepLines/>
        <w:ind w:left="851" w:right="339"/>
        <w:jc w:val="center"/>
        <w:rPr>
          <w:rFonts w:ascii="Arial" w:hAnsi="Arial" w:cs="Arial"/>
          <w:b/>
          <w:sz w:val="22"/>
          <w:szCs w:val="22"/>
        </w:rPr>
      </w:pPr>
      <w:r>
        <w:rPr>
          <w:rFonts w:ascii="Arial" w:hAnsi="Arial"/>
          <w:b/>
          <w:sz w:val="22"/>
        </w:rPr>
        <w:t>Szankciórendszer</w:t>
      </w:r>
    </w:p>
    <w:p w:rsidR="00097EA7" w:rsidRPr="00E6754E" w:rsidRDefault="00097EA7" w:rsidP="00097EA7">
      <w:pPr>
        <w:keepNext/>
        <w:keepLines/>
        <w:ind w:left="851" w:right="339"/>
        <w:jc w:val="both"/>
        <w:rPr>
          <w:rFonts w:ascii="Arial" w:hAnsi="Arial" w:cs="Arial"/>
          <w:sz w:val="22"/>
          <w:szCs w:val="22"/>
        </w:rPr>
      </w:pPr>
    </w:p>
    <w:p w:rsidR="00097EA7" w:rsidRPr="00E6754E" w:rsidRDefault="00097EA7" w:rsidP="00097EA7">
      <w:pPr>
        <w:keepNext/>
        <w:keepLines/>
        <w:ind w:left="851" w:right="339"/>
        <w:jc w:val="both"/>
        <w:rPr>
          <w:rFonts w:ascii="Arial" w:hAnsi="Arial" w:cs="Arial"/>
          <w:sz w:val="22"/>
          <w:szCs w:val="22"/>
        </w:rPr>
      </w:pPr>
      <w:r>
        <w:rPr>
          <w:rFonts w:ascii="Arial" w:hAnsi="Arial"/>
          <w:sz w:val="22"/>
        </w:rPr>
        <w:t xml:space="preserve">10. cikk </w:t>
      </w:r>
      <w:r>
        <w:rPr>
          <w:rFonts w:ascii="Arial" w:hAnsi="Arial"/>
          <w:i/>
          <w:sz w:val="22"/>
        </w:rPr>
        <w:t>A szankciók rendje</w:t>
      </w:r>
    </w:p>
    <w:p w:rsidR="00097EA7" w:rsidRPr="00E6754E" w:rsidRDefault="00097EA7" w:rsidP="00097EA7">
      <w:pPr>
        <w:keepNext/>
        <w:keepLines/>
        <w:ind w:left="851" w:right="339"/>
        <w:jc w:val="both"/>
        <w:rPr>
          <w:rFonts w:ascii="Arial" w:hAnsi="Arial" w:cs="Arial"/>
          <w:sz w:val="22"/>
          <w:szCs w:val="22"/>
        </w:rPr>
      </w:pPr>
    </w:p>
    <w:p w:rsidR="00097EA7" w:rsidRPr="00E6754E" w:rsidRDefault="00097EA7" w:rsidP="00097EA7">
      <w:pPr>
        <w:ind w:left="851" w:right="339" w:firstLine="708"/>
        <w:jc w:val="both"/>
        <w:rPr>
          <w:rFonts w:ascii="Arial" w:hAnsi="Arial" w:cs="Arial"/>
          <w:sz w:val="22"/>
          <w:szCs w:val="22"/>
        </w:rPr>
      </w:pPr>
      <w:r>
        <w:rPr>
          <w:rFonts w:ascii="Arial" w:hAnsi="Arial"/>
          <w:sz w:val="22"/>
        </w:rPr>
        <w:t xml:space="preserve">E királyi rendeltben foglaltak megsértését a </w:t>
      </w:r>
      <w:r w:rsidR="00087E11">
        <w:rPr>
          <w:rFonts w:ascii="Arial" w:hAnsi="Arial"/>
          <w:sz w:val="22"/>
        </w:rPr>
        <w:t xml:space="preserve">szennyeződött talajokról és hulladékokról szóló, </w:t>
      </w:r>
      <w:r>
        <w:rPr>
          <w:rFonts w:ascii="Arial" w:hAnsi="Arial"/>
          <w:sz w:val="22"/>
        </w:rPr>
        <w:t>2011. július 28-i 22/2011 törvényben</w:t>
      </w:r>
      <w:r w:rsidR="00087E11">
        <w:rPr>
          <w:rFonts w:ascii="Arial" w:hAnsi="Arial"/>
          <w:sz w:val="22"/>
        </w:rPr>
        <w:t xml:space="preserve"> meghatározottak</w:t>
      </w:r>
      <w:r w:rsidR="006E3791">
        <w:rPr>
          <w:rFonts w:ascii="Arial" w:hAnsi="Arial"/>
          <w:sz w:val="22"/>
        </w:rPr>
        <w:t xml:space="preserve"> </w:t>
      </w:r>
      <w:r>
        <w:rPr>
          <w:rFonts w:ascii="Arial" w:hAnsi="Arial"/>
          <w:sz w:val="22"/>
        </w:rPr>
        <w:t>szerint kell szankcionálni.</w:t>
      </w:r>
    </w:p>
    <w:p w:rsidR="00097EA7" w:rsidRPr="00E6754E" w:rsidRDefault="00097EA7" w:rsidP="00097EA7">
      <w:pPr>
        <w:ind w:left="851" w:right="339"/>
        <w:jc w:val="both"/>
        <w:rPr>
          <w:rFonts w:ascii="Arial" w:hAnsi="Arial" w:cs="Arial"/>
          <w:sz w:val="22"/>
          <w:szCs w:val="22"/>
        </w:rPr>
      </w:pPr>
    </w:p>
    <w:p w:rsidR="00097EA7" w:rsidRPr="00E6754E" w:rsidRDefault="00097EA7" w:rsidP="00097EA7">
      <w:pPr>
        <w:ind w:left="851" w:right="339"/>
        <w:jc w:val="both"/>
        <w:rPr>
          <w:rFonts w:ascii="Arial" w:hAnsi="Arial" w:cs="Arial"/>
          <w:sz w:val="22"/>
          <w:szCs w:val="22"/>
          <w:highlight w:val="yellow"/>
        </w:rPr>
      </w:pPr>
    </w:p>
    <w:p w:rsidR="00097EA7" w:rsidRPr="00E6754E" w:rsidRDefault="00097EA7" w:rsidP="00097EA7">
      <w:pPr>
        <w:keepNext/>
        <w:keepLines/>
        <w:ind w:left="851" w:right="339"/>
        <w:jc w:val="both"/>
        <w:rPr>
          <w:rFonts w:ascii="Arial" w:hAnsi="Arial" w:cs="Arial"/>
          <w:i/>
          <w:sz w:val="22"/>
          <w:szCs w:val="22"/>
        </w:rPr>
      </w:pPr>
      <w:r>
        <w:rPr>
          <w:rFonts w:ascii="Arial" w:hAnsi="Arial"/>
          <w:sz w:val="22"/>
        </w:rPr>
        <w:t xml:space="preserve">Első kiegészítő </w:t>
      </w:r>
      <w:r w:rsidR="00017C1D">
        <w:rPr>
          <w:rFonts w:ascii="Arial" w:hAnsi="Arial"/>
          <w:sz w:val="22"/>
        </w:rPr>
        <w:t>rendelkezés </w:t>
      </w:r>
      <w:r>
        <w:rPr>
          <w:rFonts w:ascii="Arial" w:hAnsi="Arial"/>
          <w:i/>
          <w:sz w:val="22"/>
        </w:rPr>
        <w:t>A királyi rendelet alkalmazásával kapcsolatos tájékoztatás és a javasolt intézkedések felülvizsgálata.</w:t>
      </w:r>
    </w:p>
    <w:p w:rsidR="00097EA7" w:rsidRPr="00E6754E" w:rsidRDefault="00097EA7" w:rsidP="00097EA7">
      <w:pPr>
        <w:keepNext/>
        <w:keepLines/>
        <w:ind w:left="851" w:right="339"/>
        <w:jc w:val="both"/>
        <w:rPr>
          <w:rFonts w:ascii="Arial" w:hAnsi="Arial" w:cs="Arial"/>
          <w:sz w:val="22"/>
          <w:szCs w:val="22"/>
        </w:rPr>
      </w:pPr>
    </w:p>
    <w:p w:rsidR="00097EA7" w:rsidRPr="00E6754E" w:rsidRDefault="00097EA7" w:rsidP="00097EA7">
      <w:pPr>
        <w:ind w:left="851" w:right="339" w:firstLine="708"/>
        <w:jc w:val="both"/>
        <w:rPr>
          <w:rFonts w:ascii="Arial" w:hAnsi="Arial" w:cs="Arial"/>
          <w:sz w:val="22"/>
          <w:szCs w:val="22"/>
        </w:rPr>
      </w:pPr>
      <w:r>
        <w:rPr>
          <w:rFonts w:ascii="Arial" w:hAnsi="Arial"/>
          <w:sz w:val="22"/>
        </w:rPr>
        <w:t xml:space="preserve">A Mezőgazdasági, Halászati, Élelmezésügyi és Környezetvédelmi Minisztérium 2023. január 1-je előtt jelentést készít e királyi rendeletben foglalt intézkedések azon hatékonyságának értékeléséről, amelyek a műanyag </w:t>
      </w:r>
      <w:proofErr w:type="spellStart"/>
      <w:r>
        <w:rPr>
          <w:rFonts w:ascii="Arial" w:hAnsi="Arial"/>
          <w:sz w:val="22"/>
        </w:rPr>
        <w:t>hordtasakok</w:t>
      </w:r>
      <w:proofErr w:type="spellEnd"/>
      <w:r>
        <w:rPr>
          <w:rFonts w:ascii="Arial" w:hAnsi="Arial"/>
          <w:sz w:val="22"/>
        </w:rPr>
        <w:t xml:space="preserve"> felhasználásának csökkentésére, a fogyasztói magatartás megváltoztatására és a hulladékok megelőzésének előmozdítására hivatottak. Amennyiben az értékelés alapján az alkalmazott intézkedések nem hatékonyak, a Mezőgazdasági, Halászati, Élelmezésügyi és Környezetvédelmi Minisztérium megvizsgálja, milyen további lehetőségek állnak rendelkezésre a műanyag </w:t>
      </w:r>
      <w:proofErr w:type="spellStart"/>
      <w:r>
        <w:rPr>
          <w:rFonts w:ascii="Arial" w:hAnsi="Arial"/>
          <w:sz w:val="22"/>
        </w:rPr>
        <w:t>hordtasakok</w:t>
      </w:r>
      <w:proofErr w:type="spellEnd"/>
      <w:r>
        <w:rPr>
          <w:rFonts w:ascii="Arial" w:hAnsi="Arial"/>
          <w:sz w:val="22"/>
        </w:rPr>
        <w:t xml:space="preserve"> felhasználásának csökkentésére, és adott esetben új jogalkotási javaslatot terjeszt elő.</w:t>
      </w:r>
    </w:p>
    <w:p w:rsidR="00097EA7" w:rsidRPr="00E6754E" w:rsidRDefault="00097EA7" w:rsidP="00097EA7">
      <w:pPr>
        <w:ind w:left="851" w:right="339"/>
        <w:jc w:val="both"/>
        <w:rPr>
          <w:rFonts w:ascii="Arial" w:hAnsi="Arial" w:cs="Arial"/>
          <w:sz w:val="22"/>
          <w:szCs w:val="22"/>
        </w:rPr>
      </w:pPr>
    </w:p>
    <w:p w:rsidR="00097EA7" w:rsidRPr="00E6754E" w:rsidRDefault="00097EA7" w:rsidP="00097EA7">
      <w:pPr>
        <w:ind w:left="851" w:right="339"/>
        <w:jc w:val="both"/>
        <w:rPr>
          <w:rFonts w:ascii="Arial" w:hAnsi="Arial" w:cs="Arial"/>
          <w:sz w:val="22"/>
          <w:szCs w:val="22"/>
        </w:rPr>
      </w:pPr>
    </w:p>
    <w:p w:rsidR="00097EA7" w:rsidRPr="00E6754E" w:rsidRDefault="00097EA7" w:rsidP="00097EA7">
      <w:pPr>
        <w:keepNext/>
        <w:keepLines/>
        <w:ind w:left="851" w:right="339"/>
        <w:jc w:val="both"/>
        <w:rPr>
          <w:rFonts w:ascii="Arial" w:hAnsi="Arial" w:cs="Arial"/>
          <w:i/>
          <w:sz w:val="22"/>
          <w:szCs w:val="22"/>
        </w:rPr>
      </w:pPr>
      <w:r>
        <w:rPr>
          <w:rFonts w:ascii="Arial" w:hAnsi="Arial"/>
          <w:sz w:val="22"/>
        </w:rPr>
        <w:t xml:space="preserve">Második kiegészítő </w:t>
      </w:r>
      <w:r w:rsidR="00017C1D">
        <w:rPr>
          <w:rFonts w:ascii="Arial" w:hAnsi="Arial"/>
          <w:sz w:val="22"/>
        </w:rPr>
        <w:t>rendelkezés </w:t>
      </w:r>
      <w:r>
        <w:rPr>
          <w:rFonts w:ascii="Arial" w:hAnsi="Arial"/>
          <w:i/>
          <w:sz w:val="22"/>
        </w:rPr>
        <w:t>A 2011. július 28-i 22/2011 törvény második kiegészítő rendelkezésének betartása</w:t>
      </w:r>
    </w:p>
    <w:p w:rsidR="00097EA7" w:rsidRPr="00E6754E" w:rsidRDefault="00097EA7" w:rsidP="00097EA7">
      <w:pPr>
        <w:keepNext/>
        <w:keepLines/>
        <w:ind w:left="851" w:right="339"/>
        <w:jc w:val="both"/>
        <w:rPr>
          <w:rFonts w:ascii="Arial" w:hAnsi="Arial" w:cs="Arial"/>
          <w:sz w:val="22"/>
          <w:szCs w:val="22"/>
        </w:rPr>
      </w:pPr>
    </w:p>
    <w:p w:rsidR="00097EA7" w:rsidRPr="00E6754E" w:rsidRDefault="00097EA7" w:rsidP="00097EA7">
      <w:pPr>
        <w:ind w:left="851" w:right="339" w:firstLine="708"/>
        <w:jc w:val="both"/>
        <w:rPr>
          <w:rFonts w:ascii="Arial" w:hAnsi="Arial" w:cs="Arial"/>
          <w:sz w:val="22"/>
          <w:szCs w:val="22"/>
        </w:rPr>
      </w:pPr>
      <w:r>
        <w:rPr>
          <w:rFonts w:ascii="Arial" w:hAnsi="Arial"/>
          <w:sz w:val="22"/>
        </w:rPr>
        <w:t xml:space="preserve">Az e királyi rendeletben foglalt, könnyű műanyag </w:t>
      </w:r>
      <w:proofErr w:type="spellStart"/>
      <w:r>
        <w:rPr>
          <w:rFonts w:ascii="Arial" w:hAnsi="Arial"/>
          <w:sz w:val="22"/>
        </w:rPr>
        <w:t>hordtasakokra</w:t>
      </w:r>
      <w:proofErr w:type="spellEnd"/>
      <w:r>
        <w:rPr>
          <w:rFonts w:ascii="Arial" w:hAnsi="Arial"/>
          <w:sz w:val="22"/>
        </w:rPr>
        <w:t xml:space="preserve"> vonatkozó intézkedések lehetővé teszik a 2011. július 28-i 22/2011 törvény második kiegészítő rendelkezésében foglaltak betartását, különös tekintettel a 3. bekezdésében említett ütemterv felállítására.</w:t>
      </w:r>
    </w:p>
    <w:p w:rsidR="00097EA7" w:rsidRPr="00E6754E" w:rsidRDefault="00097EA7" w:rsidP="00097EA7">
      <w:pPr>
        <w:ind w:left="851" w:right="339"/>
        <w:jc w:val="both"/>
        <w:rPr>
          <w:rFonts w:ascii="Arial" w:hAnsi="Arial" w:cs="Arial"/>
          <w:sz w:val="22"/>
          <w:szCs w:val="22"/>
        </w:rPr>
      </w:pPr>
    </w:p>
    <w:p w:rsidR="00097EA7" w:rsidRPr="00E6754E" w:rsidRDefault="00097EA7" w:rsidP="00097EA7">
      <w:pPr>
        <w:ind w:left="851" w:right="339" w:firstLine="708"/>
        <w:jc w:val="both"/>
        <w:rPr>
          <w:rFonts w:ascii="Arial" w:hAnsi="Arial" w:cs="Arial"/>
          <w:sz w:val="22"/>
          <w:szCs w:val="22"/>
        </w:rPr>
      </w:pPr>
      <w:r>
        <w:rPr>
          <w:rFonts w:ascii="Arial" w:hAnsi="Arial"/>
          <w:sz w:val="22"/>
        </w:rPr>
        <w:t>A 2011. július 28-i 22/2011 törvény második kiegészítő rendelkezésének 4. bekezdésében említett munkacsoport alkotja a Minőségügyi és Környezetvédelmi Értékelésért és Természetes Környezetért Felelős Főigazgatóság alá tartozó, hulladékokkal kapcsolatos koordinációért felelős bizottság csomagolóanyagokkal és csomagolóanyagok hulladékaival foglalkozó munkacsoportját.</w:t>
      </w:r>
    </w:p>
    <w:p w:rsidR="00097EA7" w:rsidRPr="00E6754E" w:rsidRDefault="00097EA7" w:rsidP="00097EA7">
      <w:pPr>
        <w:ind w:left="851" w:right="339"/>
        <w:jc w:val="both"/>
        <w:rPr>
          <w:rFonts w:ascii="Arial" w:hAnsi="Arial" w:cs="Arial"/>
          <w:sz w:val="22"/>
          <w:szCs w:val="22"/>
        </w:rPr>
      </w:pPr>
    </w:p>
    <w:p w:rsidR="00097EA7" w:rsidRPr="00E6754E" w:rsidRDefault="00097EA7" w:rsidP="00097EA7">
      <w:pPr>
        <w:ind w:left="851" w:right="339"/>
        <w:jc w:val="both"/>
        <w:rPr>
          <w:rFonts w:ascii="Arial" w:hAnsi="Arial" w:cs="Arial"/>
          <w:sz w:val="22"/>
          <w:szCs w:val="22"/>
        </w:rPr>
      </w:pPr>
    </w:p>
    <w:p w:rsidR="00097EA7" w:rsidRPr="00E6754E" w:rsidRDefault="00097EA7" w:rsidP="00097EA7">
      <w:pPr>
        <w:keepNext/>
        <w:keepLines/>
        <w:ind w:left="851" w:right="339"/>
        <w:jc w:val="both"/>
        <w:rPr>
          <w:rFonts w:ascii="Arial" w:hAnsi="Arial" w:cs="Arial"/>
          <w:i/>
          <w:sz w:val="22"/>
          <w:szCs w:val="22"/>
        </w:rPr>
      </w:pPr>
      <w:r>
        <w:rPr>
          <w:rFonts w:ascii="Arial" w:hAnsi="Arial"/>
          <w:sz w:val="22"/>
        </w:rPr>
        <w:t xml:space="preserve">Harmadik kiegészítő rendelkezés </w:t>
      </w:r>
      <w:r>
        <w:rPr>
          <w:rFonts w:ascii="Arial" w:hAnsi="Arial"/>
          <w:i/>
          <w:sz w:val="22"/>
        </w:rPr>
        <w:t xml:space="preserve">Műanyag </w:t>
      </w:r>
      <w:proofErr w:type="spellStart"/>
      <w:r>
        <w:rPr>
          <w:rFonts w:ascii="Arial" w:hAnsi="Arial"/>
          <w:i/>
          <w:sz w:val="22"/>
        </w:rPr>
        <w:t>hordtasakokkal</w:t>
      </w:r>
      <w:proofErr w:type="spellEnd"/>
      <w:r>
        <w:rPr>
          <w:rFonts w:ascii="Arial" w:hAnsi="Arial"/>
          <w:i/>
          <w:sz w:val="22"/>
        </w:rPr>
        <w:t xml:space="preserve"> kapcsolatos tájékoztatás 2017 vonatkozásában</w:t>
      </w:r>
    </w:p>
    <w:p w:rsidR="00097EA7" w:rsidRPr="00E6754E" w:rsidRDefault="00097EA7" w:rsidP="00097EA7">
      <w:pPr>
        <w:keepNext/>
        <w:keepLines/>
        <w:ind w:left="851" w:right="339"/>
        <w:jc w:val="both"/>
        <w:rPr>
          <w:rFonts w:ascii="Arial" w:hAnsi="Arial" w:cs="Arial"/>
          <w:sz w:val="22"/>
          <w:szCs w:val="22"/>
        </w:rPr>
      </w:pPr>
    </w:p>
    <w:p w:rsidR="00097EA7" w:rsidRPr="00E6754E" w:rsidRDefault="00097EA7" w:rsidP="00097EA7">
      <w:pPr>
        <w:ind w:left="851" w:right="339" w:firstLine="708"/>
        <w:jc w:val="both"/>
        <w:rPr>
          <w:rFonts w:ascii="Arial" w:hAnsi="Arial" w:cs="Arial"/>
          <w:sz w:val="22"/>
          <w:szCs w:val="22"/>
        </w:rPr>
      </w:pPr>
      <w:r>
        <w:rPr>
          <w:rFonts w:ascii="Arial" w:hAnsi="Arial"/>
          <w:sz w:val="22"/>
        </w:rPr>
        <w:t xml:space="preserve">A 2017-ben nemzeti forgalomba hozott műanyag </w:t>
      </w:r>
      <w:proofErr w:type="spellStart"/>
      <w:r>
        <w:rPr>
          <w:rFonts w:ascii="Arial" w:hAnsi="Arial"/>
          <w:sz w:val="22"/>
        </w:rPr>
        <w:t>hordtasakokkal</w:t>
      </w:r>
      <w:proofErr w:type="spellEnd"/>
      <w:r>
        <w:rPr>
          <w:rFonts w:ascii="Arial" w:hAnsi="Arial"/>
          <w:sz w:val="22"/>
        </w:rPr>
        <w:t xml:space="preserve"> kapcsolatos adatokat </w:t>
      </w:r>
      <w:r w:rsidR="00087E11">
        <w:rPr>
          <w:rFonts w:ascii="Arial" w:hAnsi="Arial"/>
          <w:sz w:val="22"/>
        </w:rPr>
        <w:t>3</w:t>
      </w:r>
      <w:r>
        <w:rPr>
          <w:rFonts w:ascii="Arial" w:hAnsi="Arial"/>
          <w:sz w:val="22"/>
        </w:rPr>
        <w:t xml:space="preserve"> hónappal azt követően kell benyújtaniuk a </w:t>
      </w:r>
      <w:proofErr w:type="spellStart"/>
      <w:r>
        <w:rPr>
          <w:rFonts w:ascii="Arial" w:hAnsi="Arial"/>
          <w:sz w:val="22"/>
        </w:rPr>
        <w:t>hordtasakok</w:t>
      </w:r>
      <w:proofErr w:type="spellEnd"/>
      <w:r>
        <w:rPr>
          <w:rFonts w:ascii="Arial" w:hAnsi="Arial"/>
          <w:sz w:val="22"/>
        </w:rPr>
        <w:t xml:space="preserve"> gyártóinak, hogy bekerültek a </w:t>
      </w:r>
      <w:r w:rsidR="00087E11">
        <w:rPr>
          <w:rFonts w:ascii="Arial" w:hAnsi="Arial"/>
          <w:sz w:val="22"/>
        </w:rPr>
        <w:t>Termékgyártók Nyilvántartásába</w:t>
      </w:r>
      <w:r>
        <w:rPr>
          <w:rFonts w:ascii="Arial" w:hAnsi="Arial"/>
          <w:sz w:val="22"/>
        </w:rPr>
        <w:t>.</w:t>
      </w:r>
    </w:p>
    <w:p w:rsidR="00097EA7" w:rsidRPr="00E6754E" w:rsidRDefault="00097EA7" w:rsidP="00097EA7">
      <w:pPr>
        <w:ind w:left="851" w:right="339"/>
        <w:jc w:val="both"/>
        <w:rPr>
          <w:rFonts w:ascii="Arial" w:hAnsi="Arial" w:cs="Arial"/>
          <w:sz w:val="22"/>
          <w:szCs w:val="22"/>
        </w:rPr>
      </w:pPr>
    </w:p>
    <w:p w:rsidR="00097EA7" w:rsidRPr="00E6754E" w:rsidRDefault="00097EA7" w:rsidP="00097EA7">
      <w:pPr>
        <w:ind w:left="851" w:right="339"/>
        <w:jc w:val="both"/>
        <w:rPr>
          <w:rFonts w:ascii="Arial" w:hAnsi="Arial" w:cs="Arial"/>
          <w:sz w:val="22"/>
          <w:szCs w:val="22"/>
        </w:rPr>
      </w:pPr>
    </w:p>
    <w:p w:rsidR="00097EA7" w:rsidRPr="00E6754E" w:rsidRDefault="00097EA7" w:rsidP="00097EA7">
      <w:pPr>
        <w:keepNext/>
        <w:keepLines/>
        <w:ind w:left="851" w:right="339"/>
        <w:jc w:val="both"/>
        <w:rPr>
          <w:rFonts w:ascii="Arial" w:hAnsi="Arial" w:cs="Arial"/>
          <w:i/>
          <w:sz w:val="22"/>
          <w:szCs w:val="22"/>
        </w:rPr>
      </w:pPr>
      <w:r>
        <w:rPr>
          <w:rFonts w:ascii="Arial" w:hAnsi="Arial"/>
          <w:sz w:val="22"/>
        </w:rPr>
        <w:t xml:space="preserve">Negyedik kiegészítő </w:t>
      </w:r>
      <w:r w:rsidR="00017C1D">
        <w:rPr>
          <w:rFonts w:ascii="Arial" w:hAnsi="Arial"/>
          <w:sz w:val="22"/>
        </w:rPr>
        <w:t>rendelkezés </w:t>
      </w:r>
      <w:r>
        <w:rPr>
          <w:rFonts w:ascii="Arial" w:hAnsi="Arial"/>
          <w:i/>
          <w:sz w:val="22"/>
        </w:rPr>
        <w:t>A közkiadások növelésének elkerülése.</w:t>
      </w:r>
    </w:p>
    <w:p w:rsidR="00097EA7" w:rsidRPr="00E6754E" w:rsidRDefault="00097EA7" w:rsidP="00097EA7">
      <w:pPr>
        <w:keepNext/>
        <w:keepLines/>
        <w:ind w:left="851" w:right="339"/>
        <w:jc w:val="both"/>
        <w:rPr>
          <w:rFonts w:ascii="Arial" w:hAnsi="Arial" w:cs="Arial"/>
          <w:sz w:val="22"/>
          <w:szCs w:val="22"/>
        </w:rPr>
      </w:pPr>
    </w:p>
    <w:p w:rsidR="00097EA7" w:rsidRPr="00E6754E" w:rsidRDefault="00097EA7" w:rsidP="00097EA7">
      <w:pPr>
        <w:ind w:left="851" w:right="339" w:firstLine="708"/>
        <w:jc w:val="both"/>
        <w:rPr>
          <w:rFonts w:ascii="Arial" w:hAnsi="Arial" w:cs="Arial"/>
          <w:sz w:val="22"/>
          <w:szCs w:val="22"/>
        </w:rPr>
      </w:pPr>
      <w:r>
        <w:rPr>
          <w:rFonts w:ascii="Arial" w:hAnsi="Arial"/>
          <w:sz w:val="22"/>
        </w:rPr>
        <w:t>E királyi rendeletben foglalt intézkedésekre az állam általános közigazgatási szervezetének rendelkezésére álló személyi és anyagi eszközök igénybevételével kerül sor. A szóban forgó intézkedések semmiképpen nem vonhatják maguk után a közkiadások növekedését.</w:t>
      </w:r>
    </w:p>
    <w:p w:rsidR="00097EA7" w:rsidRPr="00E6754E" w:rsidRDefault="00097EA7" w:rsidP="00097EA7">
      <w:pPr>
        <w:ind w:left="851" w:right="339"/>
        <w:jc w:val="both"/>
        <w:rPr>
          <w:rFonts w:ascii="Arial" w:hAnsi="Arial" w:cs="Arial"/>
          <w:sz w:val="22"/>
          <w:szCs w:val="22"/>
        </w:rPr>
      </w:pPr>
    </w:p>
    <w:p w:rsidR="00097EA7" w:rsidRPr="00E6754E" w:rsidRDefault="00097EA7" w:rsidP="00097EA7">
      <w:pPr>
        <w:ind w:left="851" w:right="339"/>
        <w:jc w:val="both"/>
        <w:rPr>
          <w:rFonts w:ascii="Arial" w:hAnsi="Arial" w:cs="Arial"/>
          <w:sz w:val="22"/>
          <w:szCs w:val="22"/>
        </w:rPr>
      </w:pPr>
    </w:p>
    <w:p w:rsidR="00097EA7" w:rsidRPr="00E6754E" w:rsidRDefault="00097EA7" w:rsidP="00097EA7">
      <w:pPr>
        <w:keepNext/>
        <w:keepLines/>
        <w:ind w:left="851" w:right="339"/>
        <w:jc w:val="both"/>
        <w:rPr>
          <w:rFonts w:ascii="Arial" w:hAnsi="Arial" w:cs="Arial"/>
          <w:sz w:val="22"/>
          <w:szCs w:val="22"/>
        </w:rPr>
      </w:pPr>
      <w:r>
        <w:rPr>
          <w:rFonts w:ascii="Arial" w:hAnsi="Arial"/>
          <w:sz w:val="22"/>
        </w:rPr>
        <w:t>Hatályon kívül helyezés</w:t>
      </w:r>
      <w:r w:rsidR="00801E0B">
        <w:rPr>
          <w:rFonts w:ascii="Arial" w:hAnsi="Arial"/>
          <w:sz w:val="22"/>
        </w:rPr>
        <w:t>. </w:t>
      </w:r>
      <w:r>
        <w:rPr>
          <w:rFonts w:ascii="Arial" w:hAnsi="Arial"/>
          <w:i/>
          <w:sz w:val="22"/>
        </w:rPr>
        <w:t>Jogszabályi hatályon kívül helyezés.</w:t>
      </w:r>
    </w:p>
    <w:p w:rsidR="00097EA7" w:rsidRPr="00E6754E" w:rsidRDefault="00097EA7" w:rsidP="00097EA7">
      <w:pPr>
        <w:keepNext/>
        <w:keepLines/>
        <w:ind w:left="851" w:right="339"/>
        <w:jc w:val="both"/>
        <w:rPr>
          <w:rFonts w:ascii="Arial" w:hAnsi="Arial" w:cs="Arial"/>
          <w:sz w:val="22"/>
          <w:szCs w:val="22"/>
        </w:rPr>
      </w:pPr>
    </w:p>
    <w:p w:rsidR="00097EA7" w:rsidRPr="00E6754E" w:rsidRDefault="00097EA7" w:rsidP="00097EA7">
      <w:pPr>
        <w:ind w:left="851" w:right="339" w:firstLine="567"/>
        <w:jc w:val="both"/>
        <w:rPr>
          <w:rFonts w:ascii="Arial" w:hAnsi="Arial" w:cs="Arial"/>
          <w:sz w:val="22"/>
          <w:szCs w:val="22"/>
        </w:rPr>
      </w:pPr>
      <w:r>
        <w:rPr>
          <w:rFonts w:ascii="Arial" w:hAnsi="Arial"/>
          <w:sz w:val="22"/>
        </w:rPr>
        <w:t xml:space="preserve">E királyi rendelet hatályon kívül helyez valamennyi olyan rendelkezést, amely ellentmond vagy összeegyeztethetetlen az abban foglaltakkal. </w:t>
      </w:r>
    </w:p>
    <w:p w:rsidR="00097EA7" w:rsidRPr="00E6754E" w:rsidRDefault="00097EA7" w:rsidP="00097EA7">
      <w:pPr>
        <w:ind w:right="339"/>
        <w:jc w:val="both"/>
        <w:rPr>
          <w:rFonts w:ascii="Arial" w:hAnsi="Arial" w:cs="Arial"/>
          <w:sz w:val="22"/>
          <w:szCs w:val="22"/>
        </w:rPr>
      </w:pPr>
    </w:p>
    <w:p w:rsidR="00097EA7" w:rsidRPr="00E6754E" w:rsidRDefault="00097EA7" w:rsidP="00097EA7">
      <w:pPr>
        <w:ind w:left="851" w:right="339"/>
        <w:jc w:val="both"/>
        <w:rPr>
          <w:rFonts w:ascii="Arial" w:hAnsi="Arial" w:cs="Arial"/>
          <w:sz w:val="22"/>
          <w:szCs w:val="22"/>
        </w:rPr>
      </w:pPr>
    </w:p>
    <w:p w:rsidR="00097EA7" w:rsidRPr="00E6754E" w:rsidRDefault="00097EA7" w:rsidP="00097EA7">
      <w:pPr>
        <w:keepNext/>
        <w:keepLines/>
        <w:ind w:left="851" w:right="339"/>
        <w:jc w:val="both"/>
        <w:rPr>
          <w:rFonts w:ascii="Arial" w:hAnsi="Arial" w:cs="Arial"/>
          <w:i/>
          <w:sz w:val="22"/>
          <w:szCs w:val="22"/>
        </w:rPr>
      </w:pPr>
      <w:r>
        <w:rPr>
          <w:rFonts w:ascii="Arial" w:hAnsi="Arial"/>
          <w:sz w:val="22"/>
        </w:rPr>
        <w:t xml:space="preserve">Első záró rendelkezés. </w:t>
      </w:r>
      <w:r>
        <w:rPr>
          <w:rFonts w:ascii="Arial" w:hAnsi="Arial"/>
          <w:i/>
          <w:sz w:val="22"/>
        </w:rPr>
        <w:t>Hatáskörök</w:t>
      </w:r>
    </w:p>
    <w:p w:rsidR="00097EA7" w:rsidRPr="00E6754E" w:rsidRDefault="00097EA7" w:rsidP="00097EA7">
      <w:pPr>
        <w:keepNext/>
        <w:keepLines/>
        <w:ind w:left="851" w:right="339"/>
        <w:jc w:val="both"/>
        <w:rPr>
          <w:rFonts w:ascii="Arial" w:hAnsi="Arial" w:cs="Arial"/>
          <w:sz w:val="22"/>
          <w:szCs w:val="22"/>
        </w:rPr>
      </w:pPr>
    </w:p>
    <w:p w:rsidR="00097EA7" w:rsidRPr="00E6754E" w:rsidRDefault="00097EA7" w:rsidP="00097EA7">
      <w:pPr>
        <w:ind w:left="851" w:right="339" w:firstLine="708"/>
        <w:jc w:val="both"/>
        <w:rPr>
          <w:rFonts w:ascii="Arial" w:hAnsi="Arial" w:cs="Arial"/>
          <w:sz w:val="22"/>
          <w:szCs w:val="22"/>
        </w:rPr>
      </w:pPr>
      <w:r>
        <w:rPr>
          <w:rFonts w:ascii="Arial" w:hAnsi="Arial"/>
          <w:sz w:val="22"/>
        </w:rPr>
        <w:t>Ez a királyi rendelet általános jellegű, és a spanyol alkotmány 149. cikke 1. bekezdése 16ª. és 23ª. szabályában foglalt rendelkezések értelmében került kihirdetésre, amelyek kizárólagos illetékességet biztosítanak az államnak a gazdasági tevékenység általános tervezésének koordinációja, valamint a környezetvédelemre vonatkozó alapjogszabályok területén.</w:t>
      </w:r>
    </w:p>
    <w:p w:rsidR="00097EA7" w:rsidRPr="00E6754E" w:rsidRDefault="00097EA7" w:rsidP="00097EA7">
      <w:pPr>
        <w:ind w:left="851" w:right="339"/>
        <w:jc w:val="both"/>
        <w:rPr>
          <w:rFonts w:ascii="Arial" w:hAnsi="Arial" w:cs="Arial"/>
          <w:sz w:val="22"/>
          <w:szCs w:val="22"/>
        </w:rPr>
      </w:pPr>
    </w:p>
    <w:p w:rsidR="00097EA7" w:rsidRPr="00E6754E" w:rsidRDefault="00097EA7" w:rsidP="00097EA7">
      <w:pPr>
        <w:ind w:left="851" w:right="339"/>
        <w:jc w:val="both"/>
        <w:rPr>
          <w:rFonts w:ascii="Arial" w:hAnsi="Arial" w:cs="Arial"/>
          <w:sz w:val="22"/>
          <w:szCs w:val="22"/>
        </w:rPr>
      </w:pPr>
    </w:p>
    <w:p w:rsidR="00097EA7" w:rsidRPr="00E6754E" w:rsidRDefault="00097EA7" w:rsidP="00097EA7">
      <w:pPr>
        <w:keepNext/>
        <w:keepLines/>
        <w:ind w:left="851" w:right="339"/>
        <w:jc w:val="both"/>
        <w:rPr>
          <w:rFonts w:ascii="Arial" w:hAnsi="Arial" w:cs="Arial"/>
          <w:i/>
          <w:sz w:val="22"/>
          <w:szCs w:val="22"/>
        </w:rPr>
      </w:pPr>
      <w:r>
        <w:rPr>
          <w:rFonts w:ascii="Arial" w:hAnsi="Arial"/>
          <w:sz w:val="22"/>
        </w:rPr>
        <w:t>Második záró rendelkezés.</w:t>
      </w:r>
      <w:r w:rsidR="00801E0B">
        <w:rPr>
          <w:rFonts w:ascii="Arial" w:hAnsi="Arial"/>
          <w:sz w:val="22"/>
        </w:rPr>
        <w:t> </w:t>
      </w:r>
      <w:r>
        <w:rPr>
          <w:rFonts w:ascii="Arial" w:hAnsi="Arial"/>
          <w:i/>
          <w:sz w:val="22"/>
        </w:rPr>
        <w:t>Az európai uniós jogszabály átültetése.</w:t>
      </w:r>
    </w:p>
    <w:p w:rsidR="00097EA7" w:rsidRPr="00E6754E" w:rsidRDefault="00097EA7" w:rsidP="00097EA7">
      <w:pPr>
        <w:keepNext/>
        <w:keepLines/>
        <w:ind w:left="851" w:right="339"/>
        <w:jc w:val="both"/>
        <w:rPr>
          <w:rFonts w:ascii="Arial" w:hAnsi="Arial" w:cs="Arial"/>
          <w:sz w:val="22"/>
          <w:szCs w:val="22"/>
        </w:rPr>
      </w:pPr>
    </w:p>
    <w:p w:rsidR="00097EA7" w:rsidRPr="00E6754E" w:rsidRDefault="00097EA7" w:rsidP="00097EA7">
      <w:pPr>
        <w:ind w:left="851" w:right="339" w:firstLine="708"/>
        <w:jc w:val="both"/>
        <w:rPr>
          <w:rFonts w:ascii="Arial" w:hAnsi="Arial" w:cs="Arial"/>
          <w:sz w:val="22"/>
          <w:szCs w:val="22"/>
        </w:rPr>
      </w:pPr>
      <w:r>
        <w:rPr>
          <w:rFonts w:ascii="Arial" w:hAnsi="Arial"/>
          <w:sz w:val="22"/>
        </w:rPr>
        <w:t xml:space="preserve">A szóban forgó királyi rendelet a 94/62/EK irányelvnek a könnyű műanyag </w:t>
      </w:r>
      <w:proofErr w:type="spellStart"/>
      <w:r>
        <w:rPr>
          <w:rFonts w:ascii="Arial" w:hAnsi="Arial"/>
          <w:sz w:val="22"/>
        </w:rPr>
        <w:t>hordtasakok</w:t>
      </w:r>
      <w:proofErr w:type="spellEnd"/>
      <w:r>
        <w:rPr>
          <w:rFonts w:ascii="Arial" w:hAnsi="Arial"/>
          <w:sz w:val="22"/>
        </w:rPr>
        <w:t xml:space="preserve"> felhasználásának csökkentése tekintetében történő módosításáról szóló, 2015. április 29-i (EU) 2015/720 európai parlamenti és tanácsi irányelvet ülteti át a spanyol jogrendbe.</w:t>
      </w:r>
    </w:p>
    <w:p w:rsidR="00097EA7" w:rsidRPr="00E6754E" w:rsidRDefault="00097EA7" w:rsidP="00097EA7">
      <w:pPr>
        <w:ind w:left="851" w:right="339"/>
        <w:jc w:val="both"/>
        <w:rPr>
          <w:rFonts w:ascii="Arial" w:hAnsi="Arial" w:cs="Arial"/>
          <w:sz w:val="22"/>
          <w:szCs w:val="22"/>
        </w:rPr>
      </w:pPr>
    </w:p>
    <w:p w:rsidR="00097EA7" w:rsidRPr="00E6754E" w:rsidRDefault="00097EA7" w:rsidP="00097EA7">
      <w:pPr>
        <w:ind w:left="851" w:right="339"/>
        <w:jc w:val="both"/>
        <w:rPr>
          <w:rFonts w:ascii="Arial" w:hAnsi="Arial" w:cs="Arial"/>
          <w:sz w:val="22"/>
          <w:szCs w:val="22"/>
        </w:rPr>
      </w:pPr>
    </w:p>
    <w:p w:rsidR="00097EA7" w:rsidRPr="00E6754E" w:rsidRDefault="00097EA7" w:rsidP="00097EA7">
      <w:pPr>
        <w:keepNext/>
        <w:keepLines/>
        <w:ind w:left="851" w:right="339"/>
        <w:jc w:val="both"/>
        <w:rPr>
          <w:rFonts w:ascii="Arial" w:hAnsi="Arial" w:cs="Arial"/>
          <w:sz w:val="22"/>
          <w:szCs w:val="22"/>
        </w:rPr>
      </w:pPr>
      <w:r>
        <w:rPr>
          <w:rFonts w:ascii="Arial" w:hAnsi="Arial"/>
          <w:sz w:val="22"/>
        </w:rPr>
        <w:t>Harmadik záró rendelkezés.</w:t>
      </w:r>
      <w:r w:rsidR="00D77A01">
        <w:rPr>
          <w:rFonts w:ascii="Arial" w:hAnsi="Arial"/>
          <w:sz w:val="22"/>
        </w:rPr>
        <w:t> </w:t>
      </w:r>
      <w:r>
        <w:rPr>
          <w:rFonts w:ascii="Arial" w:hAnsi="Arial"/>
          <w:i/>
          <w:sz w:val="22"/>
        </w:rPr>
        <w:t>Végrehajtási felhatalmazás.</w:t>
      </w:r>
    </w:p>
    <w:p w:rsidR="00097EA7" w:rsidRPr="00E6754E" w:rsidRDefault="00097EA7" w:rsidP="00097EA7">
      <w:pPr>
        <w:keepNext/>
        <w:keepLines/>
        <w:ind w:left="851" w:right="339"/>
        <w:jc w:val="both"/>
        <w:rPr>
          <w:rFonts w:ascii="Arial" w:hAnsi="Arial" w:cs="Arial"/>
          <w:sz w:val="22"/>
          <w:szCs w:val="22"/>
        </w:rPr>
      </w:pPr>
    </w:p>
    <w:p w:rsidR="00097EA7" w:rsidRPr="00E6754E" w:rsidRDefault="00097EA7" w:rsidP="00097EA7">
      <w:pPr>
        <w:ind w:left="851" w:right="339" w:firstLine="708"/>
        <w:jc w:val="both"/>
        <w:rPr>
          <w:rFonts w:ascii="Arial" w:hAnsi="Arial" w:cs="Arial"/>
          <w:i/>
          <w:sz w:val="22"/>
          <w:szCs w:val="22"/>
        </w:rPr>
      </w:pPr>
      <w:r>
        <w:rPr>
          <w:rFonts w:ascii="Arial" w:hAnsi="Arial"/>
          <w:sz w:val="22"/>
        </w:rPr>
        <w:t>A rendelet felhatalmazza a Minőségügyi és Környezetvédelmi Értékelésért és Természetes Környezetért Felelős Főigazgatóság illetékesét, hogy az illetékességi körén belül meghozza azokat a jogszabályi rendelkezéseket, amelyek e királyi rendeletben foglaltak végrehajtásához szükségesek, különös tekintettel a mellékleteknek a nemzetközi jogszabályok által meghatározott rendelkezésekhez és módosításokhoz, az európai uniós joghoz és adott esetben az első kiegészítő rendelkezésben említett jelentések következtetéseihez történő igazítására.</w:t>
      </w:r>
    </w:p>
    <w:p w:rsidR="00097EA7" w:rsidRPr="00E6754E" w:rsidRDefault="00097EA7" w:rsidP="00097EA7">
      <w:pPr>
        <w:ind w:left="851" w:right="339"/>
        <w:jc w:val="both"/>
        <w:rPr>
          <w:rFonts w:ascii="Arial" w:hAnsi="Arial" w:cs="Arial"/>
          <w:sz w:val="22"/>
          <w:szCs w:val="22"/>
        </w:rPr>
      </w:pPr>
    </w:p>
    <w:p w:rsidR="00097EA7" w:rsidRPr="00E6754E" w:rsidRDefault="00097EA7" w:rsidP="00097EA7">
      <w:pPr>
        <w:ind w:left="851" w:right="339"/>
        <w:jc w:val="both"/>
        <w:rPr>
          <w:rFonts w:ascii="Arial" w:hAnsi="Arial" w:cs="Arial"/>
          <w:sz w:val="22"/>
          <w:szCs w:val="22"/>
        </w:rPr>
      </w:pPr>
    </w:p>
    <w:p w:rsidR="00097EA7" w:rsidRPr="00E6754E" w:rsidRDefault="00097EA7" w:rsidP="00097EA7">
      <w:pPr>
        <w:keepNext/>
        <w:keepLines/>
        <w:ind w:left="851" w:right="339"/>
        <w:jc w:val="both"/>
        <w:rPr>
          <w:rFonts w:ascii="Arial" w:hAnsi="Arial" w:cs="Arial"/>
          <w:i/>
          <w:sz w:val="22"/>
          <w:szCs w:val="22"/>
        </w:rPr>
      </w:pPr>
      <w:r>
        <w:rPr>
          <w:rFonts w:ascii="Arial" w:hAnsi="Arial"/>
          <w:sz w:val="22"/>
        </w:rPr>
        <w:t>Negyedik záró rendelkezés.</w:t>
      </w:r>
      <w:r w:rsidR="00D77A01">
        <w:rPr>
          <w:rFonts w:ascii="Arial" w:hAnsi="Arial"/>
          <w:sz w:val="22"/>
        </w:rPr>
        <w:t> </w:t>
      </w:r>
      <w:r>
        <w:rPr>
          <w:rFonts w:ascii="Arial" w:hAnsi="Arial"/>
          <w:i/>
          <w:sz w:val="22"/>
        </w:rPr>
        <w:t>Hatálybalépés</w:t>
      </w:r>
    </w:p>
    <w:p w:rsidR="00097EA7" w:rsidRPr="00E6754E" w:rsidRDefault="00097EA7" w:rsidP="00097EA7">
      <w:pPr>
        <w:keepNext/>
        <w:keepLines/>
        <w:ind w:left="851" w:right="339" w:firstLine="708"/>
        <w:jc w:val="both"/>
        <w:rPr>
          <w:rFonts w:ascii="Arial" w:hAnsi="Arial" w:cs="Arial"/>
          <w:sz w:val="22"/>
          <w:szCs w:val="22"/>
        </w:rPr>
      </w:pPr>
    </w:p>
    <w:p w:rsidR="00097EA7" w:rsidRDefault="00097EA7" w:rsidP="00097EA7">
      <w:pPr>
        <w:ind w:left="851" w:right="339" w:firstLine="708"/>
        <w:jc w:val="both"/>
        <w:rPr>
          <w:rFonts w:ascii="Arial" w:hAnsi="Arial"/>
          <w:sz w:val="22"/>
        </w:rPr>
      </w:pPr>
      <w:r>
        <w:rPr>
          <w:rFonts w:ascii="Arial" w:hAnsi="Arial"/>
          <w:sz w:val="22"/>
        </w:rPr>
        <w:t>Jelen királyi rendelet a spanyol állami hivatalos közlönyben („</w:t>
      </w:r>
      <w:proofErr w:type="spellStart"/>
      <w:r>
        <w:rPr>
          <w:rFonts w:ascii="Arial" w:hAnsi="Arial"/>
          <w:sz w:val="22"/>
        </w:rPr>
        <w:t>Boletín</w:t>
      </w:r>
      <w:proofErr w:type="spellEnd"/>
      <w:r>
        <w:rPr>
          <w:rFonts w:ascii="Arial" w:hAnsi="Arial"/>
          <w:sz w:val="22"/>
        </w:rPr>
        <w:t xml:space="preserve"> </w:t>
      </w:r>
      <w:proofErr w:type="spellStart"/>
      <w:r>
        <w:rPr>
          <w:rFonts w:ascii="Arial" w:hAnsi="Arial"/>
          <w:sz w:val="22"/>
        </w:rPr>
        <w:t>Oficial</w:t>
      </w:r>
      <w:proofErr w:type="spellEnd"/>
      <w:r>
        <w:rPr>
          <w:rFonts w:ascii="Arial" w:hAnsi="Arial"/>
          <w:sz w:val="22"/>
        </w:rPr>
        <w:t xml:space="preserve"> del </w:t>
      </w:r>
      <w:proofErr w:type="spellStart"/>
      <w:r>
        <w:rPr>
          <w:rFonts w:ascii="Arial" w:hAnsi="Arial"/>
          <w:sz w:val="22"/>
        </w:rPr>
        <w:t>Estado</w:t>
      </w:r>
      <w:proofErr w:type="spellEnd"/>
      <w:r>
        <w:rPr>
          <w:rFonts w:ascii="Arial" w:hAnsi="Arial"/>
          <w:sz w:val="22"/>
        </w:rPr>
        <w:t>”) való közzététele utáni napon lép hatályba.</w:t>
      </w:r>
    </w:p>
    <w:p w:rsidR="00BE7020" w:rsidRDefault="00BE7020" w:rsidP="00097EA7">
      <w:pPr>
        <w:ind w:left="851" w:right="339" w:firstLine="708"/>
        <w:jc w:val="both"/>
        <w:rPr>
          <w:rFonts w:ascii="Arial" w:hAnsi="Arial"/>
          <w:sz w:val="22"/>
        </w:rPr>
      </w:pPr>
    </w:p>
    <w:p w:rsidR="00BE7020" w:rsidRDefault="00BE7020" w:rsidP="00BE7020">
      <w:pPr>
        <w:pStyle w:val="Default"/>
        <w:spacing w:before="120" w:after="120"/>
        <w:ind w:firstLine="720"/>
        <w:rPr>
          <w:sz w:val="20"/>
          <w:szCs w:val="20"/>
        </w:rPr>
      </w:pPr>
      <w:r>
        <w:rPr>
          <w:sz w:val="20"/>
        </w:rPr>
        <w:t>Madrid, 2018. május 18.</w:t>
      </w:r>
    </w:p>
    <w:p w:rsidR="00BE7020" w:rsidRDefault="00BE7020" w:rsidP="00BE7020">
      <w:pPr>
        <w:pStyle w:val="Default"/>
        <w:spacing w:before="120" w:after="120"/>
        <w:ind w:firstLine="720"/>
        <w:jc w:val="right"/>
        <w:rPr>
          <w:sz w:val="20"/>
          <w:szCs w:val="20"/>
        </w:rPr>
      </w:pPr>
      <w:r>
        <w:rPr>
          <w:sz w:val="20"/>
        </w:rPr>
        <w:t>FELIPE R.</w:t>
      </w:r>
    </w:p>
    <w:p w:rsidR="00BE7020" w:rsidRPr="00D61F6E" w:rsidRDefault="00FA6EBC" w:rsidP="00FA6EBC">
      <w:pPr>
        <w:pStyle w:val="Pa1"/>
        <w:widowControl/>
        <w:spacing w:before="120" w:after="120" w:line="240" w:lineRule="auto"/>
        <w:jc w:val="center"/>
        <w:rPr>
          <w:color w:val="000000"/>
          <w:sz w:val="16"/>
          <w:szCs w:val="16"/>
          <w:lang w:val="hu-HU"/>
        </w:rPr>
      </w:pPr>
      <w:r w:rsidRPr="00FA6EBC">
        <w:rPr>
          <w:color w:val="000000"/>
          <w:sz w:val="16"/>
          <w:lang w:val="hu-HU"/>
        </w:rPr>
        <w:t>Mezőgazdas</w:t>
      </w:r>
      <w:r>
        <w:rPr>
          <w:color w:val="000000"/>
          <w:sz w:val="16"/>
          <w:lang w:val="hu-HU"/>
        </w:rPr>
        <w:t xml:space="preserve">ági, </w:t>
      </w:r>
      <w:r w:rsidR="00D77A01">
        <w:rPr>
          <w:color w:val="000000"/>
          <w:sz w:val="16"/>
          <w:lang w:val="hu-HU"/>
        </w:rPr>
        <w:t>h</w:t>
      </w:r>
      <w:r>
        <w:rPr>
          <w:color w:val="000000"/>
          <w:sz w:val="16"/>
          <w:lang w:val="hu-HU"/>
        </w:rPr>
        <w:t xml:space="preserve">alászati, </w:t>
      </w:r>
      <w:r w:rsidR="00D77A01">
        <w:rPr>
          <w:color w:val="000000"/>
          <w:sz w:val="16"/>
          <w:lang w:val="hu-HU"/>
        </w:rPr>
        <w:t>é</w:t>
      </w:r>
      <w:r>
        <w:rPr>
          <w:color w:val="000000"/>
          <w:sz w:val="16"/>
          <w:lang w:val="hu-HU"/>
        </w:rPr>
        <w:t xml:space="preserve">lelmezésügyi és </w:t>
      </w:r>
      <w:r w:rsidR="00D77A01">
        <w:rPr>
          <w:color w:val="000000"/>
          <w:sz w:val="16"/>
          <w:lang w:val="hu-HU"/>
        </w:rPr>
        <w:t>k</w:t>
      </w:r>
      <w:r>
        <w:rPr>
          <w:color w:val="000000"/>
          <w:sz w:val="16"/>
          <w:lang w:val="hu-HU"/>
        </w:rPr>
        <w:t xml:space="preserve">örnyezetvédelmi </w:t>
      </w:r>
      <w:r w:rsidR="00D77A01">
        <w:rPr>
          <w:color w:val="000000"/>
          <w:sz w:val="16"/>
          <w:lang w:val="hu-HU"/>
        </w:rPr>
        <w:t>m</w:t>
      </w:r>
      <w:r w:rsidR="009D0D93">
        <w:rPr>
          <w:color w:val="000000"/>
          <w:sz w:val="16"/>
          <w:lang w:val="hu-HU"/>
        </w:rPr>
        <w:t>iniszter</w:t>
      </w:r>
      <w:r>
        <w:rPr>
          <w:color w:val="000000"/>
          <w:sz w:val="16"/>
          <w:lang w:val="hu-HU"/>
        </w:rPr>
        <w:t>,</w:t>
      </w:r>
    </w:p>
    <w:p w:rsidR="00BE7020" w:rsidRPr="00F7772F" w:rsidRDefault="00BE7020" w:rsidP="00BE7020">
      <w:pPr>
        <w:pStyle w:val="Pa1"/>
        <w:widowControl/>
        <w:spacing w:before="120" w:after="120" w:line="240" w:lineRule="auto"/>
        <w:jc w:val="center"/>
        <w:rPr>
          <w:color w:val="000000"/>
          <w:sz w:val="16"/>
          <w:szCs w:val="16"/>
          <w:lang w:val="hu-HU"/>
        </w:rPr>
      </w:pPr>
      <w:r w:rsidRPr="00F7772F">
        <w:rPr>
          <w:color w:val="000000"/>
          <w:sz w:val="16"/>
          <w:lang w:val="hu-HU"/>
        </w:rPr>
        <w:t>ISABEL GARCÍA TEJERINA</w:t>
      </w:r>
    </w:p>
    <w:p w:rsidR="00BE7020" w:rsidRPr="00E6754E" w:rsidRDefault="00BE7020" w:rsidP="00097EA7">
      <w:pPr>
        <w:ind w:left="851" w:right="339" w:firstLine="708"/>
        <w:jc w:val="both"/>
        <w:rPr>
          <w:rFonts w:ascii="Arial" w:hAnsi="Arial" w:cs="Arial"/>
          <w:sz w:val="22"/>
          <w:szCs w:val="22"/>
        </w:rPr>
      </w:pPr>
    </w:p>
    <w:p w:rsidR="00097EA7" w:rsidRPr="00F7772F" w:rsidRDefault="00097EA7" w:rsidP="00097EA7">
      <w:pPr>
        <w:pageBreakBefore/>
        <w:ind w:left="851" w:right="339"/>
        <w:jc w:val="center"/>
        <w:rPr>
          <w:rFonts w:ascii="Arial" w:hAnsi="Arial" w:cs="Arial"/>
          <w:b/>
          <w:color w:val="000000"/>
          <w:szCs w:val="24"/>
          <w:lang w:eastAsia="en-GB" w:bidi="en-GB"/>
        </w:rPr>
      </w:pPr>
      <w:r w:rsidRPr="00F7772F">
        <w:rPr>
          <w:rFonts w:ascii="Arial" w:hAnsi="Arial" w:cs="Arial"/>
          <w:b/>
          <w:color w:val="000000"/>
          <w:szCs w:val="24"/>
          <w:lang w:eastAsia="en-GB" w:bidi="en-GB"/>
        </w:rPr>
        <w:t>I. MELLÉKLET</w:t>
      </w:r>
    </w:p>
    <w:p w:rsidR="00097EA7" w:rsidRPr="00E6754E" w:rsidRDefault="00097EA7" w:rsidP="00097EA7">
      <w:pPr>
        <w:ind w:left="851" w:right="339"/>
        <w:jc w:val="center"/>
        <w:rPr>
          <w:rFonts w:ascii="Arial" w:hAnsi="Arial" w:cs="Arial"/>
          <w:sz w:val="22"/>
          <w:szCs w:val="22"/>
        </w:rPr>
      </w:pPr>
    </w:p>
    <w:p w:rsidR="00097EA7" w:rsidRPr="00E6754E" w:rsidRDefault="00097EA7" w:rsidP="00097EA7">
      <w:pPr>
        <w:ind w:left="851" w:right="339"/>
        <w:jc w:val="center"/>
        <w:rPr>
          <w:rFonts w:ascii="Arial" w:hAnsi="Arial" w:cs="Arial"/>
          <w:b/>
          <w:sz w:val="22"/>
          <w:szCs w:val="22"/>
        </w:rPr>
      </w:pPr>
      <w:r>
        <w:rPr>
          <w:rFonts w:ascii="Arial" w:hAnsi="Arial"/>
          <w:b/>
          <w:sz w:val="22"/>
        </w:rPr>
        <w:t xml:space="preserve">A műanyag </w:t>
      </w:r>
      <w:proofErr w:type="spellStart"/>
      <w:r>
        <w:rPr>
          <w:rFonts w:ascii="Arial" w:hAnsi="Arial"/>
          <w:b/>
          <w:sz w:val="22"/>
        </w:rPr>
        <w:t>hordtasakok</w:t>
      </w:r>
      <w:proofErr w:type="spellEnd"/>
      <w:r>
        <w:rPr>
          <w:rFonts w:ascii="Arial" w:hAnsi="Arial"/>
          <w:b/>
          <w:sz w:val="22"/>
        </w:rPr>
        <w:t xml:space="preserve"> irányárai</w:t>
      </w:r>
    </w:p>
    <w:p w:rsidR="00097EA7" w:rsidRPr="00E6754E" w:rsidRDefault="00097EA7" w:rsidP="00097EA7">
      <w:pPr>
        <w:ind w:left="851" w:right="339"/>
        <w:jc w:val="center"/>
        <w:rPr>
          <w:rFonts w:ascii="Arial" w:hAnsi="Arial" w:cs="Arial"/>
          <w:sz w:val="22"/>
          <w:szCs w:val="22"/>
        </w:rPr>
      </w:pPr>
    </w:p>
    <w:p w:rsidR="00097EA7" w:rsidRPr="00E6754E" w:rsidRDefault="00097EA7" w:rsidP="00097EA7">
      <w:pPr>
        <w:ind w:left="851" w:right="339"/>
        <w:jc w:val="center"/>
        <w:rPr>
          <w:rFonts w:ascii="Arial" w:hAnsi="Arial" w:cs="Arial"/>
          <w:sz w:val="22"/>
          <w:szCs w:val="22"/>
        </w:rPr>
      </w:pPr>
    </w:p>
    <w:p w:rsidR="00097EA7" w:rsidRPr="00D61F6E" w:rsidRDefault="00BE7020" w:rsidP="00097EA7">
      <w:pPr>
        <w:ind w:left="851" w:right="339"/>
        <w:jc w:val="center"/>
        <w:rPr>
          <w:rFonts w:ascii="Arial" w:hAnsi="Arial" w:cs="Arial"/>
          <w:i/>
          <w:sz w:val="22"/>
          <w:szCs w:val="22"/>
        </w:rPr>
      </w:pPr>
      <w:r>
        <w:rPr>
          <w:rFonts w:ascii="Arial" w:hAnsi="Arial"/>
          <w:i/>
          <w:sz w:val="22"/>
        </w:rPr>
        <w:t>M</w:t>
      </w:r>
      <w:r w:rsidRPr="00BE7020">
        <w:rPr>
          <w:rFonts w:ascii="Arial" w:hAnsi="Arial"/>
          <w:i/>
          <w:sz w:val="22"/>
        </w:rPr>
        <w:t xml:space="preserve">űanyag </w:t>
      </w:r>
      <w:proofErr w:type="spellStart"/>
      <w:r w:rsidRPr="00BE7020">
        <w:rPr>
          <w:rFonts w:ascii="Arial" w:hAnsi="Arial"/>
          <w:i/>
          <w:sz w:val="22"/>
        </w:rPr>
        <w:t>hordtasakok</w:t>
      </w:r>
      <w:proofErr w:type="spellEnd"/>
      <w:r w:rsidRPr="00BE7020">
        <w:rPr>
          <w:rFonts w:ascii="Arial" w:hAnsi="Arial"/>
          <w:i/>
          <w:sz w:val="22"/>
        </w:rPr>
        <w:t xml:space="preserve"> irányárai azok falvastagsága szerint</w:t>
      </w:r>
    </w:p>
    <w:p w:rsidR="00097EA7" w:rsidRPr="00E6754E" w:rsidRDefault="00097EA7" w:rsidP="00097EA7">
      <w:pPr>
        <w:ind w:left="851" w:right="339"/>
        <w:jc w:val="both"/>
        <w:rPr>
          <w:rFonts w:ascii="Arial" w:hAnsi="Arial" w:cs="Arial"/>
          <w:sz w:val="22"/>
          <w:szCs w:val="22"/>
        </w:rPr>
      </w:pPr>
    </w:p>
    <w:p w:rsidR="00097EA7" w:rsidRPr="00E6754E" w:rsidRDefault="00097EA7" w:rsidP="00097EA7">
      <w:pPr>
        <w:ind w:left="851" w:right="339"/>
        <w:jc w:val="both"/>
        <w:rPr>
          <w:rFonts w:ascii="Arial" w:hAnsi="Arial" w:cs="Arial"/>
          <w:sz w:val="22"/>
          <w:szCs w:val="22"/>
        </w:rPr>
      </w:pPr>
      <w:r>
        <w:rPr>
          <w:rFonts w:ascii="Arial" w:hAnsi="Arial"/>
          <w:sz w:val="22"/>
        </w:rPr>
        <w:t xml:space="preserve">A 15 mikronnál kisebb falvastagságú, a 3 d) cikk szerinti, nagyon könnyű műanyag </w:t>
      </w:r>
      <w:proofErr w:type="spellStart"/>
      <w:r>
        <w:rPr>
          <w:rFonts w:ascii="Arial" w:hAnsi="Arial"/>
          <w:sz w:val="22"/>
        </w:rPr>
        <w:t>hordtasakokra</w:t>
      </w:r>
      <w:proofErr w:type="spellEnd"/>
      <w:r>
        <w:rPr>
          <w:rFonts w:ascii="Arial" w:hAnsi="Arial"/>
          <w:sz w:val="22"/>
        </w:rPr>
        <w:t xml:space="preserve"> vonatkozó </w:t>
      </w:r>
      <w:proofErr w:type="spellStart"/>
      <w:r>
        <w:rPr>
          <w:rFonts w:ascii="Arial" w:hAnsi="Arial"/>
          <w:sz w:val="22"/>
        </w:rPr>
        <w:t>fogalommeghatározásban</w:t>
      </w:r>
      <w:proofErr w:type="spellEnd"/>
      <w:r>
        <w:rPr>
          <w:rFonts w:ascii="Arial" w:hAnsi="Arial"/>
          <w:sz w:val="22"/>
        </w:rPr>
        <w:t xml:space="preserve"> felsoroltaktól eltérő célra szánt </w:t>
      </w:r>
      <w:proofErr w:type="spellStart"/>
      <w:r>
        <w:rPr>
          <w:rFonts w:ascii="Arial" w:hAnsi="Arial"/>
          <w:sz w:val="22"/>
        </w:rPr>
        <w:t>hordtasakok</w:t>
      </w:r>
      <w:proofErr w:type="spellEnd"/>
      <w:r>
        <w:rPr>
          <w:rFonts w:ascii="Arial" w:hAnsi="Arial"/>
          <w:sz w:val="22"/>
        </w:rPr>
        <w:t xml:space="preserve">: 5 </w:t>
      </w:r>
      <w:proofErr w:type="spellStart"/>
      <w:r>
        <w:rPr>
          <w:rFonts w:ascii="Arial" w:hAnsi="Arial"/>
          <w:sz w:val="22"/>
        </w:rPr>
        <w:t>eurócent</w:t>
      </w:r>
      <w:proofErr w:type="spellEnd"/>
      <w:r>
        <w:rPr>
          <w:rFonts w:ascii="Arial" w:hAnsi="Arial"/>
          <w:sz w:val="22"/>
        </w:rPr>
        <w:t>/</w:t>
      </w:r>
      <w:proofErr w:type="spellStart"/>
      <w:r>
        <w:rPr>
          <w:rFonts w:ascii="Arial" w:hAnsi="Arial"/>
          <w:sz w:val="22"/>
        </w:rPr>
        <w:t>hordtasak</w:t>
      </w:r>
      <w:proofErr w:type="spellEnd"/>
    </w:p>
    <w:p w:rsidR="00097EA7" w:rsidRPr="00E6754E" w:rsidRDefault="00097EA7" w:rsidP="00097EA7">
      <w:pPr>
        <w:ind w:left="851" w:right="339"/>
        <w:jc w:val="both"/>
        <w:rPr>
          <w:rFonts w:ascii="Arial" w:hAnsi="Arial" w:cs="Arial"/>
          <w:sz w:val="22"/>
          <w:szCs w:val="22"/>
        </w:rPr>
      </w:pPr>
    </w:p>
    <w:p w:rsidR="00097EA7" w:rsidRPr="00E6754E" w:rsidRDefault="00097EA7" w:rsidP="00097EA7">
      <w:pPr>
        <w:ind w:left="851" w:right="339"/>
        <w:jc w:val="both"/>
        <w:rPr>
          <w:rFonts w:ascii="Arial" w:hAnsi="Arial" w:cs="Arial"/>
          <w:sz w:val="22"/>
          <w:szCs w:val="22"/>
        </w:rPr>
      </w:pPr>
      <w:r>
        <w:rPr>
          <w:rFonts w:ascii="Arial" w:hAnsi="Arial"/>
          <w:sz w:val="22"/>
        </w:rPr>
        <w:t xml:space="preserve">15 és 49 mikron közötti falvastagságú </w:t>
      </w:r>
      <w:proofErr w:type="spellStart"/>
      <w:r>
        <w:rPr>
          <w:rFonts w:ascii="Arial" w:hAnsi="Arial"/>
          <w:sz w:val="22"/>
        </w:rPr>
        <w:t>hordtasakok</w:t>
      </w:r>
      <w:proofErr w:type="spellEnd"/>
      <w:r>
        <w:rPr>
          <w:rFonts w:ascii="Arial" w:hAnsi="Arial"/>
          <w:sz w:val="22"/>
        </w:rPr>
        <w:t xml:space="preserve">: 15 </w:t>
      </w:r>
      <w:proofErr w:type="spellStart"/>
      <w:r>
        <w:rPr>
          <w:rFonts w:ascii="Arial" w:hAnsi="Arial"/>
          <w:sz w:val="22"/>
        </w:rPr>
        <w:t>eurócent</w:t>
      </w:r>
      <w:proofErr w:type="spellEnd"/>
      <w:r>
        <w:rPr>
          <w:rFonts w:ascii="Arial" w:hAnsi="Arial"/>
          <w:sz w:val="22"/>
        </w:rPr>
        <w:t>/</w:t>
      </w:r>
      <w:proofErr w:type="spellStart"/>
      <w:r>
        <w:rPr>
          <w:rFonts w:ascii="Arial" w:hAnsi="Arial"/>
          <w:sz w:val="22"/>
        </w:rPr>
        <w:t>hordtasak</w:t>
      </w:r>
      <w:proofErr w:type="spellEnd"/>
    </w:p>
    <w:p w:rsidR="00097EA7" w:rsidRPr="00E6754E" w:rsidRDefault="00097EA7" w:rsidP="00097EA7">
      <w:pPr>
        <w:ind w:left="851" w:right="339"/>
        <w:jc w:val="both"/>
        <w:rPr>
          <w:rFonts w:ascii="Arial" w:hAnsi="Arial" w:cs="Arial"/>
          <w:sz w:val="22"/>
          <w:szCs w:val="22"/>
        </w:rPr>
      </w:pPr>
    </w:p>
    <w:p w:rsidR="00097EA7" w:rsidRPr="00E6754E" w:rsidRDefault="00097EA7" w:rsidP="00097EA7">
      <w:pPr>
        <w:ind w:left="851" w:right="339"/>
        <w:jc w:val="both"/>
        <w:rPr>
          <w:rFonts w:ascii="Arial" w:hAnsi="Arial" w:cs="Arial"/>
          <w:sz w:val="22"/>
          <w:szCs w:val="22"/>
        </w:rPr>
      </w:pPr>
      <w:r>
        <w:rPr>
          <w:rFonts w:ascii="Arial" w:hAnsi="Arial"/>
          <w:sz w:val="22"/>
        </w:rPr>
        <w:t xml:space="preserve">50 mikron vagy annál nagyobb falvastagságú </w:t>
      </w:r>
      <w:proofErr w:type="spellStart"/>
      <w:r>
        <w:rPr>
          <w:rFonts w:ascii="Arial" w:hAnsi="Arial"/>
          <w:sz w:val="22"/>
        </w:rPr>
        <w:t>hordtasakok</w:t>
      </w:r>
      <w:proofErr w:type="spellEnd"/>
      <w:r>
        <w:rPr>
          <w:rFonts w:ascii="Arial" w:hAnsi="Arial"/>
          <w:sz w:val="22"/>
        </w:rPr>
        <w:t xml:space="preserve">: 15 </w:t>
      </w:r>
      <w:proofErr w:type="spellStart"/>
      <w:r>
        <w:rPr>
          <w:rFonts w:ascii="Arial" w:hAnsi="Arial"/>
          <w:sz w:val="22"/>
        </w:rPr>
        <w:t>eurócent</w:t>
      </w:r>
      <w:proofErr w:type="spellEnd"/>
      <w:r>
        <w:rPr>
          <w:rFonts w:ascii="Arial" w:hAnsi="Arial"/>
          <w:sz w:val="22"/>
        </w:rPr>
        <w:t>/</w:t>
      </w:r>
      <w:proofErr w:type="spellStart"/>
      <w:r>
        <w:rPr>
          <w:rFonts w:ascii="Arial" w:hAnsi="Arial"/>
          <w:sz w:val="22"/>
        </w:rPr>
        <w:t>hordtasak</w:t>
      </w:r>
      <w:proofErr w:type="spellEnd"/>
    </w:p>
    <w:p w:rsidR="00097EA7" w:rsidRPr="00E6754E" w:rsidRDefault="00097EA7" w:rsidP="00097EA7">
      <w:pPr>
        <w:ind w:left="851" w:right="339"/>
        <w:jc w:val="both"/>
        <w:rPr>
          <w:rFonts w:ascii="Arial" w:hAnsi="Arial" w:cs="Arial"/>
          <w:sz w:val="22"/>
          <w:szCs w:val="22"/>
        </w:rPr>
      </w:pPr>
    </w:p>
    <w:p w:rsidR="00097EA7" w:rsidRPr="00E6754E" w:rsidRDefault="00097EA7" w:rsidP="00097EA7">
      <w:pPr>
        <w:ind w:left="851" w:right="339"/>
        <w:jc w:val="both"/>
        <w:rPr>
          <w:rFonts w:ascii="Arial" w:hAnsi="Arial" w:cs="Arial"/>
          <w:sz w:val="22"/>
          <w:szCs w:val="22"/>
        </w:rPr>
      </w:pPr>
      <w:r>
        <w:rPr>
          <w:rFonts w:ascii="Arial" w:hAnsi="Arial"/>
          <w:sz w:val="22"/>
        </w:rPr>
        <w:t xml:space="preserve">50 mikron vagy annál nagyobb falvastagságú </w:t>
      </w:r>
      <w:proofErr w:type="spellStart"/>
      <w:r>
        <w:rPr>
          <w:rFonts w:ascii="Arial" w:hAnsi="Arial"/>
          <w:sz w:val="22"/>
        </w:rPr>
        <w:t>hordtasakok</w:t>
      </w:r>
      <w:proofErr w:type="spellEnd"/>
      <w:r>
        <w:rPr>
          <w:rFonts w:ascii="Arial" w:hAnsi="Arial"/>
          <w:sz w:val="22"/>
        </w:rPr>
        <w:t xml:space="preserve">, amelyekben az </w:t>
      </w:r>
      <w:proofErr w:type="spellStart"/>
      <w:r>
        <w:rPr>
          <w:rFonts w:ascii="Arial" w:hAnsi="Arial"/>
          <w:sz w:val="22"/>
        </w:rPr>
        <w:t>újrafeldolgozott</w:t>
      </w:r>
      <w:proofErr w:type="spellEnd"/>
      <w:r>
        <w:rPr>
          <w:rFonts w:ascii="Arial" w:hAnsi="Arial"/>
          <w:sz w:val="22"/>
        </w:rPr>
        <w:t xml:space="preserve"> műanyag 50</w:t>
      </w:r>
      <w:r w:rsidR="000E35CE">
        <w:rPr>
          <w:rFonts w:ascii="Arial" w:hAnsi="Arial"/>
          <w:sz w:val="22"/>
        </w:rPr>
        <w:t>–70</w:t>
      </w:r>
      <w:r>
        <w:rPr>
          <w:rFonts w:ascii="Arial" w:hAnsi="Arial"/>
          <w:sz w:val="22"/>
        </w:rPr>
        <w:t>%</w:t>
      </w:r>
      <w:r w:rsidR="006E3791">
        <w:rPr>
          <w:rFonts w:ascii="Arial" w:hAnsi="Arial"/>
          <w:sz w:val="22"/>
        </w:rPr>
        <w:t xml:space="preserve"> </w:t>
      </w:r>
      <w:r>
        <w:rPr>
          <w:rFonts w:ascii="Arial" w:hAnsi="Arial"/>
          <w:sz w:val="22"/>
        </w:rPr>
        <w:t xml:space="preserve">arányban van jelen: 10 </w:t>
      </w:r>
      <w:proofErr w:type="spellStart"/>
      <w:r>
        <w:rPr>
          <w:rFonts w:ascii="Arial" w:hAnsi="Arial"/>
          <w:sz w:val="22"/>
        </w:rPr>
        <w:t>eurócent</w:t>
      </w:r>
      <w:proofErr w:type="spellEnd"/>
      <w:r>
        <w:rPr>
          <w:rFonts w:ascii="Arial" w:hAnsi="Arial"/>
          <w:sz w:val="22"/>
        </w:rPr>
        <w:t>/</w:t>
      </w:r>
      <w:proofErr w:type="spellStart"/>
      <w:r>
        <w:rPr>
          <w:rFonts w:ascii="Arial" w:hAnsi="Arial"/>
          <w:sz w:val="22"/>
        </w:rPr>
        <w:t>hordtasak</w:t>
      </w:r>
      <w:proofErr w:type="spellEnd"/>
    </w:p>
    <w:p w:rsidR="00097EA7" w:rsidRPr="00E6754E" w:rsidRDefault="00097EA7" w:rsidP="00097EA7">
      <w:pPr>
        <w:pageBreakBefore/>
        <w:ind w:left="851" w:right="339"/>
        <w:jc w:val="center"/>
        <w:rPr>
          <w:rFonts w:ascii="Arial" w:hAnsi="Arial" w:cs="Arial"/>
          <w:sz w:val="22"/>
          <w:szCs w:val="22"/>
        </w:rPr>
      </w:pPr>
      <w:r>
        <w:rPr>
          <w:rFonts w:ascii="Arial" w:hAnsi="Arial"/>
          <w:sz w:val="22"/>
        </w:rPr>
        <w:t>II. MELLÉKLET</w:t>
      </w:r>
    </w:p>
    <w:p w:rsidR="00097EA7" w:rsidRPr="00E6754E" w:rsidRDefault="00097EA7" w:rsidP="00097EA7">
      <w:pPr>
        <w:ind w:left="851" w:right="339"/>
        <w:jc w:val="center"/>
        <w:rPr>
          <w:rFonts w:ascii="Arial" w:hAnsi="Arial" w:cs="Arial"/>
          <w:sz w:val="22"/>
          <w:szCs w:val="22"/>
        </w:rPr>
      </w:pPr>
    </w:p>
    <w:p w:rsidR="00097EA7" w:rsidRPr="00E6754E" w:rsidRDefault="00097EA7" w:rsidP="00097EA7">
      <w:pPr>
        <w:ind w:left="851" w:right="339"/>
        <w:jc w:val="center"/>
        <w:rPr>
          <w:rFonts w:ascii="Arial" w:hAnsi="Arial" w:cs="Arial"/>
          <w:b/>
          <w:sz w:val="22"/>
          <w:szCs w:val="22"/>
        </w:rPr>
      </w:pPr>
      <w:r>
        <w:rPr>
          <w:rFonts w:ascii="Arial" w:hAnsi="Arial"/>
          <w:b/>
          <w:sz w:val="22"/>
        </w:rPr>
        <w:t xml:space="preserve">A </w:t>
      </w:r>
      <w:r w:rsidR="00DC7F9A">
        <w:rPr>
          <w:rFonts w:ascii="Arial" w:hAnsi="Arial"/>
          <w:b/>
          <w:sz w:val="22"/>
        </w:rPr>
        <w:t>Termék</w:t>
      </w:r>
      <w:r>
        <w:rPr>
          <w:rFonts w:ascii="Arial" w:hAnsi="Arial"/>
          <w:b/>
          <w:sz w:val="22"/>
        </w:rPr>
        <w:t>gyártó</w:t>
      </w:r>
      <w:r w:rsidR="00DC7F9A">
        <w:rPr>
          <w:rFonts w:ascii="Arial" w:hAnsi="Arial"/>
          <w:b/>
          <w:sz w:val="22"/>
        </w:rPr>
        <w:t>k</w:t>
      </w:r>
      <w:r>
        <w:rPr>
          <w:rFonts w:ascii="Arial" w:hAnsi="Arial"/>
          <w:b/>
          <w:sz w:val="22"/>
        </w:rPr>
        <w:t xml:space="preserve"> </w:t>
      </w:r>
      <w:r w:rsidR="00DC7F9A">
        <w:rPr>
          <w:rFonts w:ascii="Arial" w:hAnsi="Arial"/>
          <w:b/>
          <w:sz w:val="22"/>
        </w:rPr>
        <w:t>N</w:t>
      </w:r>
      <w:r>
        <w:rPr>
          <w:rFonts w:ascii="Arial" w:hAnsi="Arial"/>
          <w:b/>
          <w:sz w:val="22"/>
        </w:rPr>
        <w:t>yilvántartás</w:t>
      </w:r>
      <w:r w:rsidR="00DC7F9A">
        <w:rPr>
          <w:rFonts w:ascii="Arial" w:hAnsi="Arial"/>
          <w:b/>
          <w:sz w:val="22"/>
        </w:rPr>
        <w:t>á</w:t>
      </w:r>
      <w:r>
        <w:rPr>
          <w:rFonts w:ascii="Arial" w:hAnsi="Arial"/>
          <w:b/>
          <w:sz w:val="22"/>
        </w:rPr>
        <w:t xml:space="preserve">ba való bejegyzés és a műanyag </w:t>
      </w:r>
      <w:proofErr w:type="spellStart"/>
      <w:r>
        <w:rPr>
          <w:rFonts w:ascii="Arial" w:hAnsi="Arial"/>
          <w:b/>
          <w:sz w:val="22"/>
        </w:rPr>
        <w:t>hordtasakokkal</w:t>
      </w:r>
      <w:proofErr w:type="spellEnd"/>
      <w:r>
        <w:rPr>
          <w:rFonts w:ascii="Arial" w:hAnsi="Arial"/>
          <w:b/>
          <w:sz w:val="22"/>
        </w:rPr>
        <w:t xml:space="preserve"> kapcsolatos </w:t>
      </w:r>
      <w:r w:rsidR="001E1421">
        <w:rPr>
          <w:rFonts w:ascii="Arial" w:hAnsi="Arial"/>
          <w:b/>
          <w:sz w:val="22"/>
        </w:rPr>
        <w:t xml:space="preserve">benyújtandó </w:t>
      </w:r>
      <w:r>
        <w:rPr>
          <w:rFonts w:ascii="Arial" w:hAnsi="Arial"/>
          <w:b/>
          <w:sz w:val="22"/>
        </w:rPr>
        <w:t>éves adatok</w:t>
      </w:r>
    </w:p>
    <w:p w:rsidR="00097EA7" w:rsidRPr="00E6754E" w:rsidRDefault="00097EA7" w:rsidP="00097EA7">
      <w:pPr>
        <w:ind w:left="851" w:right="339"/>
        <w:jc w:val="center"/>
        <w:rPr>
          <w:rFonts w:ascii="Arial" w:hAnsi="Arial" w:cs="Arial"/>
          <w:sz w:val="22"/>
          <w:szCs w:val="22"/>
        </w:rPr>
      </w:pPr>
    </w:p>
    <w:p w:rsidR="00097EA7" w:rsidRPr="00E6754E" w:rsidRDefault="00097EA7" w:rsidP="00097EA7">
      <w:pPr>
        <w:ind w:left="851" w:right="339"/>
        <w:jc w:val="center"/>
        <w:rPr>
          <w:rFonts w:ascii="Arial" w:hAnsi="Arial" w:cs="Arial"/>
          <w:sz w:val="22"/>
          <w:szCs w:val="22"/>
        </w:rPr>
      </w:pPr>
    </w:p>
    <w:p w:rsidR="00097EA7" w:rsidRPr="00E6754E" w:rsidRDefault="00097EA7" w:rsidP="00D61F6E">
      <w:pPr>
        <w:pStyle w:val="Pa10"/>
        <w:spacing w:before="160"/>
        <w:ind w:left="851" w:right="339"/>
        <w:rPr>
          <w:sz w:val="22"/>
          <w:szCs w:val="22"/>
        </w:rPr>
      </w:pPr>
      <w:r>
        <w:rPr>
          <w:sz w:val="22"/>
        </w:rPr>
        <w:t xml:space="preserve">1. </w:t>
      </w:r>
      <w:r w:rsidR="00DC7F9A">
        <w:rPr>
          <w:sz w:val="22"/>
        </w:rPr>
        <w:t>A Termékgyártók Nyilvántartásába való bejegyzéssel kapcsolatos adatok</w:t>
      </w:r>
    </w:p>
    <w:p w:rsidR="00097EA7" w:rsidRPr="00E6754E" w:rsidRDefault="00097EA7" w:rsidP="00097EA7">
      <w:pPr>
        <w:pStyle w:val="Pa7"/>
        <w:spacing w:before="160"/>
        <w:ind w:left="851" w:right="339" w:firstLine="340"/>
        <w:jc w:val="both"/>
        <w:rPr>
          <w:sz w:val="22"/>
          <w:szCs w:val="22"/>
        </w:rPr>
      </w:pPr>
      <w:r>
        <w:rPr>
          <w:sz w:val="22"/>
        </w:rPr>
        <w:t xml:space="preserve">A műanyag </w:t>
      </w:r>
      <w:proofErr w:type="spellStart"/>
      <w:r>
        <w:rPr>
          <w:sz w:val="22"/>
        </w:rPr>
        <w:t>hordtasakok</w:t>
      </w:r>
      <w:proofErr w:type="spellEnd"/>
      <w:r>
        <w:rPr>
          <w:sz w:val="22"/>
        </w:rPr>
        <w:t xml:space="preserve"> gyártói – a bejegyzés során – a következő adatokat kötelesek megadni és frissíteni:</w:t>
      </w:r>
    </w:p>
    <w:p w:rsidR="00097EA7" w:rsidRPr="00E6754E" w:rsidRDefault="00097EA7" w:rsidP="00097EA7">
      <w:pPr>
        <w:pStyle w:val="Pa7"/>
        <w:spacing w:before="160"/>
        <w:ind w:left="851" w:right="339" w:firstLine="340"/>
        <w:jc w:val="both"/>
        <w:rPr>
          <w:sz w:val="22"/>
          <w:szCs w:val="22"/>
        </w:rPr>
      </w:pPr>
      <w:r>
        <w:rPr>
          <w:sz w:val="22"/>
        </w:rPr>
        <w:t xml:space="preserve">a) </w:t>
      </w:r>
      <w:proofErr w:type="spellStart"/>
      <w:r>
        <w:rPr>
          <w:sz w:val="22"/>
        </w:rPr>
        <w:t>A</w:t>
      </w:r>
      <w:proofErr w:type="spellEnd"/>
      <w:r>
        <w:rPr>
          <w:sz w:val="22"/>
        </w:rPr>
        <w:t xml:space="preserve"> gyártó vagy a meghatalmazott képviselője neve, címe, az irányítószámot, települést, utcát és házszámot, országot, telefonszámot, faxszámot, elektronikus postacímet és kapcsolattartó személyt tartalmazóan. Amennyiben meghatalmazott képviselő jár el, az általa képviselt gyártó kapcsolattartási adatait is meg kell adni. </w:t>
      </w:r>
    </w:p>
    <w:p w:rsidR="00097EA7" w:rsidRPr="00E6754E" w:rsidRDefault="00097EA7" w:rsidP="00097EA7">
      <w:pPr>
        <w:pStyle w:val="Pa7"/>
        <w:spacing w:before="160"/>
        <w:ind w:left="851" w:right="339" w:firstLine="340"/>
        <w:jc w:val="both"/>
        <w:rPr>
          <w:sz w:val="22"/>
          <w:szCs w:val="22"/>
        </w:rPr>
      </w:pPr>
      <w:r>
        <w:rPr>
          <w:sz w:val="22"/>
        </w:rPr>
        <w:t>b) Európai adóazonosító szám, illetve nemzeti adóazonosító szám.</w:t>
      </w:r>
    </w:p>
    <w:p w:rsidR="00097EA7" w:rsidRPr="00E6754E" w:rsidRDefault="00097EA7" w:rsidP="00097EA7">
      <w:pPr>
        <w:pStyle w:val="Pa7"/>
        <w:spacing w:before="160"/>
        <w:ind w:left="851" w:right="339" w:firstLine="340"/>
        <w:jc w:val="both"/>
        <w:rPr>
          <w:sz w:val="22"/>
          <w:szCs w:val="22"/>
        </w:rPr>
      </w:pPr>
      <w:r>
        <w:rPr>
          <w:sz w:val="22"/>
        </w:rPr>
        <w:t>c) A megadott információk valódiságával kapcsolatos nyilatkozat.</w:t>
      </w:r>
    </w:p>
    <w:p w:rsidR="00097EA7" w:rsidRPr="00E6754E" w:rsidRDefault="00097EA7" w:rsidP="00097EA7">
      <w:pPr>
        <w:ind w:left="851" w:right="339"/>
        <w:jc w:val="both"/>
        <w:rPr>
          <w:rFonts w:ascii="Arial" w:hAnsi="Arial" w:cs="Arial"/>
          <w:sz w:val="22"/>
          <w:szCs w:val="22"/>
        </w:rPr>
      </w:pPr>
    </w:p>
    <w:p w:rsidR="00097EA7" w:rsidRPr="00E6754E" w:rsidRDefault="00D532AA" w:rsidP="00F7772F">
      <w:pPr>
        <w:pStyle w:val="Pa10"/>
        <w:spacing w:before="160"/>
        <w:ind w:left="851" w:right="339"/>
      </w:pPr>
      <w:r>
        <w:t xml:space="preserve">2. A gyártók </w:t>
      </w:r>
      <w:r w:rsidRPr="00F7772F">
        <w:rPr>
          <w:sz w:val="22"/>
        </w:rPr>
        <w:t>által</w:t>
      </w:r>
      <w:r>
        <w:t xml:space="preserve"> </w:t>
      </w:r>
      <w:r w:rsidR="001E1421">
        <w:t>benyújtandó</w:t>
      </w:r>
      <w:r>
        <w:t xml:space="preserve">, nemzeti forgalomba hozott műanyag </w:t>
      </w:r>
      <w:proofErr w:type="spellStart"/>
      <w:r>
        <w:t>hordtasakokra</w:t>
      </w:r>
      <w:proofErr w:type="spellEnd"/>
      <w:r>
        <w:t xml:space="preserve"> vonatkozó éves adatok</w:t>
      </w:r>
    </w:p>
    <w:p w:rsidR="00097EA7" w:rsidRPr="00E6754E" w:rsidRDefault="00097EA7" w:rsidP="00097EA7">
      <w:pPr>
        <w:ind w:firstLine="708"/>
        <w:rPr>
          <w:rFonts w:ascii="Arial" w:hAnsi="Arial" w:cs="Arial"/>
          <w:sz w:val="22"/>
          <w:szCs w:val="22"/>
        </w:rPr>
      </w:pPr>
    </w:p>
    <w:p w:rsidR="00097EA7" w:rsidRPr="00E6754E" w:rsidRDefault="00097EA7" w:rsidP="00097EA7">
      <w:pPr>
        <w:ind w:firstLine="708"/>
        <w:rPr>
          <w:rFonts w:ascii="Arial" w:hAnsi="Arial" w:cs="Arial"/>
          <w:sz w:val="22"/>
          <w:szCs w:val="22"/>
        </w:rPr>
      </w:pPr>
    </w:p>
    <w:tbl>
      <w:tblPr>
        <w:tblW w:w="5000" w:type="pct"/>
        <w:tblLook w:val="04A0" w:firstRow="1" w:lastRow="0" w:firstColumn="1" w:lastColumn="0" w:noHBand="0" w:noVBand="1"/>
      </w:tblPr>
      <w:tblGrid>
        <w:gridCol w:w="743"/>
        <w:gridCol w:w="606"/>
        <w:gridCol w:w="757"/>
        <w:gridCol w:w="496"/>
        <w:gridCol w:w="900"/>
        <w:gridCol w:w="605"/>
        <w:gridCol w:w="757"/>
        <w:gridCol w:w="496"/>
        <w:gridCol w:w="900"/>
        <w:gridCol w:w="605"/>
        <w:gridCol w:w="757"/>
        <w:gridCol w:w="496"/>
        <w:gridCol w:w="605"/>
        <w:gridCol w:w="757"/>
        <w:gridCol w:w="496"/>
      </w:tblGrid>
      <w:tr w:rsidR="00D532AA" w:rsidRPr="00E6754E" w:rsidTr="00F7772F">
        <w:tc>
          <w:tcPr>
            <w:tcW w:w="427" w:type="pct"/>
            <w:vMerge w:val="restart"/>
            <w:shd w:val="clear" w:color="auto" w:fill="auto"/>
            <w:vAlign w:val="center"/>
          </w:tcPr>
          <w:p w:rsidR="00D532AA" w:rsidRPr="00E6754E" w:rsidRDefault="00D532AA" w:rsidP="00097EA7">
            <w:pPr>
              <w:jc w:val="center"/>
              <w:rPr>
                <w:rFonts w:ascii="Arial" w:hAnsi="Arial" w:cs="Arial"/>
                <w:sz w:val="16"/>
                <w:szCs w:val="16"/>
              </w:rPr>
            </w:pPr>
            <w:r>
              <w:rPr>
                <w:rFonts w:ascii="Arial" w:hAnsi="Arial"/>
                <w:sz w:val="16"/>
              </w:rPr>
              <w:t>Falvastagság (mikron)</w:t>
            </w:r>
          </w:p>
        </w:tc>
        <w:tc>
          <w:tcPr>
            <w:tcW w:w="1569" w:type="pct"/>
            <w:gridSpan w:val="4"/>
            <w:shd w:val="clear" w:color="auto" w:fill="auto"/>
          </w:tcPr>
          <w:p w:rsidR="00D532AA" w:rsidRPr="00E6754E" w:rsidRDefault="00D532AA" w:rsidP="00097EA7">
            <w:pPr>
              <w:rPr>
                <w:rFonts w:ascii="Arial" w:hAnsi="Arial" w:cs="Arial"/>
                <w:sz w:val="16"/>
                <w:szCs w:val="16"/>
              </w:rPr>
            </w:pPr>
            <w:r>
              <w:rPr>
                <w:rFonts w:ascii="Arial" w:hAnsi="Arial"/>
                <w:sz w:val="16"/>
              </w:rPr>
              <w:t xml:space="preserve">Nagy sűrűségű polietilén műanyag </w:t>
            </w:r>
            <w:proofErr w:type="spellStart"/>
            <w:r>
              <w:rPr>
                <w:rFonts w:ascii="Arial" w:hAnsi="Arial"/>
                <w:sz w:val="16"/>
              </w:rPr>
              <w:t>hordtasakok</w:t>
            </w:r>
            <w:proofErr w:type="spellEnd"/>
          </w:p>
        </w:tc>
        <w:tc>
          <w:tcPr>
            <w:tcW w:w="1568" w:type="pct"/>
            <w:gridSpan w:val="4"/>
            <w:shd w:val="clear" w:color="auto" w:fill="auto"/>
          </w:tcPr>
          <w:p w:rsidR="00D532AA" w:rsidRPr="00E6754E" w:rsidRDefault="00D532AA" w:rsidP="00097EA7">
            <w:pPr>
              <w:rPr>
                <w:rFonts w:ascii="Arial" w:hAnsi="Arial" w:cs="Arial"/>
                <w:sz w:val="16"/>
                <w:szCs w:val="16"/>
              </w:rPr>
            </w:pPr>
            <w:r>
              <w:rPr>
                <w:rFonts w:ascii="Arial" w:hAnsi="Arial"/>
                <w:sz w:val="16"/>
              </w:rPr>
              <w:t xml:space="preserve">Kis sűrűségű polietilén műanyag </w:t>
            </w:r>
            <w:proofErr w:type="spellStart"/>
            <w:r>
              <w:rPr>
                <w:rFonts w:ascii="Arial" w:hAnsi="Arial"/>
                <w:sz w:val="16"/>
              </w:rPr>
              <w:t>hordtasakok</w:t>
            </w:r>
            <w:proofErr w:type="spellEnd"/>
          </w:p>
        </w:tc>
        <w:tc>
          <w:tcPr>
            <w:tcW w:w="1038" w:type="pct"/>
            <w:gridSpan w:val="3"/>
            <w:shd w:val="clear" w:color="auto" w:fill="auto"/>
          </w:tcPr>
          <w:p w:rsidR="00D532AA" w:rsidRPr="00E6754E" w:rsidRDefault="00D532AA" w:rsidP="00097EA7">
            <w:pPr>
              <w:rPr>
                <w:rFonts w:ascii="Arial" w:hAnsi="Arial" w:cs="Arial"/>
                <w:sz w:val="16"/>
                <w:szCs w:val="16"/>
              </w:rPr>
            </w:pPr>
            <w:r>
              <w:rPr>
                <w:rFonts w:ascii="Arial" w:hAnsi="Arial"/>
                <w:sz w:val="16"/>
              </w:rPr>
              <w:t xml:space="preserve">Komposztálható műanyag </w:t>
            </w:r>
            <w:proofErr w:type="spellStart"/>
            <w:r>
              <w:rPr>
                <w:rFonts w:ascii="Arial" w:hAnsi="Arial"/>
                <w:sz w:val="16"/>
              </w:rPr>
              <w:t>hordtasakok</w:t>
            </w:r>
            <w:proofErr w:type="spellEnd"/>
          </w:p>
        </w:tc>
        <w:tc>
          <w:tcPr>
            <w:tcW w:w="398" w:type="pct"/>
            <w:gridSpan w:val="3"/>
          </w:tcPr>
          <w:p w:rsidR="00D532AA" w:rsidRDefault="00D532AA" w:rsidP="00D61F6E">
            <w:pPr>
              <w:jc w:val="center"/>
              <w:rPr>
                <w:rFonts w:ascii="Arial" w:hAnsi="Arial"/>
                <w:sz w:val="16"/>
              </w:rPr>
            </w:pPr>
            <w:r>
              <w:rPr>
                <w:rFonts w:ascii="Arial" w:hAnsi="Arial"/>
                <w:sz w:val="16"/>
              </w:rPr>
              <w:t>Egyéb típusú műanyagból készült tasakok</w:t>
            </w:r>
          </w:p>
        </w:tc>
      </w:tr>
      <w:tr w:rsidR="00D532AA" w:rsidRPr="00E6754E" w:rsidTr="00F7772F">
        <w:tc>
          <w:tcPr>
            <w:tcW w:w="427" w:type="pct"/>
            <w:vMerge/>
            <w:shd w:val="clear" w:color="auto" w:fill="auto"/>
            <w:vAlign w:val="center"/>
          </w:tcPr>
          <w:p w:rsidR="00D532AA" w:rsidRPr="00E6754E" w:rsidRDefault="00D532AA" w:rsidP="00097EA7">
            <w:pPr>
              <w:jc w:val="center"/>
              <w:rPr>
                <w:rFonts w:ascii="Arial" w:hAnsi="Arial" w:cs="Arial"/>
                <w:sz w:val="16"/>
                <w:szCs w:val="16"/>
              </w:rPr>
            </w:pPr>
          </w:p>
        </w:tc>
        <w:tc>
          <w:tcPr>
            <w:tcW w:w="337" w:type="pct"/>
            <w:shd w:val="clear" w:color="auto" w:fill="auto"/>
          </w:tcPr>
          <w:p w:rsidR="00D532AA" w:rsidRPr="00E6754E" w:rsidRDefault="00D532AA" w:rsidP="00097EA7">
            <w:pPr>
              <w:rPr>
                <w:rFonts w:ascii="Arial" w:hAnsi="Arial" w:cs="Arial"/>
                <w:sz w:val="16"/>
                <w:szCs w:val="16"/>
              </w:rPr>
            </w:pPr>
            <w:r>
              <w:rPr>
                <w:rFonts w:ascii="Arial" w:hAnsi="Arial"/>
                <w:sz w:val="16"/>
              </w:rPr>
              <w:t>Egységek</w:t>
            </w:r>
          </w:p>
        </w:tc>
        <w:tc>
          <w:tcPr>
            <w:tcW w:w="437" w:type="pct"/>
            <w:shd w:val="clear" w:color="auto" w:fill="auto"/>
          </w:tcPr>
          <w:p w:rsidR="00D532AA" w:rsidRPr="00E6754E" w:rsidRDefault="00D532AA" w:rsidP="00097EA7">
            <w:pPr>
              <w:rPr>
                <w:rFonts w:ascii="Arial" w:hAnsi="Arial" w:cs="Arial"/>
                <w:sz w:val="16"/>
                <w:szCs w:val="16"/>
              </w:rPr>
            </w:pPr>
            <w:r>
              <w:rPr>
                <w:rFonts w:ascii="Arial" w:hAnsi="Arial"/>
                <w:sz w:val="16"/>
              </w:rPr>
              <w:t>Egységtömeg (g/</w:t>
            </w:r>
            <w:proofErr w:type="spellStart"/>
            <w:r>
              <w:rPr>
                <w:rFonts w:ascii="Arial" w:hAnsi="Arial"/>
                <w:sz w:val="16"/>
              </w:rPr>
              <w:t>hordtasak</w:t>
            </w:r>
            <w:proofErr w:type="spellEnd"/>
            <w:r>
              <w:rPr>
                <w:rFonts w:ascii="Arial" w:hAnsi="Arial"/>
                <w:sz w:val="16"/>
              </w:rPr>
              <w:t>)</w:t>
            </w:r>
          </w:p>
        </w:tc>
        <w:tc>
          <w:tcPr>
            <w:tcW w:w="266" w:type="pct"/>
            <w:shd w:val="clear" w:color="auto" w:fill="auto"/>
          </w:tcPr>
          <w:p w:rsidR="00D532AA" w:rsidRPr="00E6754E" w:rsidRDefault="00D532AA" w:rsidP="00097EA7">
            <w:pPr>
              <w:rPr>
                <w:rFonts w:ascii="Arial" w:hAnsi="Arial" w:cs="Arial"/>
                <w:sz w:val="16"/>
                <w:szCs w:val="16"/>
              </w:rPr>
            </w:pPr>
            <w:r>
              <w:rPr>
                <w:rFonts w:ascii="Arial" w:hAnsi="Arial"/>
                <w:sz w:val="16"/>
              </w:rPr>
              <w:t>Tömeg (tonna)</w:t>
            </w:r>
          </w:p>
        </w:tc>
        <w:tc>
          <w:tcPr>
            <w:tcW w:w="530" w:type="pct"/>
            <w:shd w:val="clear" w:color="auto" w:fill="auto"/>
          </w:tcPr>
          <w:p w:rsidR="00D532AA" w:rsidRPr="00E6754E" w:rsidRDefault="00D532AA" w:rsidP="00097EA7">
            <w:pPr>
              <w:rPr>
                <w:rFonts w:ascii="Arial" w:hAnsi="Arial" w:cs="Arial"/>
                <w:sz w:val="16"/>
                <w:szCs w:val="16"/>
              </w:rPr>
            </w:pPr>
            <w:r>
              <w:rPr>
                <w:rFonts w:ascii="Arial" w:hAnsi="Arial"/>
                <w:sz w:val="16"/>
              </w:rPr>
              <w:t>Újrafelhasznált műanyagtartalom (%)</w:t>
            </w:r>
          </w:p>
        </w:tc>
        <w:tc>
          <w:tcPr>
            <w:tcW w:w="336" w:type="pct"/>
            <w:shd w:val="clear" w:color="auto" w:fill="auto"/>
          </w:tcPr>
          <w:p w:rsidR="00D532AA" w:rsidRPr="00E6754E" w:rsidRDefault="00D532AA" w:rsidP="00097EA7">
            <w:pPr>
              <w:rPr>
                <w:rFonts w:ascii="Arial" w:hAnsi="Arial" w:cs="Arial"/>
                <w:sz w:val="16"/>
                <w:szCs w:val="16"/>
              </w:rPr>
            </w:pPr>
            <w:r>
              <w:rPr>
                <w:rFonts w:ascii="Arial" w:hAnsi="Arial"/>
                <w:sz w:val="16"/>
              </w:rPr>
              <w:t>Egységek</w:t>
            </w:r>
          </w:p>
        </w:tc>
        <w:tc>
          <w:tcPr>
            <w:tcW w:w="436" w:type="pct"/>
            <w:shd w:val="clear" w:color="auto" w:fill="auto"/>
          </w:tcPr>
          <w:p w:rsidR="00D532AA" w:rsidRPr="00E6754E" w:rsidRDefault="00D532AA" w:rsidP="00097EA7">
            <w:pPr>
              <w:rPr>
                <w:rFonts w:ascii="Arial" w:hAnsi="Arial" w:cs="Arial"/>
                <w:sz w:val="16"/>
                <w:szCs w:val="16"/>
              </w:rPr>
            </w:pPr>
            <w:r>
              <w:rPr>
                <w:rFonts w:ascii="Arial" w:hAnsi="Arial"/>
                <w:sz w:val="16"/>
              </w:rPr>
              <w:t>Egységtömeg (g/</w:t>
            </w:r>
            <w:proofErr w:type="spellStart"/>
            <w:r>
              <w:rPr>
                <w:rFonts w:ascii="Arial" w:hAnsi="Arial"/>
                <w:sz w:val="16"/>
              </w:rPr>
              <w:t>hordtasak</w:t>
            </w:r>
            <w:proofErr w:type="spellEnd"/>
            <w:r>
              <w:rPr>
                <w:rFonts w:ascii="Arial" w:hAnsi="Arial"/>
                <w:sz w:val="16"/>
              </w:rPr>
              <w:t>)</w:t>
            </w:r>
          </w:p>
        </w:tc>
        <w:tc>
          <w:tcPr>
            <w:tcW w:w="265" w:type="pct"/>
            <w:shd w:val="clear" w:color="auto" w:fill="auto"/>
          </w:tcPr>
          <w:p w:rsidR="00D532AA" w:rsidRPr="00E6754E" w:rsidRDefault="00D532AA" w:rsidP="00097EA7">
            <w:pPr>
              <w:rPr>
                <w:rFonts w:ascii="Arial" w:hAnsi="Arial" w:cs="Arial"/>
                <w:sz w:val="16"/>
                <w:szCs w:val="16"/>
              </w:rPr>
            </w:pPr>
            <w:r>
              <w:rPr>
                <w:rFonts w:ascii="Arial" w:hAnsi="Arial"/>
                <w:sz w:val="16"/>
              </w:rPr>
              <w:t>Tömeg (tonna)</w:t>
            </w:r>
          </w:p>
        </w:tc>
        <w:tc>
          <w:tcPr>
            <w:tcW w:w="530" w:type="pct"/>
            <w:shd w:val="clear" w:color="auto" w:fill="auto"/>
          </w:tcPr>
          <w:p w:rsidR="00D532AA" w:rsidRPr="00E6754E" w:rsidRDefault="00D532AA" w:rsidP="00097EA7">
            <w:pPr>
              <w:rPr>
                <w:rFonts w:ascii="Arial" w:hAnsi="Arial" w:cs="Arial"/>
                <w:sz w:val="16"/>
                <w:szCs w:val="16"/>
              </w:rPr>
            </w:pPr>
            <w:r>
              <w:rPr>
                <w:rFonts w:ascii="Arial" w:hAnsi="Arial"/>
                <w:sz w:val="16"/>
              </w:rPr>
              <w:t>Újrafelhasznált műanyagtartalom (%)</w:t>
            </w:r>
          </w:p>
        </w:tc>
        <w:tc>
          <w:tcPr>
            <w:tcW w:w="336" w:type="pct"/>
            <w:shd w:val="clear" w:color="auto" w:fill="auto"/>
          </w:tcPr>
          <w:p w:rsidR="00D532AA" w:rsidRPr="00E6754E" w:rsidRDefault="00D532AA" w:rsidP="00097EA7">
            <w:pPr>
              <w:rPr>
                <w:rFonts w:ascii="Arial" w:hAnsi="Arial" w:cs="Arial"/>
                <w:sz w:val="16"/>
                <w:szCs w:val="16"/>
              </w:rPr>
            </w:pPr>
            <w:r>
              <w:rPr>
                <w:rFonts w:ascii="Arial" w:hAnsi="Arial"/>
                <w:sz w:val="16"/>
              </w:rPr>
              <w:t>Egységek</w:t>
            </w:r>
          </w:p>
        </w:tc>
        <w:tc>
          <w:tcPr>
            <w:tcW w:w="436" w:type="pct"/>
            <w:shd w:val="clear" w:color="auto" w:fill="auto"/>
          </w:tcPr>
          <w:p w:rsidR="00D532AA" w:rsidRPr="00E6754E" w:rsidRDefault="00D532AA" w:rsidP="00097EA7">
            <w:pPr>
              <w:rPr>
                <w:rFonts w:ascii="Arial" w:hAnsi="Arial" w:cs="Arial"/>
                <w:sz w:val="16"/>
                <w:szCs w:val="16"/>
              </w:rPr>
            </w:pPr>
            <w:r>
              <w:rPr>
                <w:rFonts w:ascii="Arial" w:hAnsi="Arial"/>
                <w:sz w:val="16"/>
              </w:rPr>
              <w:t>Egységtömeg (g/</w:t>
            </w:r>
            <w:proofErr w:type="spellStart"/>
            <w:r>
              <w:rPr>
                <w:rFonts w:ascii="Arial" w:hAnsi="Arial"/>
                <w:sz w:val="16"/>
              </w:rPr>
              <w:t>hordtasak</w:t>
            </w:r>
            <w:proofErr w:type="spellEnd"/>
            <w:r>
              <w:rPr>
                <w:rFonts w:ascii="Arial" w:hAnsi="Arial"/>
                <w:sz w:val="16"/>
              </w:rPr>
              <w:t>)</w:t>
            </w:r>
          </w:p>
        </w:tc>
        <w:tc>
          <w:tcPr>
            <w:tcW w:w="265" w:type="pct"/>
            <w:shd w:val="clear" w:color="auto" w:fill="auto"/>
          </w:tcPr>
          <w:p w:rsidR="00D532AA" w:rsidRPr="00E6754E" w:rsidRDefault="00D532AA" w:rsidP="00097EA7">
            <w:pPr>
              <w:rPr>
                <w:rFonts w:ascii="Arial" w:hAnsi="Arial" w:cs="Arial"/>
                <w:sz w:val="16"/>
                <w:szCs w:val="16"/>
              </w:rPr>
            </w:pPr>
            <w:r>
              <w:rPr>
                <w:rFonts w:ascii="Arial" w:hAnsi="Arial"/>
                <w:sz w:val="16"/>
              </w:rPr>
              <w:t>Tömeg (tonna)</w:t>
            </w:r>
          </w:p>
        </w:tc>
        <w:tc>
          <w:tcPr>
            <w:tcW w:w="132" w:type="pct"/>
          </w:tcPr>
          <w:p w:rsidR="00D532AA" w:rsidRDefault="00D532AA" w:rsidP="00097EA7">
            <w:pPr>
              <w:rPr>
                <w:rFonts w:ascii="Arial" w:hAnsi="Arial"/>
                <w:sz w:val="16"/>
              </w:rPr>
            </w:pPr>
            <w:r>
              <w:rPr>
                <w:rFonts w:ascii="Arial" w:hAnsi="Arial"/>
                <w:sz w:val="16"/>
              </w:rPr>
              <w:t>Egységek</w:t>
            </w:r>
          </w:p>
        </w:tc>
        <w:tc>
          <w:tcPr>
            <w:tcW w:w="132" w:type="pct"/>
          </w:tcPr>
          <w:p w:rsidR="00D532AA" w:rsidRDefault="00D532AA" w:rsidP="00097EA7">
            <w:pPr>
              <w:rPr>
                <w:rFonts w:ascii="Arial" w:hAnsi="Arial"/>
                <w:sz w:val="16"/>
              </w:rPr>
            </w:pPr>
            <w:r>
              <w:rPr>
                <w:rFonts w:ascii="Arial" w:hAnsi="Arial"/>
                <w:sz w:val="16"/>
              </w:rPr>
              <w:t>Egységtömeg (g/</w:t>
            </w:r>
            <w:proofErr w:type="spellStart"/>
            <w:r>
              <w:rPr>
                <w:rFonts w:ascii="Arial" w:hAnsi="Arial"/>
                <w:sz w:val="16"/>
              </w:rPr>
              <w:t>hordtasak</w:t>
            </w:r>
            <w:proofErr w:type="spellEnd"/>
            <w:r>
              <w:rPr>
                <w:rFonts w:ascii="Arial" w:hAnsi="Arial"/>
                <w:sz w:val="16"/>
              </w:rPr>
              <w:t>)</w:t>
            </w:r>
          </w:p>
        </w:tc>
        <w:tc>
          <w:tcPr>
            <w:tcW w:w="133" w:type="pct"/>
          </w:tcPr>
          <w:p w:rsidR="00D532AA" w:rsidRDefault="00D532AA" w:rsidP="00097EA7">
            <w:pPr>
              <w:rPr>
                <w:rFonts w:ascii="Arial" w:hAnsi="Arial"/>
                <w:sz w:val="16"/>
              </w:rPr>
            </w:pPr>
            <w:r>
              <w:rPr>
                <w:rFonts w:ascii="Arial" w:hAnsi="Arial"/>
                <w:sz w:val="16"/>
              </w:rPr>
              <w:t>Tömeg (tonna)</w:t>
            </w:r>
          </w:p>
        </w:tc>
      </w:tr>
      <w:tr w:rsidR="00D532AA" w:rsidRPr="00E6754E" w:rsidTr="00F7772F">
        <w:tc>
          <w:tcPr>
            <w:tcW w:w="427" w:type="pct"/>
            <w:shd w:val="clear" w:color="auto" w:fill="auto"/>
            <w:vAlign w:val="center"/>
          </w:tcPr>
          <w:p w:rsidR="00D532AA" w:rsidRPr="00E6754E" w:rsidRDefault="00D532AA" w:rsidP="00097EA7">
            <w:pPr>
              <w:rPr>
                <w:rFonts w:ascii="Arial" w:hAnsi="Arial" w:cs="Arial"/>
                <w:sz w:val="16"/>
                <w:szCs w:val="16"/>
              </w:rPr>
            </w:pPr>
            <w:r>
              <w:rPr>
                <w:rFonts w:ascii="Arial" w:hAnsi="Arial"/>
                <w:sz w:val="16"/>
              </w:rPr>
              <w:t>15-nél kevesebb és díjmentes</w:t>
            </w:r>
          </w:p>
        </w:tc>
        <w:tc>
          <w:tcPr>
            <w:tcW w:w="337" w:type="pct"/>
            <w:shd w:val="clear" w:color="auto" w:fill="auto"/>
          </w:tcPr>
          <w:p w:rsidR="00D532AA" w:rsidRPr="00E6754E" w:rsidRDefault="00D532AA" w:rsidP="00097EA7">
            <w:pPr>
              <w:rPr>
                <w:rFonts w:ascii="Arial" w:hAnsi="Arial" w:cs="Arial"/>
                <w:sz w:val="16"/>
                <w:szCs w:val="16"/>
              </w:rPr>
            </w:pPr>
          </w:p>
        </w:tc>
        <w:tc>
          <w:tcPr>
            <w:tcW w:w="437" w:type="pct"/>
            <w:shd w:val="clear" w:color="auto" w:fill="auto"/>
          </w:tcPr>
          <w:p w:rsidR="00D532AA" w:rsidRPr="00E6754E" w:rsidRDefault="00D532AA" w:rsidP="00097EA7">
            <w:pPr>
              <w:rPr>
                <w:rFonts w:ascii="Arial" w:hAnsi="Arial" w:cs="Arial"/>
                <w:sz w:val="16"/>
                <w:szCs w:val="16"/>
              </w:rPr>
            </w:pPr>
          </w:p>
        </w:tc>
        <w:tc>
          <w:tcPr>
            <w:tcW w:w="266" w:type="pct"/>
            <w:shd w:val="clear" w:color="auto" w:fill="auto"/>
          </w:tcPr>
          <w:p w:rsidR="00D532AA" w:rsidRPr="00E6754E" w:rsidRDefault="00D532AA" w:rsidP="00097EA7">
            <w:pPr>
              <w:rPr>
                <w:rFonts w:ascii="Arial" w:hAnsi="Arial" w:cs="Arial"/>
                <w:sz w:val="16"/>
                <w:szCs w:val="16"/>
              </w:rPr>
            </w:pPr>
          </w:p>
        </w:tc>
        <w:tc>
          <w:tcPr>
            <w:tcW w:w="530" w:type="pct"/>
            <w:shd w:val="clear" w:color="auto" w:fill="auto"/>
          </w:tcPr>
          <w:p w:rsidR="00D532AA" w:rsidRPr="00E6754E" w:rsidRDefault="00D532AA" w:rsidP="00097EA7">
            <w:pPr>
              <w:rPr>
                <w:rFonts w:ascii="Arial" w:hAnsi="Arial" w:cs="Arial"/>
                <w:sz w:val="16"/>
                <w:szCs w:val="16"/>
              </w:rPr>
            </w:pPr>
          </w:p>
        </w:tc>
        <w:tc>
          <w:tcPr>
            <w:tcW w:w="336" w:type="pct"/>
            <w:shd w:val="clear" w:color="auto" w:fill="auto"/>
          </w:tcPr>
          <w:p w:rsidR="00D532AA" w:rsidRPr="00E6754E" w:rsidRDefault="00D532AA" w:rsidP="00097EA7">
            <w:pPr>
              <w:rPr>
                <w:rFonts w:ascii="Arial" w:hAnsi="Arial" w:cs="Arial"/>
                <w:sz w:val="16"/>
                <w:szCs w:val="16"/>
              </w:rPr>
            </w:pPr>
          </w:p>
        </w:tc>
        <w:tc>
          <w:tcPr>
            <w:tcW w:w="436" w:type="pct"/>
            <w:shd w:val="clear" w:color="auto" w:fill="auto"/>
          </w:tcPr>
          <w:p w:rsidR="00D532AA" w:rsidRPr="00E6754E" w:rsidRDefault="00D532AA" w:rsidP="00097EA7">
            <w:pPr>
              <w:rPr>
                <w:rFonts w:ascii="Arial" w:hAnsi="Arial" w:cs="Arial"/>
                <w:sz w:val="16"/>
                <w:szCs w:val="16"/>
              </w:rPr>
            </w:pPr>
          </w:p>
        </w:tc>
        <w:tc>
          <w:tcPr>
            <w:tcW w:w="265" w:type="pct"/>
            <w:shd w:val="clear" w:color="auto" w:fill="auto"/>
          </w:tcPr>
          <w:p w:rsidR="00D532AA" w:rsidRPr="00E6754E" w:rsidRDefault="00D532AA" w:rsidP="00097EA7">
            <w:pPr>
              <w:rPr>
                <w:rFonts w:ascii="Arial" w:hAnsi="Arial" w:cs="Arial"/>
                <w:sz w:val="16"/>
                <w:szCs w:val="16"/>
              </w:rPr>
            </w:pPr>
          </w:p>
        </w:tc>
        <w:tc>
          <w:tcPr>
            <w:tcW w:w="530" w:type="pct"/>
            <w:shd w:val="clear" w:color="auto" w:fill="auto"/>
          </w:tcPr>
          <w:p w:rsidR="00D532AA" w:rsidRPr="00E6754E" w:rsidRDefault="00D532AA" w:rsidP="00097EA7">
            <w:pPr>
              <w:rPr>
                <w:rFonts w:ascii="Arial" w:hAnsi="Arial" w:cs="Arial"/>
                <w:sz w:val="16"/>
                <w:szCs w:val="16"/>
              </w:rPr>
            </w:pPr>
          </w:p>
        </w:tc>
        <w:tc>
          <w:tcPr>
            <w:tcW w:w="336" w:type="pct"/>
            <w:shd w:val="clear" w:color="auto" w:fill="auto"/>
          </w:tcPr>
          <w:p w:rsidR="00D532AA" w:rsidRPr="00E6754E" w:rsidRDefault="00D532AA" w:rsidP="00097EA7">
            <w:pPr>
              <w:rPr>
                <w:rFonts w:ascii="Arial" w:hAnsi="Arial" w:cs="Arial"/>
                <w:sz w:val="16"/>
                <w:szCs w:val="16"/>
              </w:rPr>
            </w:pPr>
          </w:p>
        </w:tc>
        <w:tc>
          <w:tcPr>
            <w:tcW w:w="436" w:type="pct"/>
            <w:shd w:val="clear" w:color="auto" w:fill="auto"/>
          </w:tcPr>
          <w:p w:rsidR="00D532AA" w:rsidRPr="00E6754E" w:rsidRDefault="00D532AA" w:rsidP="00097EA7">
            <w:pPr>
              <w:rPr>
                <w:rFonts w:ascii="Arial" w:hAnsi="Arial" w:cs="Arial"/>
                <w:sz w:val="16"/>
                <w:szCs w:val="16"/>
              </w:rPr>
            </w:pPr>
          </w:p>
        </w:tc>
        <w:tc>
          <w:tcPr>
            <w:tcW w:w="265" w:type="pct"/>
            <w:shd w:val="clear" w:color="auto" w:fill="auto"/>
          </w:tcPr>
          <w:p w:rsidR="00D532AA" w:rsidRPr="00E6754E" w:rsidRDefault="00D532AA" w:rsidP="00097EA7">
            <w:pPr>
              <w:rPr>
                <w:rFonts w:ascii="Arial" w:hAnsi="Arial" w:cs="Arial"/>
                <w:sz w:val="16"/>
                <w:szCs w:val="16"/>
              </w:rPr>
            </w:pPr>
          </w:p>
        </w:tc>
        <w:tc>
          <w:tcPr>
            <w:tcW w:w="398" w:type="pct"/>
            <w:gridSpan w:val="3"/>
          </w:tcPr>
          <w:p w:rsidR="00D532AA" w:rsidRPr="00E6754E" w:rsidRDefault="00D532AA" w:rsidP="00097EA7">
            <w:pPr>
              <w:rPr>
                <w:rFonts w:ascii="Arial" w:hAnsi="Arial" w:cs="Arial"/>
                <w:sz w:val="16"/>
                <w:szCs w:val="16"/>
              </w:rPr>
            </w:pPr>
          </w:p>
        </w:tc>
      </w:tr>
      <w:tr w:rsidR="00D532AA" w:rsidRPr="00E6754E" w:rsidTr="00F7772F">
        <w:tc>
          <w:tcPr>
            <w:tcW w:w="427" w:type="pct"/>
            <w:shd w:val="clear" w:color="auto" w:fill="auto"/>
            <w:vAlign w:val="center"/>
          </w:tcPr>
          <w:p w:rsidR="00D532AA" w:rsidRPr="00E6754E" w:rsidRDefault="00D532AA" w:rsidP="00097EA7">
            <w:pPr>
              <w:rPr>
                <w:rFonts w:ascii="Arial" w:hAnsi="Arial" w:cs="Arial"/>
                <w:sz w:val="16"/>
                <w:szCs w:val="16"/>
              </w:rPr>
            </w:pPr>
            <w:r>
              <w:rPr>
                <w:rFonts w:ascii="Arial" w:hAnsi="Arial"/>
                <w:sz w:val="16"/>
              </w:rPr>
              <w:t>15-nél kevesebb és nem díjmentes</w:t>
            </w:r>
          </w:p>
        </w:tc>
        <w:tc>
          <w:tcPr>
            <w:tcW w:w="337" w:type="pct"/>
            <w:shd w:val="clear" w:color="auto" w:fill="auto"/>
          </w:tcPr>
          <w:p w:rsidR="00D532AA" w:rsidRPr="00E6754E" w:rsidRDefault="00D532AA" w:rsidP="00097EA7">
            <w:pPr>
              <w:rPr>
                <w:rFonts w:ascii="Arial" w:hAnsi="Arial" w:cs="Arial"/>
                <w:sz w:val="16"/>
                <w:szCs w:val="16"/>
              </w:rPr>
            </w:pPr>
          </w:p>
        </w:tc>
        <w:tc>
          <w:tcPr>
            <w:tcW w:w="437" w:type="pct"/>
            <w:shd w:val="clear" w:color="auto" w:fill="auto"/>
          </w:tcPr>
          <w:p w:rsidR="00D532AA" w:rsidRPr="00E6754E" w:rsidRDefault="00D532AA" w:rsidP="00097EA7">
            <w:pPr>
              <w:rPr>
                <w:rFonts w:ascii="Arial" w:hAnsi="Arial" w:cs="Arial"/>
                <w:sz w:val="16"/>
                <w:szCs w:val="16"/>
              </w:rPr>
            </w:pPr>
          </w:p>
        </w:tc>
        <w:tc>
          <w:tcPr>
            <w:tcW w:w="266" w:type="pct"/>
            <w:shd w:val="clear" w:color="auto" w:fill="auto"/>
          </w:tcPr>
          <w:p w:rsidR="00D532AA" w:rsidRPr="00E6754E" w:rsidRDefault="00D532AA" w:rsidP="00097EA7">
            <w:pPr>
              <w:rPr>
                <w:rFonts w:ascii="Arial" w:hAnsi="Arial" w:cs="Arial"/>
                <w:sz w:val="16"/>
                <w:szCs w:val="16"/>
              </w:rPr>
            </w:pPr>
          </w:p>
        </w:tc>
        <w:tc>
          <w:tcPr>
            <w:tcW w:w="530" w:type="pct"/>
            <w:shd w:val="clear" w:color="auto" w:fill="auto"/>
          </w:tcPr>
          <w:p w:rsidR="00D532AA" w:rsidRPr="00E6754E" w:rsidRDefault="00D532AA" w:rsidP="00097EA7">
            <w:pPr>
              <w:rPr>
                <w:rFonts w:ascii="Arial" w:hAnsi="Arial" w:cs="Arial"/>
                <w:sz w:val="16"/>
                <w:szCs w:val="16"/>
              </w:rPr>
            </w:pPr>
          </w:p>
        </w:tc>
        <w:tc>
          <w:tcPr>
            <w:tcW w:w="336" w:type="pct"/>
            <w:shd w:val="clear" w:color="auto" w:fill="auto"/>
          </w:tcPr>
          <w:p w:rsidR="00D532AA" w:rsidRPr="00E6754E" w:rsidRDefault="00D532AA" w:rsidP="00097EA7">
            <w:pPr>
              <w:rPr>
                <w:rFonts w:ascii="Arial" w:hAnsi="Arial" w:cs="Arial"/>
                <w:sz w:val="16"/>
                <w:szCs w:val="16"/>
              </w:rPr>
            </w:pPr>
          </w:p>
        </w:tc>
        <w:tc>
          <w:tcPr>
            <w:tcW w:w="436" w:type="pct"/>
            <w:shd w:val="clear" w:color="auto" w:fill="auto"/>
          </w:tcPr>
          <w:p w:rsidR="00D532AA" w:rsidRPr="00E6754E" w:rsidRDefault="00D532AA" w:rsidP="00097EA7">
            <w:pPr>
              <w:rPr>
                <w:rFonts w:ascii="Arial" w:hAnsi="Arial" w:cs="Arial"/>
                <w:sz w:val="16"/>
                <w:szCs w:val="16"/>
              </w:rPr>
            </w:pPr>
          </w:p>
        </w:tc>
        <w:tc>
          <w:tcPr>
            <w:tcW w:w="265" w:type="pct"/>
            <w:shd w:val="clear" w:color="auto" w:fill="auto"/>
          </w:tcPr>
          <w:p w:rsidR="00D532AA" w:rsidRPr="00E6754E" w:rsidRDefault="00D532AA" w:rsidP="00097EA7">
            <w:pPr>
              <w:rPr>
                <w:rFonts w:ascii="Arial" w:hAnsi="Arial" w:cs="Arial"/>
                <w:sz w:val="16"/>
                <w:szCs w:val="16"/>
              </w:rPr>
            </w:pPr>
          </w:p>
        </w:tc>
        <w:tc>
          <w:tcPr>
            <w:tcW w:w="530" w:type="pct"/>
            <w:shd w:val="clear" w:color="auto" w:fill="auto"/>
          </w:tcPr>
          <w:p w:rsidR="00D532AA" w:rsidRPr="00E6754E" w:rsidRDefault="00D532AA" w:rsidP="00097EA7">
            <w:pPr>
              <w:rPr>
                <w:rFonts w:ascii="Arial" w:hAnsi="Arial" w:cs="Arial"/>
                <w:sz w:val="16"/>
                <w:szCs w:val="16"/>
              </w:rPr>
            </w:pPr>
          </w:p>
        </w:tc>
        <w:tc>
          <w:tcPr>
            <w:tcW w:w="336" w:type="pct"/>
            <w:shd w:val="clear" w:color="auto" w:fill="auto"/>
          </w:tcPr>
          <w:p w:rsidR="00D532AA" w:rsidRPr="00E6754E" w:rsidRDefault="00D532AA" w:rsidP="00097EA7">
            <w:pPr>
              <w:rPr>
                <w:rFonts w:ascii="Arial" w:hAnsi="Arial" w:cs="Arial"/>
                <w:sz w:val="16"/>
                <w:szCs w:val="16"/>
              </w:rPr>
            </w:pPr>
          </w:p>
        </w:tc>
        <w:tc>
          <w:tcPr>
            <w:tcW w:w="436" w:type="pct"/>
            <w:shd w:val="clear" w:color="auto" w:fill="auto"/>
          </w:tcPr>
          <w:p w:rsidR="00D532AA" w:rsidRPr="00E6754E" w:rsidRDefault="00D532AA" w:rsidP="00097EA7">
            <w:pPr>
              <w:rPr>
                <w:rFonts w:ascii="Arial" w:hAnsi="Arial" w:cs="Arial"/>
                <w:sz w:val="16"/>
                <w:szCs w:val="16"/>
              </w:rPr>
            </w:pPr>
          </w:p>
        </w:tc>
        <w:tc>
          <w:tcPr>
            <w:tcW w:w="265" w:type="pct"/>
            <w:shd w:val="clear" w:color="auto" w:fill="auto"/>
          </w:tcPr>
          <w:p w:rsidR="00D532AA" w:rsidRPr="00E6754E" w:rsidRDefault="00D532AA" w:rsidP="00097EA7">
            <w:pPr>
              <w:rPr>
                <w:rFonts w:ascii="Arial" w:hAnsi="Arial" w:cs="Arial"/>
                <w:sz w:val="16"/>
                <w:szCs w:val="16"/>
              </w:rPr>
            </w:pPr>
          </w:p>
        </w:tc>
        <w:tc>
          <w:tcPr>
            <w:tcW w:w="398" w:type="pct"/>
            <w:gridSpan w:val="3"/>
          </w:tcPr>
          <w:p w:rsidR="00D532AA" w:rsidRPr="00E6754E" w:rsidRDefault="00D532AA" w:rsidP="00097EA7">
            <w:pPr>
              <w:rPr>
                <w:rFonts w:ascii="Arial" w:hAnsi="Arial" w:cs="Arial"/>
                <w:sz w:val="16"/>
                <w:szCs w:val="16"/>
              </w:rPr>
            </w:pPr>
          </w:p>
        </w:tc>
      </w:tr>
      <w:tr w:rsidR="00D532AA" w:rsidRPr="00E6754E" w:rsidTr="00F7772F">
        <w:tc>
          <w:tcPr>
            <w:tcW w:w="427" w:type="pct"/>
            <w:shd w:val="clear" w:color="auto" w:fill="auto"/>
            <w:vAlign w:val="center"/>
          </w:tcPr>
          <w:p w:rsidR="00D532AA" w:rsidRPr="00E6754E" w:rsidRDefault="00D532AA" w:rsidP="00097EA7">
            <w:pPr>
              <w:rPr>
                <w:rFonts w:ascii="Arial" w:hAnsi="Arial" w:cs="Arial"/>
                <w:sz w:val="22"/>
                <w:szCs w:val="22"/>
              </w:rPr>
            </w:pPr>
            <w:r>
              <w:rPr>
                <w:rFonts w:ascii="Arial" w:hAnsi="Arial"/>
                <w:sz w:val="16"/>
              </w:rPr>
              <w:t>15 és 49 között</w:t>
            </w:r>
          </w:p>
        </w:tc>
        <w:tc>
          <w:tcPr>
            <w:tcW w:w="337" w:type="pct"/>
            <w:shd w:val="clear" w:color="auto" w:fill="auto"/>
          </w:tcPr>
          <w:p w:rsidR="00D532AA" w:rsidRPr="00E6754E" w:rsidRDefault="00D532AA" w:rsidP="00097EA7">
            <w:pPr>
              <w:rPr>
                <w:rFonts w:ascii="Arial" w:hAnsi="Arial" w:cs="Arial"/>
                <w:sz w:val="22"/>
                <w:szCs w:val="22"/>
              </w:rPr>
            </w:pPr>
          </w:p>
        </w:tc>
        <w:tc>
          <w:tcPr>
            <w:tcW w:w="437" w:type="pct"/>
            <w:shd w:val="clear" w:color="auto" w:fill="auto"/>
          </w:tcPr>
          <w:p w:rsidR="00D532AA" w:rsidRPr="00E6754E" w:rsidRDefault="00D532AA" w:rsidP="00097EA7">
            <w:pPr>
              <w:rPr>
                <w:rFonts w:ascii="Arial" w:hAnsi="Arial" w:cs="Arial"/>
                <w:sz w:val="22"/>
                <w:szCs w:val="22"/>
              </w:rPr>
            </w:pPr>
          </w:p>
        </w:tc>
        <w:tc>
          <w:tcPr>
            <w:tcW w:w="266" w:type="pct"/>
            <w:shd w:val="clear" w:color="auto" w:fill="auto"/>
          </w:tcPr>
          <w:p w:rsidR="00D532AA" w:rsidRPr="00E6754E" w:rsidRDefault="00D532AA" w:rsidP="00097EA7">
            <w:pPr>
              <w:rPr>
                <w:rFonts w:ascii="Arial" w:hAnsi="Arial" w:cs="Arial"/>
                <w:sz w:val="22"/>
                <w:szCs w:val="22"/>
              </w:rPr>
            </w:pPr>
          </w:p>
        </w:tc>
        <w:tc>
          <w:tcPr>
            <w:tcW w:w="530" w:type="pct"/>
            <w:shd w:val="clear" w:color="auto" w:fill="auto"/>
          </w:tcPr>
          <w:p w:rsidR="00D532AA" w:rsidRPr="00E6754E" w:rsidRDefault="00D532AA" w:rsidP="00097EA7">
            <w:pPr>
              <w:rPr>
                <w:rFonts w:ascii="Arial" w:hAnsi="Arial" w:cs="Arial"/>
                <w:sz w:val="22"/>
                <w:szCs w:val="22"/>
              </w:rPr>
            </w:pPr>
          </w:p>
        </w:tc>
        <w:tc>
          <w:tcPr>
            <w:tcW w:w="336" w:type="pct"/>
            <w:shd w:val="clear" w:color="auto" w:fill="auto"/>
          </w:tcPr>
          <w:p w:rsidR="00D532AA" w:rsidRPr="00E6754E" w:rsidRDefault="00D532AA" w:rsidP="00097EA7">
            <w:pPr>
              <w:rPr>
                <w:rFonts w:ascii="Arial" w:hAnsi="Arial" w:cs="Arial"/>
                <w:sz w:val="22"/>
                <w:szCs w:val="22"/>
              </w:rPr>
            </w:pPr>
          </w:p>
        </w:tc>
        <w:tc>
          <w:tcPr>
            <w:tcW w:w="436" w:type="pct"/>
            <w:shd w:val="clear" w:color="auto" w:fill="auto"/>
          </w:tcPr>
          <w:p w:rsidR="00D532AA" w:rsidRPr="00E6754E" w:rsidRDefault="00D532AA" w:rsidP="00097EA7">
            <w:pPr>
              <w:rPr>
                <w:rFonts w:ascii="Arial" w:hAnsi="Arial" w:cs="Arial"/>
                <w:sz w:val="22"/>
                <w:szCs w:val="22"/>
              </w:rPr>
            </w:pPr>
          </w:p>
        </w:tc>
        <w:tc>
          <w:tcPr>
            <w:tcW w:w="265" w:type="pct"/>
            <w:shd w:val="clear" w:color="auto" w:fill="auto"/>
          </w:tcPr>
          <w:p w:rsidR="00D532AA" w:rsidRPr="00E6754E" w:rsidRDefault="00D532AA" w:rsidP="00097EA7">
            <w:pPr>
              <w:rPr>
                <w:rFonts w:ascii="Arial" w:hAnsi="Arial" w:cs="Arial"/>
                <w:sz w:val="22"/>
                <w:szCs w:val="22"/>
              </w:rPr>
            </w:pPr>
          </w:p>
        </w:tc>
        <w:tc>
          <w:tcPr>
            <w:tcW w:w="530" w:type="pct"/>
            <w:shd w:val="clear" w:color="auto" w:fill="auto"/>
          </w:tcPr>
          <w:p w:rsidR="00D532AA" w:rsidRPr="00E6754E" w:rsidRDefault="00D532AA" w:rsidP="00097EA7">
            <w:pPr>
              <w:rPr>
                <w:rFonts w:ascii="Arial" w:hAnsi="Arial" w:cs="Arial"/>
                <w:sz w:val="22"/>
                <w:szCs w:val="22"/>
              </w:rPr>
            </w:pPr>
          </w:p>
        </w:tc>
        <w:tc>
          <w:tcPr>
            <w:tcW w:w="336" w:type="pct"/>
            <w:shd w:val="clear" w:color="auto" w:fill="auto"/>
          </w:tcPr>
          <w:p w:rsidR="00D532AA" w:rsidRPr="00E6754E" w:rsidRDefault="00D532AA" w:rsidP="00097EA7">
            <w:pPr>
              <w:rPr>
                <w:rFonts w:ascii="Arial" w:hAnsi="Arial" w:cs="Arial"/>
                <w:sz w:val="22"/>
                <w:szCs w:val="22"/>
              </w:rPr>
            </w:pPr>
          </w:p>
        </w:tc>
        <w:tc>
          <w:tcPr>
            <w:tcW w:w="436" w:type="pct"/>
            <w:shd w:val="clear" w:color="auto" w:fill="auto"/>
          </w:tcPr>
          <w:p w:rsidR="00D532AA" w:rsidRPr="00E6754E" w:rsidRDefault="00D532AA" w:rsidP="00097EA7">
            <w:pPr>
              <w:rPr>
                <w:rFonts w:ascii="Arial" w:hAnsi="Arial" w:cs="Arial"/>
                <w:sz w:val="22"/>
                <w:szCs w:val="22"/>
              </w:rPr>
            </w:pPr>
          </w:p>
        </w:tc>
        <w:tc>
          <w:tcPr>
            <w:tcW w:w="265" w:type="pct"/>
            <w:shd w:val="clear" w:color="auto" w:fill="auto"/>
          </w:tcPr>
          <w:p w:rsidR="00D532AA" w:rsidRPr="00E6754E" w:rsidRDefault="00D532AA" w:rsidP="00097EA7">
            <w:pPr>
              <w:rPr>
                <w:rFonts w:ascii="Arial" w:hAnsi="Arial" w:cs="Arial"/>
                <w:sz w:val="22"/>
                <w:szCs w:val="22"/>
              </w:rPr>
            </w:pPr>
          </w:p>
        </w:tc>
        <w:tc>
          <w:tcPr>
            <w:tcW w:w="398" w:type="pct"/>
            <w:gridSpan w:val="3"/>
          </w:tcPr>
          <w:p w:rsidR="00D532AA" w:rsidRPr="00E6754E" w:rsidRDefault="00D532AA" w:rsidP="00097EA7">
            <w:pPr>
              <w:rPr>
                <w:rFonts w:ascii="Arial" w:hAnsi="Arial" w:cs="Arial"/>
                <w:sz w:val="22"/>
                <w:szCs w:val="22"/>
              </w:rPr>
            </w:pPr>
          </w:p>
        </w:tc>
      </w:tr>
      <w:tr w:rsidR="00D532AA" w:rsidRPr="00E6754E" w:rsidTr="00F7772F">
        <w:tc>
          <w:tcPr>
            <w:tcW w:w="427" w:type="pct"/>
            <w:shd w:val="clear" w:color="auto" w:fill="auto"/>
            <w:vAlign w:val="center"/>
          </w:tcPr>
          <w:p w:rsidR="00D532AA" w:rsidRPr="00E6754E" w:rsidRDefault="00D532AA" w:rsidP="00097EA7">
            <w:pPr>
              <w:rPr>
                <w:rFonts w:ascii="Arial" w:hAnsi="Arial" w:cs="Arial"/>
                <w:sz w:val="16"/>
                <w:szCs w:val="16"/>
              </w:rPr>
            </w:pPr>
            <w:r>
              <w:rPr>
                <w:rFonts w:ascii="Arial" w:hAnsi="Arial"/>
                <w:sz w:val="16"/>
              </w:rPr>
              <w:t>50 vagy nagyobb</w:t>
            </w:r>
          </w:p>
        </w:tc>
        <w:tc>
          <w:tcPr>
            <w:tcW w:w="337" w:type="pct"/>
            <w:shd w:val="clear" w:color="auto" w:fill="auto"/>
          </w:tcPr>
          <w:p w:rsidR="00D532AA" w:rsidRPr="00E6754E" w:rsidRDefault="00D532AA" w:rsidP="00097EA7">
            <w:pPr>
              <w:rPr>
                <w:rFonts w:ascii="Arial" w:hAnsi="Arial" w:cs="Arial"/>
                <w:sz w:val="16"/>
                <w:szCs w:val="16"/>
              </w:rPr>
            </w:pPr>
          </w:p>
        </w:tc>
        <w:tc>
          <w:tcPr>
            <w:tcW w:w="437" w:type="pct"/>
            <w:shd w:val="clear" w:color="auto" w:fill="auto"/>
          </w:tcPr>
          <w:p w:rsidR="00D532AA" w:rsidRPr="00E6754E" w:rsidRDefault="00D532AA" w:rsidP="00097EA7">
            <w:pPr>
              <w:rPr>
                <w:rFonts w:ascii="Arial" w:hAnsi="Arial" w:cs="Arial"/>
                <w:sz w:val="16"/>
                <w:szCs w:val="16"/>
              </w:rPr>
            </w:pPr>
          </w:p>
        </w:tc>
        <w:tc>
          <w:tcPr>
            <w:tcW w:w="266" w:type="pct"/>
            <w:shd w:val="clear" w:color="auto" w:fill="auto"/>
          </w:tcPr>
          <w:p w:rsidR="00D532AA" w:rsidRPr="00E6754E" w:rsidRDefault="00D532AA" w:rsidP="00097EA7">
            <w:pPr>
              <w:rPr>
                <w:rFonts w:ascii="Arial" w:hAnsi="Arial" w:cs="Arial"/>
                <w:sz w:val="16"/>
                <w:szCs w:val="16"/>
              </w:rPr>
            </w:pPr>
          </w:p>
        </w:tc>
        <w:tc>
          <w:tcPr>
            <w:tcW w:w="530" w:type="pct"/>
            <w:shd w:val="clear" w:color="auto" w:fill="auto"/>
          </w:tcPr>
          <w:p w:rsidR="00D532AA" w:rsidRPr="00E6754E" w:rsidRDefault="00D532AA" w:rsidP="00097EA7">
            <w:pPr>
              <w:rPr>
                <w:rFonts w:ascii="Arial" w:hAnsi="Arial" w:cs="Arial"/>
                <w:sz w:val="16"/>
                <w:szCs w:val="16"/>
              </w:rPr>
            </w:pPr>
          </w:p>
        </w:tc>
        <w:tc>
          <w:tcPr>
            <w:tcW w:w="336" w:type="pct"/>
            <w:shd w:val="clear" w:color="auto" w:fill="auto"/>
          </w:tcPr>
          <w:p w:rsidR="00D532AA" w:rsidRPr="00E6754E" w:rsidRDefault="00D532AA" w:rsidP="00097EA7">
            <w:pPr>
              <w:rPr>
                <w:rFonts w:ascii="Arial" w:hAnsi="Arial" w:cs="Arial"/>
                <w:sz w:val="16"/>
                <w:szCs w:val="16"/>
              </w:rPr>
            </w:pPr>
          </w:p>
        </w:tc>
        <w:tc>
          <w:tcPr>
            <w:tcW w:w="436" w:type="pct"/>
            <w:shd w:val="clear" w:color="auto" w:fill="auto"/>
          </w:tcPr>
          <w:p w:rsidR="00D532AA" w:rsidRPr="00E6754E" w:rsidRDefault="00D532AA" w:rsidP="00097EA7">
            <w:pPr>
              <w:rPr>
                <w:rFonts w:ascii="Arial" w:hAnsi="Arial" w:cs="Arial"/>
                <w:sz w:val="16"/>
                <w:szCs w:val="16"/>
              </w:rPr>
            </w:pPr>
          </w:p>
        </w:tc>
        <w:tc>
          <w:tcPr>
            <w:tcW w:w="265" w:type="pct"/>
            <w:shd w:val="clear" w:color="auto" w:fill="auto"/>
          </w:tcPr>
          <w:p w:rsidR="00D532AA" w:rsidRPr="00E6754E" w:rsidRDefault="00D532AA" w:rsidP="00097EA7">
            <w:pPr>
              <w:rPr>
                <w:rFonts w:ascii="Arial" w:hAnsi="Arial" w:cs="Arial"/>
                <w:sz w:val="16"/>
                <w:szCs w:val="16"/>
              </w:rPr>
            </w:pPr>
          </w:p>
        </w:tc>
        <w:tc>
          <w:tcPr>
            <w:tcW w:w="530" w:type="pct"/>
            <w:shd w:val="clear" w:color="auto" w:fill="auto"/>
          </w:tcPr>
          <w:p w:rsidR="00D532AA" w:rsidRPr="00E6754E" w:rsidRDefault="00D532AA" w:rsidP="00097EA7">
            <w:pPr>
              <w:rPr>
                <w:rFonts w:ascii="Arial" w:hAnsi="Arial" w:cs="Arial"/>
                <w:sz w:val="16"/>
                <w:szCs w:val="16"/>
              </w:rPr>
            </w:pPr>
          </w:p>
        </w:tc>
        <w:tc>
          <w:tcPr>
            <w:tcW w:w="336" w:type="pct"/>
            <w:shd w:val="clear" w:color="auto" w:fill="auto"/>
          </w:tcPr>
          <w:p w:rsidR="00D532AA" w:rsidRPr="00E6754E" w:rsidRDefault="00D532AA" w:rsidP="00097EA7">
            <w:pPr>
              <w:rPr>
                <w:rFonts w:ascii="Arial" w:hAnsi="Arial" w:cs="Arial"/>
                <w:sz w:val="16"/>
                <w:szCs w:val="16"/>
              </w:rPr>
            </w:pPr>
          </w:p>
        </w:tc>
        <w:tc>
          <w:tcPr>
            <w:tcW w:w="436" w:type="pct"/>
            <w:shd w:val="clear" w:color="auto" w:fill="auto"/>
          </w:tcPr>
          <w:p w:rsidR="00D532AA" w:rsidRPr="00E6754E" w:rsidRDefault="00D532AA" w:rsidP="00097EA7">
            <w:pPr>
              <w:rPr>
                <w:rFonts w:ascii="Arial" w:hAnsi="Arial" w:cs="Arial"/>
                <w:sz w:val="16"/>
                <w:szCs w:val="16"/>
              </w:rPr>
            </w:pPr>
          </w:p>
        </w:tc>
        <w:tc>
          <w:tcPr>
            <w:tcW w:w="265" w:type="pct"/>
            <w:shd w:val="clear" w:color="auto" w:fill="auto"/>
          </w:tcPr>
          <w:p w:rsidR="00D532AA" w:rsidRPr="00E6754E" w:rsidRDefault="00D532AA" w:rsidP="00097EA7">
            <w:pPr>
              <w:rPr>
                <w:rFonts w:ascii="Arial" w:hAnsi="Arial" w:cs="Arial"/>
                <w:sz w:val="16"/>
                <w:szCs w:val="16"/>
              </w:rPr>
            </w:pPr>
          </w:p>
        </w:tc>
        <w:tc>
          <w:tcPr>
            <w:tcW w:w="398" w:type="pct"/>
            <w:gridSpan w:val="3"/>
          </w:tcPr>
          <w:p w:rsidR="00D532AA" w:rsidRPr="00E6754E" w:rsidRDefault="00D532AA" w:rsidP="00097EA7">
            <w:pPr>
              <w:rPr>
                <w:rFonts w:ascii="Arial" w:hAnsi="Arial" w:cs="Arial"/>
                <w:sz w:val="16"/>
                <w:szCs w:val="16"/>
              </w:rPr>
            </w:pPr>
          </w:p>
        </w:tc>
      </w:tr>
    </w:tbl>
    <w:p w:rsidR="00097EA7" w:rsidRPr="00E6754E" w:rsidRDefault="00097EA7" w:rsidP="00097EA7">
      <w:pPr>
        <w:ind w:firstLine="708"/>
        <w:rPr>
          <w:rFonts w:ascii="Arial" w:hAnsi="Arial" w:cs="Arial"/>
          <w:sz w:val="22"/>
          <w:szCs w:val="22"/>
        </w:rPr>
      </w:pPr>
    </w:p>
    <w:sectPr w:rsidR="00097EA7" w:rsidRPr="00E6754E" w:rsidSect="00F7772F">
      <w:pgSz w:w="11906" w:h="16838" w:code="9"/>
      <w:pgMar w:top="2376" w:right="1138" w:bottom="1411" w:left="792" w:header="547"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CE2" w:rsidRDefault="00A13CE2">
      <w:r>
        <w:separator/>
      </w:r>
    </w:p>
  </w:endnote>
  <w:endnote w:type="continuationSeparator" w:id="0">
    <w:p w:rsidR="00A13CE2" w:rsidRDefault="00A1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CE2" w:rsidRDefault="00A13CE2">
      <w:r>
        <w:separator/>
      </w:r>
    </w:p>
  </w:footnote>
  <w:footnote w:type="continuationSeparator" w:id="0">
    <w:p w:rsidR="00A13CE2" w:rsidRDefault="00A13C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D0893"/>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10546BA"/>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B963286"/>
    <w:multiLevelType w:val="hybridMultilevel"/>
    <w:tmpl w:val="DBACD548"/>
    <w:lvl w:ilvl="0" w:tplc="B4861B2C">
      <w:numFmt w:val="bullet"/>
      <w:lvlText w:val=""/>
      <w:lvlJc w:val="left"/>
      <w:pPr>
        <w:tabs>
          <w:tab w:val="num" w:pos="720"/>
        </w:tabs>
        <w:ind w:left="720" w:hanging="360"/>
      </w:pPr>
      <w:rPr>
        <w:rFonts w:ascii="Symbol" w:eastAsia="Times New Roman" w:hAnsi="Symbol" w:cs="Arial" w:hint="default"/>
      </w:rPr>
    </w:lvl>
    <w:lvl w:ilvl="1" w:tplc="F1249C3E" w:tentative="1">
      <w:start w:val="1"/>
      <w:numFmt w:val="bullet"/>
      <w:lvlText w:val="o"/>
      <w:lvlJc w:val="left"/>
      <w:pPr>
        <w:tabs>
          <w:tab w:val="num" w:pos="1440"/>
        </w:tabs>
        <w:ind w:left="1440" w:hanging="360"/>
      </w:pPr>
      <w:rPr>
        <w:rFonts w:ascii="Courier New" w:hAnsi="Courier New" w:hint="default"/>
      </w:rPr>
    </w:lvl>
    <w:lvl w:ilvl="2" w:tplc="71287630" w:tentative="1">
      <w:start w:val="1"/>
      <w:numFmt w:val="bullet"/>
      <w:lvlText w:val=""/>
      <w:lvlJc w:val="left"/>
      <w:pPr>
        <w:tabs>
          <w:tab w:val="num" w:pos="2160"/>
        </w:tabs>
        <w:ind w:left="2160" w:hanging="360"/>
      </w:pPr>
      <w:rPr>
        <w:rFonts w:ascii="Wingdings" w:hAnsi="Wingdings" w:hint="default"/>
      </w:rPr>
    </w:lvl>
    <w:lvl w:ilvl="3" w:tplc="6BDEAE86" w:tentative="1">
      <w:start w:val="1"/>
      <w:numFmt w:val="bullet"/>
      <w:lvlText w:val=""/>
      <w:lvlJc w:val="left"/>
      <w:pPr>
        <w:tabs>
          <w:tab w:val="num" w:pos="2880"/>
        </w:tabs>
        <w:ind w:left="2880" w:hanging="360"/>
      </w:pPr>
      <w:rPr>
        <w:rFonts w:ascii="Symbol" w:hAnsi="Symbol" w:hint="default"/>
      </w:rPr>
    </w:lvl>
    <w:lvl w:ilvl="4" w:tplc="DE9484D0" w:tentative="1">
      <w:start w:val="1"/>
      <w:numFmt w:val="bullet"/>
      <w:lvlText w:val="o"/>
      <w:lvlJc w:val="left"/>
      <w:pPr>
        <w:tabs>
          <w:tab w:val="num" w:pos="3600"/>
        </w:tabs>
        <w:ind w:left="3600" w:hanging="360"/>
      </w:pPr>
      <w:rPr>
        <w:rFonts w:ascii="Courier New" w:hAnsi="Courier New" w:hint="default"/>
      </w:rPr>
    </w:lvl>
    <w:lvl w:ilvl="5" w:tplc="7FA69D90" w:tentative="1">
      <w:start w:val="1"/>
      <w:numFmt w:val="bullet"/>
      <w:lvlText w:val=""/>
      <w:lvlJc w:val="left"/>
      <w:pPr>
        <w:tabs>
          <w:tab w:val="num" w:pos="4320"/>
        </w:tabs>
        <w:ind w:left="4320" w:hanging="360"/>
      </w:pPr>
      <w:rPr>
        <w:rFonts w:ascii="Wingdings" w:hAnsi="Wingdings" w:hint="default"/>
      </w:rPr>
    </w:lvl>
    <w:lvl w:ilvl="6" w:tplc="3BD0274E" w:tentative="1">
      <w:start w:val="1"/>
      <w:numFmt w:val="bullet"/>
      <w:lvlText w:val=""/>
      <w:lvlJc w:val="left"/>
      <w:pPr>
        <w:tabs>
          <w:tab w:val="num" w:pos="5040"/>
        </w:tabs>
        <w:ind w:left="5040" w:hanging="360"/>
      </w:pPr>
      <w:rPr>
        <w:rFonts w:ascii="Symbol" w:hAnsi="Symbol" w:hint="default"/>
      </w:rPr>
    </w:lvl>
    <w:lvl w:ilvl="7" w:tplc="331291A2" w:tentative="1">
      <w:start w:val="1"/>
      <w:numFmt w:val="bullet"/>
      <w:lvlText w:val="o"/>
      <w:lvlJc w:val="left"/>
      <w:pPr>
        <w:tabs>
          <w:tab w:val="num" w:pos="5760"/>
        </w:tabs>
        <w:ind w:left="5760" w:hanging="360"/>
      </w:pPr>
      <w:rPr>
        <w:rFonts w:ascii="Courier New" w:hAnsi="Courier New" w:hint="default"/>
      </w:rPr>
    </w:lvl>
    <w:lvl w:ilvl="8" w:tplc="984ACDD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D6902"/>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12C7C1A"/>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18302D9"/>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2533463"/>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3155374"/>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55A5CAB"/>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EB95380"/>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20CA2271"/>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E0C3449"/>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48F1A30"/>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4986873"/>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B59023F"/>
    <w:multiLevelType w:val="hybridMultilevel"/>
    <w:tmpl w:val="B8D44236"/>
    <w:lvl w:ilvl="0" w:tplc="D7DE0BB0">
      <w:start w:val="1"/>
      <w:numFmt w:val="lowerLetter"/>
      <w:lvlText w:val="%1)"/>
      <w:lvlJc w:val="left"/>
      <w:pPr>
        <w:ind w:left="1776" w:hanging="360"/>
      </w:pPr>
    </w:lvl>
    <w:lvl w:ilvl="1" w:tplc="9C866F2E" w:tentative="1">
      <w:start w:val="1"/>
      <w:numFmt w:val="lowerLetter"/>
      <w:lvlText w:val="%2."/>
      <w:lvlJc w:val="left"/>
      <w:pPr>
        <w:ind w:left="2496" w:hanging="360"/>
      </w:pPr>
    </w:lvl>
    <w:lvl w:ilvl="2" w:tplc="9FBEC2BC">
      <w:start w:val="1"/>
      <w:numFmt w:val="lowerRoman"/>
      <w:lvlText w:val="%3."/>
      <w:lvlJc w:val="right"/>
      <w:pPr>
        <w:ind w:left="3216" w:hanging="180"/>
      </w:pPr>
    </w:lvl>
    <w:lvl w:ilvl="3" w:tplc="264EEE66" w:tentative="1">
      <w:start w:val="1"/>
      <w:numFmt w:val="decimal"/>
      <w:lvlText w:val="%4."/>
      <w:lvlJc w:val="left"/>
      <w:pPr>
        <w:ind w:left="3936" w:hanging="360"/>
      </w:pPr>
    </w:lvl>
    <w:lvl w:ilvl="4" w:tplc="4CDC0BAA" w:tentative="1">
      <w:start w:val="1"/>
      <w:numFmt w:val="lowerLetter"/>
      <w:lvlText w:val="%5."/>
      <w:lvlJc w:val="left"/>
      <w:pPr>
        <w:ind w:left="4656" w:hanging="360"/>
      </w:pPr>
    </w:lvl>
    <w:lvl w:ilvl="5" w:tplc="DDE2E2DC" w:tentative="1">
      <w:start w:val="1"/>
      <w:numFmt w:val="lowerRoman"/>
      <w:lvlText w:val="%6."/>
      <w:lvlJc w:val="right"/>
      <w:pPr>
        <w:ind w:left="5376" w:hanging="180"/>
      </w:pPr>
    </w:lvl>
    <w:lvl w:ilvl="6" w:tplc="B86EFDA2" w:tentative="1">
      <w:start w:val="1"/>
      <w:numFmt w:val="decimal"/>
      <w:lvlText w:val="%7."/>
      <w:lvlJc w:val="left"/>
      <w:pPr>
        <w:ind w:left="6096" w:hanging="360"/>
      </w:pPr>
    </w:lvl>
    <w:lvl w:ilvl="7" w:tplc="E3F61AA8" w:tentative="1">
      <w:start w:val="1"/>
      <w:numFmt w:val="lowerLetter"/>
      <w:lvlText w:val="%8."/>
      <w:lvlJc w:val="left"/>
      <w:pPr>
        <w:ind w:left="6816" w:hanging="360"/>
      </w:pPr>
    </w:lvl>
    <w:lvl w:ilvl="8" w:tplc="E1D8E012" w:tentative="1">
      <w:start w:val="1"/>
      <w:numFmt w:val="lowerRoman"/>
      <w:lvlText w:val="%9."/>
      <w:lvlJc w:val="right"/>
      <w:pPr>
        <w:ind w:left="7536" w:hanging="180"/>
      </w:pPr>
    </w:lvl>
  </w:abstractNum>
  <w:abstractNum w:abstractNumId="16" w15:restartNumberingAfterBreak="0">
    <w:nsid w:val="42E22D3F"/>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43D50B49"/>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5B9140F"/>
    <w:multiLevelType w:val="singleLevel"/>
    <w:tmpl w:val="0C0A000F"/>
    <w:lvl w:ilvl="0">
      <w:start w:val="1"/>
      <w:numFmt w:val="decimal"/>
      <w:lvlText w:val="%1."/>
      <w:lvlJc w:val="left"/>
      <w:pPr>
        <w:tabs>
          <w:tab w:val="num" w:pos="360"/>
        </w:tabs>
        <w:ind w:left="360" w:hanging="360"/>
      </w:pPr>
    </w:lvl>
  </w:abstractNum>
  <w:abstractNum w:abstractNumId="19" w15:restartNumberingAfterBreak="0">
    <w:nsid w:val="45BE55C2"/>
    <w:multiLevelType w:val="hybridMultilevel"/>
    <w:tmpl w:val="2CB0B5F2"/>
    <w:lvl w:ilvl="0" w:tplc="D9869A0C">
      <w:start w:val="1"/>
      <w:numFmt w:val="decimal"/>
      <w:lvlText w:val="%1."/>
      <w:lvlJc w:val="left"/>
      <w:pPr>
        <w:ind w:left="1068" w:hanging="360"/>
      </w:pPr>
      <w:rPr>
        <w:rFonts w:hint="default"/>
      </w:rPr>
    </w:lvl>
    <w:lvl w:ilvl="1" w:tplc="38E4CBE0">
      <w:start w:val="1"/>
      <w:numFmt w:val="lowerLetter"/>
      <w:lvlText w:val="%2."/>
      <w:lvlJc w:val="left"/>
      <w:pPr>
        <w:ind w:left="1788" w:hanging="360"/>
      </w:pPr>
    </w:lvl>
    <w:lvl w:ilvl="2" w:tplc="0868C914" w:tentative="1">
      <w:start w:val="1"/>
      <w:numFmt w:val="lowerRoman"/>
      <w:lvlText w:val="%3."/>
      <w:lvlJc w:val="right"/>
      <w:pPr>
        <w:ind w:left="2508" w:hanging="180"/>
      </w:pPr>
    </w:lvl>
    <w:lvl w:ilvl="3" w:tplc="A288E60E" w:tentative="1">
      <w:start w:val="1"/>
      <w:numFmt w:val="decimal"/>
      <w:lvlText w:val="%4."/>
      <w:lvlJc w:val="left"/>
      <w:pPr>
        <w:ind w:left="3228" w:hanging="360"/>
      </w:pPr>
    </w:lvl>
    <w:lvl w:ilvl="4" w:tplc="4092857A" w:tentative="1">
      <w:start w:val="1"/>
      <w:numFmt w:val="lowerLetter"/>
      <w:lvlText w:val="%5."/>
      <w:lvlJc w:val="left"/>
      <w:pPr>
        <w:ind w:left="3948" w:hanging="360"/>
      </w:pPr>
    </w:lvl>
    <w:lvl w:ilvl="5" w:tplc="171A9318" w:tentative="1">
      <w:start w:val="1"/>
      <w:numFmt w:val="lowerRoman"/>
      <w:lvlText w:val="%6."/>
      <w:lvlJc w:val="right"/>
      <w:pPr>
        <w:ind w:left="4668" w:hanging="180"/>
      </w:pPr>
    </w:lvl>
    <w:lvl w:ilvl="6" w:tplc="76262FAE" w:tentative="1">
      <w:start w:val="1"/>
      <w:numFmt w:val="decimal"/>
      <w:lvlText w:val="%7."/>
      <w:lvlJc w:val="left"/>
      <w:pPr>
        <w:ind w:left="5388" w:hanging="360"/>
      </w:pPr>
    </w:lvl>
    <w:lvl w:ilvl="7" w:tplc="AA04FA34" w:tentative="1">
      <w:start w:val="1"/>
      <w:numFmt w:val="lowerLetter"/>
      <w:lvlText w:val="%8."/>
      <w:lvlJc w:val="left"/>
      <w:pPr>
        <w:ind w:left="6108" w:hanging="360"/>
      </w:pPr>
    </w:lvl>
    <w:lvl w:ilvl="8" w:tplc="638A33C2" w:tentative="1">
      <w:start w:val="1"/>
      <w:numFmt w:val="lowerRoman"/>
      <w:lvlText w:val="%9."/>
      <w:lvlJc w:val="right"/>
      <w:pPr>
        <w:ind w:left="6828" w:hanging="180"/>
      </w:pPr>
    </w:lvl>
  </w:abstractNum>
  <w:abstractNum w:abstractNumId="20" w15:restartNumberingAfterBreak="0">
    <w:nsid w:val="53BA5C12"/>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58B445DA"/>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D3E65D7"/>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E1B083C"/>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60630131"/>
    <w:multiLevelType w:val="hybridMultilevel"/>
    <w:tmpl w:val="B8D44236"/>
    <w:lvl w:ilvl="0" w:tplc="F74490C0">
      <w:start w:val="1"/>
      <w:numFmt w:val="lowerLetter"/>
      <w:lvlText w:val="%1)"/>
      <w:lvlJc w:val="left"/>
      <w:pPr>
        <w:ind w:left="1776" w:hanging="360"/>
      </w:pPr>
    </w:lvl>
    <w:lvl w:ilvl="1" w:tplc="C3A29B96" w:tentative="1">
      <w:start w:val="1"/>
      <w:numFmt w:val="lowerLetter"/>
      <w:lvlText w:val="%2."/>
      <w:lvlJc w:val="left"/>
      <w:pPr>
        <w:ind w:left="2496" w:hanging="360"/>
      </w:pPr>
    </w:lvl>
    <w:lvl w:ilvl="2" w:tplc="4F78214C">
      <w:start w:val="1"/>
      <w:numFmt w:val="lowerRoman"/>
      <w:lvlText w:val="%3."/>
      <w:lvlJc w:val="right"/>
      <w:pPr>
        <w:ind w:left="3216" w:hanging="180"/>
      </w:pPr>
    </w:lvl>
    <w:lvl w:ilvl="3" w:tplc="B73065D6" w:tentative="1">
      <w:start w:val="1"/>
      <w:numFmt w:val="decimal"/>
      <w:lvlText w:val="%4."/>
      <w:lvlJc w:val="left"/>
      <w:pPr>
        <w:ind w:left="3936" w:hanging="360"/>
      </w:pPr>
    </w:lvl>
    <w:lvl w:ilvl="4" w:tplc="54A6C812" w:tentative="1">
      <w:start w:val="1"/>
      <w:numFmt w:val="lowerLetter"/>
      <w:lvlText w:val="%5."/>
      <w:lvlJc w:val="left"/>
      <w:pPr>
        <w:ind w:left="4656" w:hanging="360"/>
      </w:pPr>
    </w:lvl>
    <w:lvl w:ilvl="5" w:tplc="1058434C" w:tentative="1">
      <w:start w:val="1"/>
      <w:numFmt w:val="lowerRoman"/>
      <w:lvlText w:val="%6."/>
      <w:lvlJc w:val="right"/>
      <w:pPr>
        <w:ind w:left="5376" w:hanging="180"/>
      </w:pPr>
    </w:lvl>
    <w:lvl w:ilvl="6" w:tplc="4C723926" w:tentative="1">
      <w:start w:val="1"/>
      <w:numFmt w:val="decimal"/>
      <w:lvlText w:val="%7."/>
      <w:lvlJc w:val="left"/>
      <w:pPr>
        <w:ind w:left="6096" w:hanging="360"/>
      </w:pPr>
    </w:lvl>
    <w:lvl w:ilvl="7" w:tplc="E12280AA" w:tentative="1">
      <w:start w:val="1"/>
      <w:numFmt w:val="lowerLetter"/>
      <w:lvlText w:val="%8."/>
      <w:lvlJc w:val="left"/>
      <w:pPr>
        <w:ind w:left="6816" w:hanging="360"/>
      </w:pPr>
    </w:lvl>
    <w:lvl w:ilvl="8" w:tplc="981C02E4" w:tentative="1">
      <w:start w:val="1"/>
      <w:numFmt w:val="lowerRoman"/>
      <w:lvlText w:val="%9."/>
      <w:lvlJc w:val="right"/>
      <w:pPr>
        <w:ind w:left="7536" w:hanging="180"/>
      </w:pPr>
    </w:lvl>
  </w:abstractNum>
  <w:abstractNum w:abstractNumId="25" w15:restartNumberingAfterBreak="0">
    <w:nsid w:val="64E62504"/>
    <w:multiLevelType w:val="hybridMultilevel"/>
    <w:tmpl w:val="6E6A70AA"/>
    <w:lvl w:ilvl="0" w:tplc="02B652FE">
      <w:start w:val="1"/>
      <w:numFmt w:val="decimal"/>
      <w:lvlText w:val="%1."/>
      <w:lvlJc w:val="left"/>
      <w:pPr>
        <w:tabs>
          <w:tab w:val="num" w:pos="540"/>
        </w:tabs>
        <w:ind w:left="540" w:hanging="360"/>
      </w:pPr>
      <w:rPr>
        <w:rFonts w:hint="default"/>
        <w:b w:val="0"/>
      </w:rPr>
    </w:lvl>
    <w:lvl w:ilvl="1" w:tplc="7284C34A">
      <w:start w:val="1"/>
      <w:numFmt w:val="lowerLetter"/>
      <w:lvlText w:val="%2."/>
      <w:lvlJc w:val="left"/>
      <w:pPr>
        <w:tabs>
          <w:tab w:val="num" w:pos="1516"/>
        </w:tabs>
        <w:ind w:left="1516" w:hanging="360"/>
      </w:pPr>
    </w:lvl>
    <w:lvl w:ilvl="2" w:tplc="8F8EA6EC" w:tentative="1">
      <w:start w:val="1"/>
      <w:numFmt w:val="lowerRoman"/>
      <w:lvlText w:val="%3."/>
      <w:lvlJc w:val="right"/>
      <w:pPr>
        <w:tabs>
          <w:tab w:val="num" w:pos="2236"/>
        </w:tabs>
        <w:ind w:left="2236" w:hanging="180"/>
      </w:pPr>
    </w:lvl>
    <w:lvl w:ilvl="3" w:tplc="44AA9FB4" w:tentative="1">
      <w:start w:val="1"/>
      <w:numFmt w:val="decimal"/>
      <w:lvlText w:val="%4."/>
      <w:lvlJc w:val="left"/>
      <w:pPr>
        <w:tabs>
          <w:tab w:val="num" w:pos="2956"/>
        </w:tabs>
        <w:ind w:left="2956" w:hanging="360"/>
      </w:pPr>
    </w:lvl>
    <w:lvl w:ilvl="4" w:tplc="56489DAE" w:tentative="1">
      <w:start w:val="1"/>
      <w:numFmt w:val="lowerLetter"/>
      <w:lvlText w:val="%5."/>
      <w:lvlJc w:val="left"/>
      <w:pPr>
        <w:tabs>
          <w:tab w:val="num" w:pos="3676"/>
        </w:tabs>
        <w:ind w:left="3676" w:hanging="360"/>
      </w:pPr>
    </w:lvl>
    <w:lvl w:ilvl="5" w:tplc="9B6C209C" w:tentative="1">
      <w:start w:val="1"/>
      <w:numFmt w:val="lowerRoman"/>
      <w:lvlText w:val="%6."/>
      <w:lvlJc w:val="right"/>
      <w:pPr>
        <w:tabs>
          <w:tab w:val="num" w:pos="4396"/>
        </w:tabs>
        <w:ind w:left="4396" w:hanging="180"/>
      </w:pPr>
    </w:lvl>
    <w:lvl w:ilvl="6" w:tplc="6B8C7806" w:tentative="1">
      <w:start w:val="1"/>
      <w:numFmt w:val="decimal"/>
      <w:lvlText w:val="%7."/>
      <w:lvlJc w:val="left"/>
      <w:pPr>
        <w:tabs>
          <w:tab w:val="num" w:pos="5116"/>
        </w:tabs>
        <w:ind w:left="5116" w:hanging="360"/>
      </w:pPr>
    </w:lvl>
    <w:lvl w:ilvl="7" w:tplc="17E6249A" w:tentative="1">
      <w:start w:val="1"/>
      <w:numFmt w:val="lowerLetter"/>
      <w:lvlText w:val="%8."/>
      <w:lvlJc w:val="left"/>
      <w:pPr>
        <w:tabs>
          <w:tab w:val="num" w:pos="5836"/>
        </w:tabs>
        <w:ind w:left="5836" w:hanging="360"/>
      </w:pPr>
    </w:lvl>
    <w:lvl w:ilvl="8" w:tplc="933290CA" w:tentative="1">
      <w:start w:val="1"/>
      <w:numFmt w:val="lowerRoman"/>
      <w:lvlText w:val="%9."/>
      <w:lvlJc w:val="right"/>
      <w:pPr>
        <w:tabs>
          <w:tab w:val="num" w:pos="6556"/>
        </w:tabs>
        <w:ind w:left="6556" w:hanging="180"/>
      </w:pPr>
    </w:lvl>
  </w:abstractNum>
  <w:abstractNum w:abstractNumId="26" w15:restartNumberingAfterBreak="0">
    <w:nsid w:val="668375B9"/>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7B819E5"/>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77D74F1A"/>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7D9107F9"/>
    <w:multiLevelType w:val="singleLevel"/>
    <w:tmpl w:val="0C0A000B"/>
    <w:lvl w:ilvl="0">
      <w:start w:val="1"/>
      <w:numFmt w:val="bullet"/>
      <w:lvlText w:val=""/>
      <w:lvlJc w:val="left"/>
      <w:pPr>
        <w:tabs>
          <w:tab w:val="num" w:pos="360"/>
        </w:tabs>
        <w:ind w:left="360" w:hanging="360"/>
      </w:pPr>
      <w:rPr>
        <w:rFonts w:ascii="Wingdings" w:hAnsi="Wingdings" w:hint="default"/>
      </w:rPr>
    </w:lvl>
  </w:abstractNum>
  <w:num w:numId="1">
    <w:abstractNumId w:val="18"/>
  </w:num>
  <w:num w:numId="2">
    <w:abstractNumId w:val="0"/>
    <w:lvlOverride w:ilvl="0">
      <w:lvl w:ilvl="0">
        <w:start w:val="1"/>
        <w:numFmt w:val="bullet"/>
        <w:lvlText w:val=""/>
        <w:legacy w:legacy="1" w:legacySpace="0" w:legacyIndent="283"/>
        <w:lvlJc w:val="left"/>
        <w:pPr>
          <w:ind w:left="1276" w:hanging="283"/>
        </w:pPr>
        <w:rPr>
          <w:rFonts w:ascii="Symbol" w:hAnsi="Symbol" w:hint="default"/>
        </w:rPr>
      </w:lvl>
    </w:lvlOverride>
  </w:num>
  <w:num w:numId="3">
    <w:abstractNumId w:val="10"/>
  </w:num>
  <w:num w:numId="4">
    <w:abstractNumId w:val="4"/>
  </w:num>
  <w:num w:numId="5">
    <w:abstractNumId w:val="13"/>
  </w:num>
  <w:num w:numId="6">
    <w:abstractNumId w:val="26"/>
  </w:num>
  <w:num w:numId="7">
    <w:abstractNumId w:val="14"/>
  </w:num>
  <w:num w:numId="8">
    <w:abstractNumId w:val="20"/>
  </w:num>
  <w:num w:numId="9">
    <w:abstractNumId w:val="22"/>
  </w:num>
  <w:num w:numId="10">
    <w:abstractNumId w:val="12"/>
  </w:num>
  <w:num w:numId="11">
    <w:abstractNumId w:val="6"/>
  </w:num>
  <w:num w:numId="12">
    <w:abstractNumId w:val="29"/>
  </w:num>
  <w:num w:numId="13">
    <w:abstractNumId w:val="7"/>
  </w:num>
  <w:num w:numId="14">
    <w:abstractNumId w:val="2"/>
  </w:num>
  <w:num w:numId="15">
    <w:abstractNumId w:val="8"/>
  </w:num>
  <w:num w:numId="16">
    <w:abstractNumId w:val="21"/>
  </w:num>
  <w:num w:numId="17">
    <w:abstractNumId w:val="28"/>
  </w:num>
  <w:num w:numId="18">
    <w:abstractNumId w:val="23"/>
  </w:num>
  <w:num w:numId="19">
    <w:abstractNumId w:val="9"/>
  </w:num>
  <w:num w:numId="20">
    <w:abstractNumId w:val="17"/>
  </w:num>
  <w:num w:numId="21">
    <w:abstractNumId w:val="5"/>
  </w:num>
  <w:num w:numId="22">
    <w:abstractNumId w:val="16"/>
  </w:num>
  <w:num w:numId="23">
    <w:abstractNumId w:val="1"/>
  </w:num>
  <w:num w:numId="24">
    <w:abstractNumId w:val="11"/>
  </w:num>
  <w:num w:numId="25">
    <w:abstractNumId w:val="27"/>
  </w:num>
  <w:num w:numId="26">
    <w:abstractNumId w:val="3"/>
  </w:num>
  <w:num w:numId="27">
    <w:abstractNumId w:val="25"/>
  </w:num>
  <w:num w:numId="28">
    <w:abstractNumId w:val="15"/>
  </w:num>
  <w:num w:numId="29">
    <w:abstractNumId w:val="19"/>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isplayHorizontalDrawingGridEvery w:val="0"/>
  <w:displayVerticalDrawingGridEvery w:val="0"/>
  <w:noPunctuationKerning/>
  <w:characterSpacingControl w:val="doNotCompress"/>
  <w:savePreviewPicture/>
  <w:hdrShapeDefaults>
    <o:shapedefaults v:ext="edit" spidmax="2049">
      <v:stroke weight=".05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E5A"/>
    <w:rsid w:val="000163BF"/>
    <w:rsid w:val="00017C1D"/>
    <w:rsid w:val="00035D4D"/>
    <w:rsid w:val="00051481"/>
    <w:rsid w:val="00054A7B"/>
    <w:rsid w:val="00081E5E"/>
    <w:rsid w:val="00087E11"/>
    <w:rsid w:val="000959BC"/>
    <w:rsid w:val="00097EA7"/>
    <w:rsid w:val="000C24B1"/>
    <w:rsid w:val="000E309A"/>
    <w:rsid w:val="000E35CE"/>
    <w:rsid w:val="001411B4"/>
    <w:rsid w:val="00145472"/>
    <w:rsid w:val="00194186"/>
    <w:rsid w:val="001B2E5A"/>
    <w:rsid w:val="001C03E2"/>
    <w:rsid w:val="001C45F0"/>
    <w:rsid w:val="001C614D"/>
    <w:rsid w:val="001E1421"/>
    <w:rsid w:val="001E4A03"/>
    <w:rsid w:val="001F09EC"/>
    <w:rsid w:val="00234F6D"/>
    <w:rsid w:val="002373FB"/>
    <w:rsid w:val="00244710"/>
    <w:rsid w:val="002650E8"/>
    <w:rsid w:val="00266892"/>
    <w:rsid w:val="00281F46"/>
    <w:rsid w:val="002B1C6D"/>
    <w:rsid w:val="002C3A2E"/>
    <w:rsid w:val="002E683B"/>
    <w:rsid w:val="002F1528"/>
    <w:rsid w:val="00303157"/>
    <w:rsid w:val="003130BE"/>
    <w:rsid w:val="003C342A"/>
    <w:rsid w:val="003F1567"/>
    <w:rsid w:val="00462171"/>
    <w:rsid w:val="00485EED"/>
    <w:rsid w:val="004C7FE9"/>
    <w:rsid w:val="004D27C5"/>
    <w:rsid w:val="004D7E25"/>
    <w:rsid w:val="004E1AF9"/>
    <w:rsid w:val="0051161A"/>
    <w:rsid w:val="0054437E"/>
    <w:rsid w:val="00556B10"/>
    <w:rsid w:val="005755A0"/>
    <w:rsid w:val="00577413"/>
    <w:rsid w:val="00593477"/>
    <w:rsid w:val="005A3ECD"/>
    <w:rsid w:val="005A5452"/>
    <w:rsid w:val="00616214"/>
    <w:rsid w:val="00684FBF"/>
    <w:rsid w:val="006C7AA0"/>
    <w:rsid w:val="006D3D26"/>
    <w:rsid w:val="006E3791"/>
    <w:rsid w:val="0070566F"/>
    <w:rsid w:val="00730DDD"/>
    <w:rsid w:val="0075496F"/>
    <w:rsid w:val="00767192"/>
    <w:rsid w:val="007A1BF4"/>
    <w:rsid w:val="007B56D6"/>
    <w:rsid w:val="007F0E72"/>
    <w:rsid w:val="00801E0B"/>
    <w:rsid w:val="00805E6A"/>
    <w:rsid w:val="00810E48"/>
    <w:rsid w:val="0083496F"/>
    <w:rsid w:val="00844C5A"/>
    <w:rsid w:val="00881517"/>
    <w:rsid w:val="00895B96"/>
    <w:rsid w:val="008A027F"/>
    <w:rsid w:val="008C1CD2"/>
    <w:rsid w:val="008D3925"/>
    <w:rsid w:val="008E6F58"/>
    <w:rsid w:val="00926BCE"/>
    <w:rsid w:val="00934510"/>
    <w:rsid w:val="00966BE8"/>
    <w:rsid w:val="009936A8"/>
    <w:rsid w:val="009A7344"/>
    <w:rsid w:val="009D0D93"/>
    <w:rsid w:val="009D2379"/>
    <w:rsid w:val="009D26B3"/>
    <w:rsid w:val="00A04272"/>
    <w:rsid w:val="00A130C4"/>
    <w:rsid w:val="00A13CE2"/>
    <w:rsid w:val="00A21C7C"/>
    <w:rsid w:val="00A25579"/>
    <w:rsid w:val="00A52552"/>
    <w:rsid w:val="00A95EEA"/>
    <w:rsid w:val="00AB3451"/>
    <w:rsid w:val="00AB4746"/>
    <w:rsid w:val="00AD3386"/>
    <w:rsid w:val="00B01E53"/>
    <w:rsid w:val="00B110A3"/>
    <w:rsid w:val="00B161DA"/>
    <w:rsid w:val="00B23CFC"/>
    <w:rsid w:val="00B331A7"/>
    <w:rsid w:val="00B45F3F"/>
    <w:rsid w:val="00B6178C"/>
    <w:rsid w:val="00B667CF"/>
    <w:rsid w:val="00B73942"/>
    <w:rsid w:val="00BC29BD"/>
    <w:rsid w:val="00BE7020"/>
    <w:rsid w:val="00BF7768"/>
    <w:rsid w:val="00C020E6"/>
    <w:rsid w:val="00C427A7"/>
    <w:rsid w:val="00C646CF"/>
    <w:rsid w:val="00C651E7"/>
    <w:rsid w:val="00C74DB6"/>
    <w:rsid w:val="00C97E21"/>
    <w:rsid w:val="00CF188F"/>
    <w:rsid w:val="00D12A62"/>
    <w:rsid w:val="00D14DBD"/>
    <w:rsid w:val="00D32A43"/>
    <w:rsid w:val="00D42CAE"/>
    <w:rsid w:val="00D45704"/>
    <w:rsid w:val="00D532AA"/>
    <w:rsid w:val="00D60FA2"/>
    <w:rsid w:val="00D61F6E"/>
    <w:rsid w:val="00D66C5E"/>
    <w:rsid w:val="00D77A01"/>
    <w:rsid w:val="00D87BCA"/>
    <w:rsid w:val="00DA44E9"/>
    <w:rsid w:val="00DC7F9A"/>
    <w:rsid w:val="00DD11DE"/>
    <w:rsid w:val="00DE7195"/>
    <w:rsid w:val="00DF610C"/>
    <w:rsid w:val="00DF6D62"/>
    <w:rsid w:val="00E02F9A"/>
    <w:rsid w:val="00E54F27"/>
    <w:rsid w:val="00E80082"/>
    <w:rsid w:val="00ED3F1A"/>
    <w:rsid w:val="00F501A4"/>
    <w:rsid w:val="00F61469"/>
    <w:rsid w:val="00F61AB3"/>
    <w:rsid w:val="00F7772F"/>
    <w:rsid w:val="00FA6EBC"/>
    <w:rsid w:val="00FB7DDD"/>
    <w:rsid w:val="00FC3654"/>
    <w:rsid w:val="00FD4FB3"/>
    <w:rsid w:val="00FE1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05pt"/>
    </o:shapedefaults>
    <o:shapelayout v:ext="edit">
      <o:idmap v:ext="edit" data="1"/>
    </o:shapelayout>
  </w:shapeDefaults>
  <w:decimalSymbol w:val="."/>
  <w:listSeparator w:val=","/>
  <w15:chartTrackingRefBased/>
  <w15:docId w15:val="{81303E09-6D0B-4B57-A216-37800133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3BF"/>
    <w:rPr>
      <w:lang w:val="hu-HU" w:eastAsia="hu-HU"/>
    </w:rPr>
  </w:style>
  <w:style w:type="paragraph" w:styleId="Heading1">
    <w:name w:val="heading 1"/>
    <w:basedOn w:val="Normal"/>
    <w:next w:val="Normal"/>
    <w:qFormat/>
    <w:rsid w:val="008C4657"/>
    <w:pPr>
      <w:keepNext/>
      <w:jc w:val="center"/>
      <w:outlineLvl w:val="0"/>
    </w:pPr>
    <w:rPr>
      <w:rFonts w:ascii="Arial" w:hAnsi="Arial"/>
      <w:b/>
      <w:sz w:val="16"/>
    </w:rPr>
  </w:style>
  <w:style w:type="paragraph" w:styleId="Heading2">
    <w:name w:val="heading 2"/>
    <w:basedOn w:val="Normal"/>
    <w:next w:val="Normal"/>
    <w:qFormat/>
    <w:rsid w:val="008C4657"/>
    <w:pPr>
      <w:keepNext/>
      <w:tabs>
        <w:tab w:val="right" w:pos="9198"/>
      </w:tabs>
      <w:suppressAutoHyphens/>
      <w:ind w:left="426"/>
      <w:jc w:val="right"/>
      <w:outlineLvl w:val="1"/>
    </w:pPr>
    <w:rPr>
      <w:rFonts w:ascii="Arial" w:hAnsi="Arial"/>
      <w:spacing w:val="-3"/>
      <w:sz w:val="24"/>
    </w:rPr>
  </w:style>
  <w:style w:type="paragraph" w:styleId="Heading3">
    <w:name w:val="heading 3"/>
    <w:basedOn w:val="Normal"/>
    <w:next w:val="Normal"/>
    <w:qFormat/>
    <w:rsid w:val="008C4657"/>
    <w:pPr>
      <w:keepNext/>
      <w:tabs>
        <w:tab w:val="left" w:pos="-720"/>
      </w:tabs>
      <w:suppressAutoHyphens/>
      <w:ind w:left="426"/>
      <w:jc w:val="center"/>
      <w:outlineLvl w:val="2"/>
    </w:pPr>
    <w:rPr>
      <w:rFonts w:ascii="Arial" w:hAnsi="Arial"/>
      <w:spacing w:val="-3"/>
      <w:sz w:val="24"/>
    </w:rPr>
  </w:style>
  <w:style w:type="paragraph" w:styleId="Heading4">
    <w:name w:val="heading 4"/>
    <w:basedOn w:val="Normal"/>
    <w:next w:val="Normal"/>
    <w:qFormat/>
    <w:rsid w:val="008C4657"/>
    <w:pPr>
      <w:keepNext/>
      <w:tabs>
        <w:tab w:val="left" w:pos="-720"/>
      </w:tabs>
      <w:suppressAutoHyphens/>
      <w:ind w:left="426"/>
      <w:jc w:val="center"/>
      <w:outlineLvl w:val="3"/>
    </w:pPr>
    <w:rPr>
      <w:rFonts w:ascii="Arial" w:hAnsi="Arial"/>
      <w:b/>
      <w:spacing w:val="-3"/>
      <w:sz w:val="24"/>
    </w:rPr>
  </w:style>
  <w:style w:type="paragraph" w:styleId="Heading5">
    <w:name w:val="heading 5"/>
    <w:basedOn w:val="Normal"/>
    <w:next w:val="Normal"/>
    <w:qFormat/>
    <w:rsid w:val="008C4657"/>
    <w:pPr>
      <w:keepNext/>
      <w:tabs>
        <w:tab w:val="left" w:pos="-720"/>
      </w:tabs>
      <w:suppressAutoHyphens/>
      <w:ind w:left="426"/>
      <w:jc w:val="both"/>
      <w:outlineLvl w:val="4"/>
    </w:pPr>
    <w:rPr>
      <w:rFonts w:ascii="Arial" w:hAnsi="Arial"/>
      <w:b/>
      <w:spacing w:val="-3"/>
    </w:rPr>
  </w:style>
  <w:style w:type="paragraph" w:styleId="Heading6">
    <w:name w:val="heading 6"/>
    <w:basedOn w:val="Normal"/>
    <w:next w:val="Normal"/>
    <w:qFormat/>
    <w:rsid w:val="008C4657"/>
    <w:pPr>
      <w:keepNext/>
      <w:ind w:left="448"/>
      <w:jc w:val="both"/>
      <w:outlineLvl w:val="5"/>
    </w:pPr>
    <w:rPr>
      <w:rFonts w:ascii="Arial" w:hAnsi="Arial"/>
      <w:b/>
    </w:rPr>
  </w:style>
  <w:style w:type="paragraph" w:styleId="Heading7">
    <w:name w:val="heading 7"/>
    <w:basedOn w:val="Normal"/>
    <w:next w:val="Normal"/>
    <w:qFormat/>
    <w:rsid w:val="008C4657"/>
    <w:pPr>
      <w:keepNext/>
      <w:jc w:val="right"/>
      <w:outlineLvl w:val="6"/>
    </w:pPr>
    <w:rPr>
      <w:rFonts w:ascii="Comic Sans MS" w:hAnsi="Comic Sans MS"/>
      <w:sz w:val="24"/>
    </w:rPr>
  </w:style>
  <w:style w:type="paragraph" w:styleId="Heading8">
    <w:name w:val="heading 8"/>
    <w:basedOn w:val="Normal"/>
    <w:next w:val="Normal"/>
    <w:qFormat/>
    <w:rsid w:val="008C4657"/>
    <w:pPr>
      <w:keepNext/>
      <w:jc w:val="center"/>
      <w:outlineLvl w:val="7"/>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4657"/>
    <w:pPr>
      <w:tabs>
        <w:tab w:val="center" w:pos="4252"/>
        <w:tab w:val="right" w:pos="8504"/>
      </w:tabs>
    </w:pPr>
  </w:style>
  <w:style w:type="paragraph" w:styleId="Footer">
    <w:name w:val="footer"/>
    <w:basedOn w:val="Normal"/>
    <w:link w:val="FooterChar"/>
    <w:rsid w:val="008C4657"/>
    <w:pPr>
      <w:tabs>
        <w:tab w:val="center" w:pos="4252"/>
        <w:tab w:val="right" w:pos="8504"/>
      </w:tabs>
    </w:pPr>
  </w:style>
  <w:style w:type="paragraph" w:styleId="BodyText">
    <w:name w:val="Body Text"/>
    <w:basedOn w:val="Normal"/>
    <w:rsid w:val="008C4657"/>
    <w:pPr>
      <w:jc w:val="both"/>
    </w:pPr>
    <w:rPr>
      <w:rFonts w:ascii="Arial" w:hAnsi="Arial"/>
      <w:sz w:val="24"/>
    </w:rPr>
  </w:style>
  <w:style w:type="paragraph" w:styleId="BodyTextIndent">
    <w:name w:val="Body Text Indent"/>
    <w:basedOn w:val="Normal"/>
    <w:rsid w:val="008C4657"/>
    <w:pPr>
      <w:spacing w:before="120" w:after="120" w:line="360" w:lineRule="auto"/>
      <w:ind w:left="448"/>
      <w:jc w:val="both"/>
    </w:pPr>
    <w:rPr>
      <w:rFonts w:ascii="Arial" w:hAnsi="Arial"/>
    </w:rPr>
  </w:style>
  <w:style w:type="paragraph" w:styleId="PlainText">
    <w:name w:val="Plain Text"/>
    <w:basedOn w:val="Normal"/>
    <w:link w:val="PlainTextChar"/>
    <w:uiPriority w:val="99"/>
    <w:rsid w:val="008C4657"/>
    <w:rPr>
      <w:rFonts w:ascii="Courier New" w:hAnsi="Courier New"/>
    </w:rPr>
  </w:style>
  <w:style w:type="paragraph" w:styleId="ListParagraph">
    <w:name w:val="List Paragraph"/>
    <w:basedOn w:val="Normal"/>
    <w:uiPriority w:val="34"/>
    <w:qFormat/>
    <w:rsid w:val="002D0D06"/>
    <w:pPr>
      <w:ind w:left="708"/>
    </w:pPr>
    <w:rPr>
      <w:sz w:val="24"/>
      <w:szCs w:val="24"/>
    </w:rPr>
  </w:style>
  <w:style w:type="character" w:customStyle="1" w:styleId="FooterChar">
    <w:name w:val="Footer Char"/>
    <w:basedOn w:val="DefaultParagraphFont"/>
    <w:link w:val="Footer"/>
    <w:uiPriority w:val="99"/>
    <w:rsid w:val="00A92B49"/>
  </w:style>
  <w:style w:type="paragraph" w:customStyle="1" w:styleId="Default">
    <w:name w:val="Default"/>
    <w:rsid w:val="00434DCE"/>
    <w:pPr>
      <w:autoSpaceDE w:val="0"/>
      <w:autoSpaceDN w:val="0"/>
      <w:adjustRightInd w:val="0"/>
    </w:pPr>
    <w:rPr>
      <w:rFonts w:ascii="Arial" w:eastAsia="Calibri" w:hAnsi="Arial" w:cs="Arial"/>
      <w:color w:val="000000"/>
      <w:sz w:val="24"/>
      <w:szCs w:val="24"/>
      <w:lang w:val="hu-HU" w:eastAsia="hu-HU"/>
    </w:rPr>
  </w:style>
  <w:style w:type="paragraph" w:customStyle="1" w:styleId="Pa7">
    <w:name w:val="Pa7"/>
    <w:basedOn w:val="Default"/>
    <w:next w:val="Default"/>
    <w:uiPriority w:val="99"/>
    <w:rsid w:val="00434DCE"/>
    <w:pPr>
      <w:spacing w:line="201" w:lineRule="atLeast"/>
    </w:pPr>
  </w:style>
  <w:style w:type="paragraph" w:customStyle="1" w:styleId="Pa8">
    <w:name w:val="Pa8"/>
    <w:basedOn w:val="Default"/>
    <w:next w:val="Default"/>
    <w:uiPriority w:val="99"/>
    <w:rsid w:val="00434DCE"/>
    <w:pPr>
      <w:spacing w:line="201" w:lineRule="atLeast"/>
    </w:pPr>
  </w:style>
  <w:style w:type="paragraph" w:customStyle="1" w:styleId="Pa10">
    <w:name w:val="Pa10"/>
    <w:basedOn w:val="Default"/>
    <w:next w:val="Default"/>
    <w:uiPriority w:val="99"/>
    <w:rsid w:val="00434DCE"/>
    <w:pPr>
      <w:spacing w:line="201" w:lineRule="atLeast"/>
    </w:pPr>
  </w:style>
  <w:style w:type="table" w:styleId="TableGrid">
    <w:name w:val="Table Grid"/>
    <w:basedOn w:val="TableNormal"/>
    <w:rsid w:val="00182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96445"/>
  </w:style>
  <w:style w:type="character" w:styleId="CommentReference">
    <w:name w:val="annotation reference"/>
    <w:rsid w:val="00E17804"/>
    <w:rPr>
      <w:sz w:val="16"/>
      <w:szCs w:val="16"/>
      <w:lang w:val="hu-HU" w:eastAsia="hu-HU"/>
    </w:rPr>
  </w:style>
  <w:style w:type="paragraph" w:styleId="CommentText">
    <w:name w:val="annotation text"/>
    <w:basedOn w:val="Normal"/>
    <w:link w:val="CommentTextChar"/>
    <w:rsid w:val="00E17804"/>
  </w:style>
  <w:style w:type="character" w:customStyle="1" w:styleId="CommentTextChar">
    <w:name w:val="Comment Text Char"/>
    <w:basedOn w:val="DefaultParagraphFont"/>
    <w:link w:val="CommentText"/>
    <w:rsid w:val="00E17804"/>
  </w:style>
  <w:style w:type="paragraph" w:styleId="CommentSubject">
    <w:name w:val="annotation subject"/>
    <w:basedOn w:val="CommentText"/>
    <w:next w:val="CommentText"/>
    <w:link w:val="CommentSubjectChar"/>
    <w:rsid w:val="00E17804"/>
    <w:rPr>
      <w:b/>
      <w:bCs/>
    </w:rPr>
  </w:style>
  <w:style w:type="character" w:customStyle="1" w:styleId="CommentSubjectChar">
    <w:name w:val="Comment Subject Char"/>
    <w:link w:val="CommentSubject"/>
    <w:rsid w:val="00E17804"/>
    <w:rPr>
      <w:b/>
      <w:bCs/>
      <w:lang w:val="hu-HU" w:eastAsia="hu-HU"/>
    </w:rPr>
  </w:style>
  <w:style w:type="paragraph" w:styleId="BalloonText">
    <w:name w:val="Balloon Text"/>
    <w:basedOn w:val="Normal"/>
    <w:link w:val="BalloonTextChar"/>
    <w:rsid w:val="00E17804"/>
    <w:rPr>
      <w:rFonts w:ascii="Tahoma" w:hAnsi="Tahoma" w:cs="Tahoma"/>
      <w:sz w:val="16"/>
      <w:szCs w:val="16"/>
    </w:rPr>
  </w:style>
  <w:style w:type="character" w:customStyle="1" w:styleId="BalloonTextChar">
    <w:name w:val="Balloon Text Char"/>
    <w:link w:val="BalloonText"/>
    <w:rsid w:val="00E17804"/>
    <w:rPr>
      <w:rFonts w:ascii="Tahoma" w:hAnsi="Tahoma" w:cs="Tahoma"/>
      <w:sz w:val="16"/>
      <w:szCs w:val="16"/>
      <w:lang w:val="hu-HU" w:eastAsia="hu-HU"/>
    </w:rPr>
  </w:style>
  <w:style w:type="character" w:styleId="Hyperlink">
    <w:name w:val="Hyperlink"/>
    <w:uiPriority w:val="99"/>
    <w:unhideWhenUsed/>
    <w:rsid w:val="007A391C"/>
    <w:rPr>
      <w:dstrike w:val="0"/>
      <w:color w:val="4C6F99"/>
      <w:u w:val="none"/>
      <w:effect w:val="none"/>
      <w:lang w:val="hu-HU" w:eastAsia="hu-HU"/>
    </w:rPr>
  </w:style>
  <w:style w:type="paragraph" w:styleId="Revision">
    <w:name w:val="Revision"/>
    <w:hidden/>
    <w:uiPriority w:val="99"/>
    <w:semiHidden/>
    <w:rsid w:val="00760167"/>
    <w:rPr>
      <w:lang w:val="hu-HU" w:eastAsia="hu-HU"/>
    </w:rPr>
  </w:style>
  <w:style w:type="paragraph" w:styleId="FootnoteText">
    <w:name w:val="footnote text"/>
    <w:basedOn w:val="Normal"/>
    <w:link w:val="FootnoteTextChar"/>
    <w:semiHidden/>
    <w:rsid w:val="00417B11"/>
  </w:style>
  <w:style w:type="character" w:customStyle="1" w:styleId="FootnoteTextChar">
    <w:name w:val="Footnote Text Char"/>
    <w:link w:val="FootnoteText"/>
    <w:semiHidden/>
    <w:rsid w:val="00417B11"/>
    <w:rPr>
      <w:lang w:val="hu-HU" w:eastAsia="hu-HU"/>
    </w:rPr>
  </w:style>
  <w:style w:type="character" w:styleId="PageNumber">
    <w:name w:val="page number"/>
    <w:basedOn w:val="DefaultParagraphFont"/>
    <w:semiHidden/>
    <w:rsid w:val="00417B11"/>
  </w:style>
  <w:style w:type="paragraph" w:customStyle="1" w:styleId="Pa3">
    <w:name w:val="Pa3"/>
    <w:basedOn w:val="Default"/>
    <w:next w:val="Default"/>
    <w:uiPriority w:val="99"/>
    <w:rsid w:val="00577413"/>
    <w:pPr>
      <w:widowControl w:val="0"/>
      <w:spacing w:line="361" w:lineRule="atLeast"/>
    </w:pPr>
    <w:rPr>
      <w:rFonts w:eastAsia="宋体"/>
      <w:color w:val="auto"/>
      <w:lang w:val="en-GB" w:eastAsia="en-GB" w:bidi="en-GB"/>
    </w:rPr>
  </w:style>
  <w:style w:type="paragraph" w:customStyle="1" w:styleId="Pa1">
    <w:name w:val="Pa1"/>
    <w:basedOn w:val="Default"/>
    <w:next w:val="Default"/>
    <w:uiPriority w:val="99"/>
    <w:rsid w:val="00BE7020"/>
    <w:pPr>
      <w:widowControl w:val="0"/>
      <w:spacing w:line="201" w:lineRule="atLeast"/>
    </w:pPr>
    <w:rPr>
      <w:rFonts w:eastAsia="宋体"/>
      <w:color w:val="auto"/>
      <w:lang w:val="en-GB" w:eastAsia="en-GB" w:bidi="en-GB"/>
    </w:rPr>
  </w:style>
  <w:style w:type="character" w:customStyle="1" w:styleId="PlainTextChar">
    <w:name w:val="Plain Text Char"/>
    <w:link w:val="PlainText"/>
    <w:uiPriority w:val="99"/>
    <w:rsid w:val="007A1BF4"/>
    <w:rPr>
      <w:rFonts w:ascii="Courier New" w:hAnsi="Courier New"/>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is%20documentos\WORD\Plantilla1\papel%20ofic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38C37-09C3-4857-AD92-4BDB77850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papel oficial.dot</Template>
  <TotalTime>2</TotalTime>
  <Pages>16</Pages>
  <Words>5990</Words>
  <Characters>34148</Characters>
  <Application>Microsoft Office Word</Application>
  <DocSecurity>0</DocSecurity>
  <Lines>284</Lines>
  <Paragraphs>80</Paragraphs>
  <ScaleCrop>false</ScaleCrop>
  <HeadingPairs>
    <vt:vector size="6" baseType="variant">
      <vt:variant>
        <vt:lpstr>Title</vt:lpstr>
      </vt:variant>
      <vt:variant>
        <vt:i4>1</vt:i4>
      </vt:variant>
      <vt:variant>
        <vt:lpstr>Título</vt:lpstr>
      </vt:variant>
      <vt:variant>
        <vt:i4>1</vt:i4>
      </vt:variant>
      <vt:variant>
        <vt:lpstr>Títol</vt:lpstr>
      </vt:variant>
      <vt:variant>
        <vt:i4>1</vt:i4>
      </vt:variant>
    </vt:vector>
  </HeadingPairs>
  <TitlesOfParts>
    <vt:vector size="3" baseType="lpstr">
      <vt:lpstr/>
      <vt:lpstr/>
      <vt:lpstr/>
    </vt:vector>
  </TitlesOfParts>
  <Company>M.A.P.</Company>
  <LinksUpToDate>false</LinksUpToDate>
  <CharactersWithSpaces>40058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Dolores Miñano Navarro</dc:creator>
  <cp:keywords/>
  <cp:lastModifiedBy>Liu, Lei</cp:lastModifiedBy>
  <cp:revision>4</cp:revision>
  <cp:lastPrinted>2017-10-09T08:20:00Z</cp:lastPrinted>
  <dcterms:created xsi:type="dcterms:W3CDTF">2018-10-04T12:12:00Z</dcterms:created>
  <dcterms:modified xsi:type="dcterms:W3CDTF">2018-10-04T12:15:00Z</dcterms:modified>
</cp:coreProperties>
</file>