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lang w:val="da-DK"/>
        </w:rPr>
      </w:pPr>
    </w:p>
    <w:p w:rsidR="007D2CBC" w:rsidRPr="00B00403" w:rsidRDefault="007D2CBC" w:rsidP="007D2CBC">
      <w:pPr>
        <w:pStyle w:val="PlainText"/>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------IND- 2017 0525 E- PL-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bCs/>
          <w:sz w:val="30"/>
          <w:szCs w:val="30"/>
        </w:rPr>
        <w:t xml:space="preserve">I. PRZEPISY OGÓLNE</w:t>
      </w:r>
    </w:p>
    <w:p w:rsidR="001B208E" w:rsidRDefault="001B208E" w:rsidP="007D7D7B">
      <w:pPr>
        <w:pStyle w:val="Pa3"/>
        <w:widowControl/>
        <w:spacing w:before="120" w:after="120" w:line="360" w:lineRule="auto"/>
        <w:jc w:val="center"/>
        <w:rPr>
          <w:color w:val="000000"/>
          <w:sz w:val="39"/>
          <w:szCs w:val="39"/>
        </w:rPr>
      </w:pPr>
      <w:r>
        <w:rPr>
          <w:color w:val="000000"/>
          <w:sz w:val="39"/>
          <w:szCs w:val="39"/>
        </w:rPr>
        <w:t xml:space="preserve">MINISTERSTWO ROLNICTWA I RYBOŁÓWSTWA, GOSPODARKI ŻYWNOŚCIOWEJ I ŚRODOWISKA</w:t>
      </w:r>
    </w:p>
    <w:p w:rsidR="00694AFB" w:rsidRPr="00C1192B" w:rsidRDefault="00694AFB" w:rsidP="007D7D7B">
      <w:pPr>
        <w:pStyle w:val="Default"/>
        <w:widowControl/>
        <w:rPr>
          <w:b/>
          <w:bCs/>
          <w:color w:val="004378"/>
          <w:sz w:val="20"/>
          <w:szCs w:val="20"/>
        </w:rPr>
      </w:pPr>
      <w:r>
        <w:rPr>
          <w:b/>
          <w:bCs/>
          <w:color w:val="004378"/>
          <w:sz w:val="20"/>
          <w:szCs w:val="20"/>
        </w:rPr>
        <w:t xml:space="preserve">Nr 122</w:t>
        <w:tab/>
        <w:t xml:space="preserve">Sobota, 19 maja 2018 r.   Sekcja</w:t>
      </w:r>
      <w:r>
        <w:rPr>
          <w:b/>
          <w:bCs/>
          <w:color w:val="004378"/>
          <w:sz w:val="20"/>
          <w:szCs w:val="20"/>
        </w:rPr>
        <w:t xml:space="preserve"> </w:t>
      </w:r>
      <w:r>
        <w:rPr>
          <w:b/>
          <w:bCs/>
          <w:color w:val="004378"/>
          <w:sz w:val="20"/>
          <w:szCs w:val="20"/>
        </w:rPr>
        <w:t xml:space="preserve">I.   Str.</w:t>
      </w:r>
      <w:r>
        <w:rPr>
          <w:b/>
          <w:bCs/>
          <w:color w:val="004378"/>
          <w:sz w:val="20"/>
          <w:szCs w:val="20"/>
        </w:rPr>
        <w:t xml:space="preserve"> </w:t>
      </w:r>
      <w:r>
        <w:rPr>
          <w:b/>
          <w:bCs/>
          <w:color w:val="004378"/>
          <w:sz w:val="20"/>
          <w:szCs w:val="20"/>
        </w:rPr>
        <w:t xml:space="preserve">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iCs/>
          <w:sz w:val="20"/>
          <w:szCs w:val="20"/>
        </w:rPr>
        <w:t xml:space="preserve">Dekret królewski nr 293/2018 z dnia 18 maja w sprawie ograniczenia zużycia plastikowych toreb na zakupy oraz utworzenia rejestru producentów produktów.</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I</w:t>
      </w:r>
    </w:p>
    <w:p w:rsidR="001B208E" w:rsidRDefault="001B208E" w:rsidP="007D7D7B">
      <w:pPr>
        <w:pStyle w:val="Default"/>
        <w:widowControl/>
        <w:spacing w:before="120" w:after="120"/>
        <w:ind w:firstLine="720"/>
        <w:rPr>
          <w:sz w:val="20"/>
          <w:szCs w:val="20"/>
        </w:rPr>
      </w:pPr>
      <w:r>
        <w:rPr>
          <w:sz w:val="20"/>
          <w:szCs w:val="20"/>
        </w:rPr>
        <w:t xml:space="preserve">Dyrektywę 94/62/WE Parlamentu Europejskiego i Rady z dnia 20 grudnia 1994 r. w sprawie opakowań i odpadów opakowaniowych przyjęto w celu zapobiegania wpływowi na środowisko opakowań i odpadów opakowaniowych lub ograniczenia go.</w:t>
      </w:r>
      <w:r>
        <w:rPr>
          <w:sz w:val="20"/>
          <w:szCs w:val="20"/>
        </w:rPr>
        <w:t xml:space="preserve"> </w:t>
      </w:r>
      <w:r>
        <w:rPr>
          <w:sz w:val="20"/>
          <w:szCs w:val="20"/>
        </w:rPr>
        <w:t xml:space="preserve">Dyrektywę tę włączono do hiszpańskiego porządku prawnego ustawą 11/1997 z dnia 24 kwietnia o opakowaniach i odpadach opakowaniowych oraz dekretem królewskim nr 782/1998 z dnia 30 kwietnia zatwierdzającym rozporządzenie wykonawcze do ustawy nr 11/1997 z dnia 24 kwietnia o opakowaniach i odpadach opakowaniowych.</w:t>
      </w:r>
      <w:r>
        <w:rPr>
          <w:sz w:val="20"/>
          <w:szCs w:val="20"/>
        </w:rPr>
        <w:t xml:space="preserve"> </w:t>
      </w:r>
      <w:r>
        <w:rPr>
          <w:sz w:val="20"/>
          <w:szCs w:val="20"/>
        </w:rPr>
        <w:t xml:space="preserve">Wprawdzie plastikowe torby na zakupy są opakowaniami w rozumieniu dyrektywy 94/62/WE Parlamentu Europejskiego i Rady z dnia 20 grudnia 1994 r., lecz pierwotny tekst tej dyrektywy nie zawiera szczegółowych przepisów dotyczących korzystania z tego typu opakowań.</w:t>
      </w:r>
    </w:p>
    <w:p w:rsidR="001B208E" w:rsidRDefault="001B208E" w:rsidP="007D7D7B">
      <w:pPr>
        <w:pStyle w:val="Default"/>
        <w:widowControl/>
        <w:spacing w:before="120" w:after="120"/>
        <w:ind w:firstLine="720"/>
        <w:rPr>
          <w:sz w:val="20"/>
          <w:szCs w:val="20"/>
        </w:rPr>
      </w:pPr>
      <w:r>
        <w:rPr>
          <w:sz w:val="20"/>
          <w:szCs w:val="20"/>
        </w:rPr>
        <w:t xml:space="preserve">Obecny poziom zużycia plastikowych toreb na zakupy prowadzi do powstawania znacznej ilości odpadów rozproszonych, oznacza niewydajne wykorzystanie zasobów, a można przewidzieć, że w przypadku niepodjęcia odpowiednich środków ich ilość jeszcze wzrośnie.</w:t>
      </w:r>
      <w:r>
        <w:rPr>
          <w:sz w:val="20"/>
          <w:szCs w:val="20"/>
        </w:rPr>
        <w:t xml:space="preserve"> </w:t>
      </w:r>
      <w:r>
        <w:rPr>
          <w:sz w:val="20"/>
          <w:szCs w:val="20"/>
        </w:rPr>
        <w:t xml:space="preserve">Rozproszone torby plastikowe są źródłem zanieczyszczenia środowiska i pogłębiają ogólny problem obecności odpadów w masach wodnych, co oznacza zagrożenie dla ekosystemów wodnych w skali światowej.</w:t>
      </w:r>
      <w:r>
        <w:rPr>
          <w:sz w:val="20"/>
          <w:szCs w:val="20"/>
        </w:rPr>
        <w:t xml:space="preserve"> </w:t>
      </w:r>
      <w:r>
        <w:rPr>
          <w:sz w:val="20"/>
          <w:szCs w:val="20"/>
        </w:rPr>
        <w:t xml:space="preserve">Torby plastikowe na zakupy o grubości poniżej 50 mikronów (lekkie plastikowe torby na zakupy), które stanowią zdecydowaną większość całkowitej liczby plastikowych toreb na zakupy zużywanych w Unii Europejskiej, są rzadziej ponownie wykorzystywane niż torby z grubszego tworzywa.</w:t>
      </w:r>
      <w:r>
        <w:rPr>
          <w:sz w:val="20"/>
          <w:szCs w:val="20"/>
        </w:rPr>
        <w:t xml:space="preserve"> </w:t>
      </w:r>
      <w:r>
        <w:rPr>
          <w:sz w:val="20"/>
          <w:szCs w:val="20"/>
        </w:rPr>
        <w:t xml:space="preserve">W związku z tym lekkie plastikowe torby na zakupy szybciej stają się odpadem i częściej ulegają rozproszeniu jako śmieci ze względu na ich niewielką wagę.</w:t>
      </w:r>
      <w:r>
        <w:rPr>
          <w:sz w:val="20"/>
          <w:szCs w:val="20"/>
        </w:rPr>
        <w:t xml:space="preserve"> </w:t>
      </w:r>
      <w:r>
        <w:rPr>
          <w:sz w:val="20"/>
          <w:szCs w:val="20"/>
        </w:rPr>
        <w:t xml:space="preserve">Obecne wskaźniki recyklingu lekkich plastikowych toreb na zakupy są bardzo niskie, a z uwagi na szereg problemów natury praktycznej i ekonomicznej jest mało prawdopodobne, by w niedalekiej przyszłości osiągnęły one znaczący poziom.</w:t>
      </w:r>
    </w:p>
    <w:p w:rsidR="001B208E" w:rsidRDefault="001B208E" w:rsidP="007D7D7B">
      <w:pPr>
        <w:pStyle w:val="Default"/>
        <w:widowControl/>
        <w:spacing w:before="120" w:after="120"/>
        <w:ind w:firstLine="720"/>
        <w:rPr>
          <w:sz w:val="20"/>
          <w:szCs w:val="20"/>
        </w:rPr>
      </w:pPr>
      <w:r>
        <w:rPr>
          <w:sz w:val="20"/>
          <w:szCs w:val="20"/>
        </w:rPr>
        <w:t xml:space="preserve">W celu rozwiązania opisanego problemu na szczeblu Unii Europejskiej przyjęto dyrektywę Parlamentu Europejskiego i Rady (UE) 2015/720 z dnia 29 kwietnia 2015 r. zmieniającą dyrektywę 94/62/WE w odniesieniu do zmniejszenia zużycia lekkich plastikowych toreb na zakupy.</w:t>
      </w:r>
      <w:r>
        <w:rPr>
          <w:sz w:val="20"/>
          <w:szCs w:val="20"/>
        </w:rPr>
        <w:t xml:space="preserve"> </w:t>
      </w:r>
      <w:r>
        <w:rPr>
          <w:sz w:val="20"/>
          <w:szCs w:val="20"/>
        </w:rPr>
        <w:t xml:space="preserve">Celem niniejszego dekretu królewskiego jest włączenie do hiszpańskiego porządku prawnego przepisów dyrektywy Parlamentu Europejskiego i Rady (UE) 2015/720 z dnia 29 kwietnia 2015 r.</w:t>
      </w:r>
    </w:p>
    <w:p w:rsidR="001B208E" w:rsidRDefault="001B208E" w:rsidP="007D7D7B">
      <w:pPr>
        <w:pStyle w:val="Default"/>
        <w:widowControl/>
        <w:spacing w:before="120" w:after="120"/>
        <w:ind w:firstLine="720"/>
        <w:rPr>
          <w:sz w:val="20"/>
          <w:szCs w:val="20"/>
        </w:rPr>
      </w:pPr>
      <w:r>
        <w:rPr>
          <w:sz w:val="20"/>
          <w:szCs w:val="20"/>
        </w:rPr>
        <w:t xml:space="preserve">Wspomniana dyrektywa stanowi, że państwa członkowskie przyjmują środki służące osiągnięciu trwałego zmniejszenia zużycia lekkich plastikowych toreb na zakupy na swoim terytorium.</w:t>
      </w:r>
      <w:r>
        <w:rPr>
          <w:sz w:val="20"/>
          <w:szCs w:val="20"/>
        </w:rPr>
        <w:t xml:space="preserve"> </w:t>
      </w:r>
      <w:r>
        <w:rPr>
          <w:sz w:val="20"/>
          <w:szCs w:val="20"/>
        </w:rPr>
        <w:t xml:space="preserve">W tym celu w dyrektywie proponuje się państwom członkowskim różne opcje, które między innymi mogą obejmować stosowanie krajowych celów dotyczących zmniejszenia, wprowadzanie instrumentów ekonomicznych, a także, w stosownych przypadkach, ograniczeń wprowadzania do obrotu, pod warunkiem że ograniczenia te są proporcjonalne i niedyskryminujące.</w:t>
      </w:r>
      <w:r>
        <w:rPr>
          <w:sz w:val="20"/>
          <w:szCs w:val="20"/>
        </w:rPr>
        <w:t xml:space="preserve"> </w:t>
      </w:r>
      <w:r>
        <w:rPr>
          <w:sz w:val="20"/>
          <w:szCs w:val="20"/>
        </w:rPr>
        <w:t xml:space="preserve">Jednocześnie dyrektywa stanowi, że takie środki mogą się różnić w zależności od wpływu lekkich plastikowych toreb na zakupy na środowisko, gdy są odzyskiwane lub unieszkodliwiane, ich właściwości kompostowalnych, trwałości lub konkretnego zamierzonego wykorzystania.</w:t>
      </w:r>
    </w:p>
    <w:p w:rsidR="00694AFB" w:rsidRDefault="001B208E" w:rsidP="007D7D7B">
      <w:pPr>
        <w:pStyle w:val="Default"/>
        <w:widowControl/>
        <w:spacing w:before="120" w:after="120"/>
        <w:ind w:firstLine="720"/>
        <w:rPr>
          <w:sz w:val="20"/>
          <w:szCs w:val="20"/>
        </w:rPr>
      </w:pPr>
      <w:r>
        <w:rPr>
          <w:sz w:val="20"/>
          <w:szCs w:val="20"/>
        </w:rPr>
        <w:t xml:space="preserve">W każdym przypadku środki przyjmowane przez państwa członkowskie obejmują jeden z poniższych środków lub oba środki: a) przyjęcie środków zapewniających, aby do dnia 31 grudnia 2019 r. roczny poziom zużycia nie przekraczał 90 lekkich plastikowych toreb na zakupy w przeliczeniu na osobę, a do dnia 31 grudnia 2025 r. – 40 takich toreb w przeliczeniu na osobę; lub określenie podobnych celów wyrażonych w wadze; b) przyjęcie instrumentów zapewniających, aby do dnia 31 grudnia 2018 r. lekkie plastikowe torby na zakupy nie były oferowane za darmo w punktach sprzedaży towarów lub produktów, chyba że wdrożone zostaną równie skuteczne instrumenty.</w:t>
      </w:r>
      <w:r>
        <w:rPr>
          <w:sz w:val="20"/>
          <w:szCs w:val="20"/>
        </w:rPr>
        <w:t xml:space="preserve"> </w:t>
      </w:r>
      <w:r>
        <w:rPr>
          <w:sz w:val="20"/>
          <w:szCs w:val="20"/>
        </w:rPr>
        <w:t xml:space="preserve">Dyrektywa pozwala państwom członkowskim na wykluczenie z zakresu tych środków toreb o grubości materiału poniżej 15 mikronów, które są używane ze względów higienicznych lub w celu zapobiegania marnowaniu jedzenia.</w:t>
      </w:r>
      <w:r>
        <w:rPr>
          <w:sz w:val="20"/>
          <w:szCs w:val="20"/>
        </w:rPr>
        <w:t xml:space="preserve"> </w:t>
      </w:r>
      <w:r>
        <w:rPr>
          <w:sz w:val="20"/>
          <w:szCs w:val="20"/>
        </w:rPr>
        <w:t xml:space="preserve">Dyrektywa stanowi również, że od dnia 27 maja 2018 r. państwa członkowskie składają sprawozdania na temat rocznego zużycia lekkich plastikowych toreb na zakupy przy przekazywaniu Komisji danych dotyczących opakowań i odpadów opakowaniowych zgodnie z obowiązującymi przepisami.</w:t>
      </w:r>
      <w:r>
        <w:rPr>
          <w:sz w:val="20"/>
          <w:szCs w:val="20"/>
        </w:rPr>
        <w:t xml:space="preserve"> </w:t>
      </w:r>
      <w:r>
        <w:rPr>
          <w:sz w:val="20"/>
          <w:szCs w:val="20"/>
        </w:rPr>
        <w:t xml:space="preserve">W odniesieniu do pozostałych plastikowych toreb na zakupy (o grubości materiału co najmniej 50 mikronów) dyrektywa przewiduje, że państwa członkowskie mogą przyjąć środki takie jak instrumenty ekonomiczne i cele krajowe prowadzące do zmniejszenia zużycia.</w:t>
      </w:r>
      <w:r>
        <w:rPr>
          <w:sz w:val="20"/>
          <w:szCs w:val="20"/>
        </w:rPr>
        <w:t xml:space="preserve"> </w:t>
      </w:r>
      <w:r>
        <w:rPr>
          <w:sz w:val="20"/>
          <w:szCs w:val="20"/>
        </w:rPr>
        <w:t xml:space="preserve">Prócz tego w dyrektywie zwraca się szczególną uwagę na publiczne kampanie informacyjne i kampanie zwiększające świadomość dotyczące negatywnych dla środowiska skutków nadmiernego zużycia lekkich plastikowych toreb na zakupy, które powinny realizować państwa członkowskie.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II</w:t>
      </w:r>
    </w:p>
    <w:p w:rsidR="001B208E" w:rsidRDefault="001B208E" w:rsidP="007D7D7B">
      <w:pPr>
        <w:pStyle w:val="Default"/>
        <w:widowControl/>
        <w:spacing w:before="120" w:after="120"/>
        <w:ind w:firstLine="720"/>
        <w:rPr>
          <w:sz w:val="20"/>
          <w:szCs w:val="20"/>
        </w:rPr>
      </w:pPr>
      <w:r>
        <w:rPr>
          <w:sz w:val="20"/>
          <w:szCs w:val="20"/>
        </w:rPr>
        <w:t xml:space="preserve">W odniesieniu do zużycia toreb plastikowych na zakupy w zintegrowanym krajowym planie gospodarowania odpadami w latach 2008–2015 przedstawiono różne środki mające na celu stopniowe zastępowanie jednorazowych toreb na zakupy.</w:t>
      </w:r>
      <w:r>
        <w:rPr>
          <w:sz w:val="20"/>
          <w:szCs w:val="20"/>
        </w:rPr>
        <w:t xml:space="preserve"> </w:t>
      </w:r>
      <w:r>
        <w:rPr>
          <w:sz w:val="20"/>
          <w:szCs w:val="20"/>
        </w:rPr>
        <w:t xml:space="preserve">Wśród tych środków wyróżniało się zmniejszenie o 50 % ilości jednorazowych toreb na zakupy do roku 2010, a także ustalenie harmonogramu zastępowania tworzyw sztucznych nieulegających biodegradacji i wspieranie porozumień z sektorami dystrybucji w celu ograniczenia generowania odpadów z jednorazowych toreb na zakupy i promowania korzystania z wielorazowych toreb na zakupy w sklepach oraz sklepach wielkopowierzchniowych, a także zastępowanie jednorazowych plastikowych toreb na zakupy nieulegających biodegradacji torbami z materiału biodegradowalnego.</w:t>
      </w:r>
      <w:r>
        <w:rPr>
          <w:sz w:val="20"/>
          <w:szCs w:val="20"/>
        </w:rPr>
        <w:t xml:space="preserve"> </w:t>
      </w:r>
      <w:r>
        <w:rPr>
          <w:sz w:val="20"/>
          <w:szCs w:val="20"/>
        </w:rPr>
        <w:t xml:space="preserve">Należy zaznaczyć, że określenie „biodegradowalne” należy rozumieć jako „kompostowalne” zgodnie z przepisami tej samej dyrektywy Parlamentu Europejskiego i Rady (UE) 2015/720 z dnia 29 kwietnia 2015 r.</w:t>
      </w:r>
    </w:p>
    <w:p w:rsidR="001B208E" w:rsidRDefault="001B208E" w:rsidP="007D7D7B">
      <w:pPr>
        <w:pStyle w:val="Default"/>
        <w:widowControl/>
        <w:spacing w:before="120" w:after="120"/>
        <w:ind w:firstLine="720"/>
        <w:rPr>
          <w:sz w:val="20"/>
          <w:szCs w:val="20"/>
        </w:rPr>
      </w:pPr>
      <w:r>
        <w:rPr>
          <w:sz w:val="20"/>
          <w:szCs w:val="20"/>
        </w:rPr>
        <w:t xml:space="preserve">Natomiast drugi przepis dodatkowy ustawy 22/2011 z dnia 28 lipca o odpadach i zanieczyszczeniu gleby zobowiązuje organy administracji publicznej do przyjęcia środków koniecznych w celu promowania bardziej zrównoważonych systemów zapobiegania generowaniu i ograniczania generowania odpadów z jednorazowych toreb na zakupy z tworzywa sztucznego nieulegającego biodegradacji i zarządzania tymi odpadami oraz rozwiązań alternatywnych do tych środków, łącznie z działaniami organów administracji występujących w roli konsumenta w ramach zamówień publicznych.</w:t>
      </w:r>
    </w:p>
    <w:p w:rsidR="001B208E" w:rsidRDefault="001B208E" w:rsidP="007D7D7B">
      <w:pPr>
        <w:pStyle w:val="Default"/>
        <w:widowControl/>
        <w:spacing w:before="120" w:after="120"/>
        <w:ind w:firstLine="720"/>
        <w:rPr>
          <w:sz w:val="20"/>
          <w:szCs w:val="20"/>
        </w:rPr>
      </w:pPr>
      <w:r>
        <w:rPr>
          <w:sz w:val="20"/>
          <w:szCs w:val="20"/>
        </w:rPr>
        <w:t xml:space="preserve">Oprócz tego państwowy program zapobiegania powstawaniu odpadów przewidziany na lata 2014–2020, zatwierdzony w drodze porozumienia Rady Ministrów z dnia 13 grudnia 2013 r., obejmuje obszar priorytetowy opakowań, określając niektóre szczególne środki dotyczące zmniejszenia zużycia toreb z tworzyw sztucznych.</w:t>
      </w:r>
      <w:r>
        <w:rPr>
          <w:sz w:val="20"/>
          <w:szCs w:val="20"/>
        </w:rPr>
        <w:t xml:space="preserve"> </w:t>
      </w:r>
      <w:r>
        <w:rPr>
          <w:sz w:val="20"/>
          <w:szCs w:val="20"/>
        </w:rPr>
        <w:t xml:space="preserve">Również państwowy plan ramowy w zakresie gospodarki odpadami na lata 2016–2022, zatwierdzony w drodze porozumienia Rady Ministrów z dnia 6 listopada 2015 r., w rozdziale o opakowaniach i odpadach opakowaniowych zawiera informacje i określa cele dotyczące plastikowych toreb.</w:t>
      </w:r>
    </w:p>
    <w:p w:rsidR="001B208E" w:rsidRDefault="001B208E" w:rsidP="007D7D7B">
      <w:pPr>
        <w:pStyle w:val="Default"/>
        <w:widowControl/>
        <w:spacing w:before="120" w:after="120"/>
        <w:ind w:firstLine="720"/>
        <w:rPr>
          <w:sz w:val="20"/>
          <w:szCs w:val="20"/>
        </w:rPr>
      </w:pPr>
      <w:r>
        <w:rPr>
          <w:sz w:val="20"/>
          <w:szCs w:val="20"/>
        </w:rPr>
        <w:t xml:space="preserve">Ostatecznie od momentu przyjęcia i wdrożenia zintegrowanego krajowego planu gospodarowania odpadami 2008–2015, ustawy 22/2011 z dnia 28 lipca, a także kolejnych instrumentów programowania i planowania w zakresie odpadów, organy administracji publicznej i sektor dystrybucji przyjęły wiele środków w celu zmniejszenia zużycia tego rodzaju opakowań, pośród których można wyróżnić między innymi: dobrowolne porozumienia z dystrybutorami, kampanie zwiększające świadomość, ustanowienie podatków, promowanie korzystania z toreb wielorazowych, ustalenie ceny torby.</w:t>
      </w:r>
      <w:r>
        <w:rPr>
          <w:sz w:val="20"/>
          <w:szCs w:val="20"/>
        </w:rPr>
        <w:t xml:space="preserve"> </w:t>
      </w:r>
      <w:r>
        <w:rPr>
          <w:sz w:val="20"/>
          <w:szCs w:val="20"/>
        </w:rPr>
        <w:t xml:space="preserve">W konsekwencji tych środków i według danych z sektora w tym czasie zmniejszono zużycie toreb praktycznie o połowę, od 317 toreb na mieszkańca w 2007 r. do 144 na mieszkańca w 2014 r. Wynika to przede wszystkim ze zmiany modeli zużycia tego typu opakowania.</w:t>
      </w:r>
    </w:p>
    <w:p w:rsidR="001B208E" w:rsidRDefault="001B208E" w:rsidP="007D7D7B">
      <w:pPr>
        <w:pStyle w:val="Default"/>
        <w:widowControl/>
        <w:spacing w:before="120" w:after="120"/>
        <w:ind w:firstLine="720"/>
        <w:rPr>
          <w:sz w:val="20"/>
          <w:szCs w:val="20"/>
        </w:rPr>
      </w:pPr>
      <w:r>
        <w:rPr>
          <w:sz w:val="20"/>
          <w:szCs w:val="20"/>
        </w:rPr>
        <w:t xml:space="preserve">Według danych dostarczonych przez sektor w 2014 r. w Hiszpanii wprowadzono do obrotu około 62 560 ton plastikowych toreb o grubości poniżej 50 mikronów (6 730 000 000 sztuk), z czego 23 % stanowiły torby o grubości poniżej 15 mikronów, oraz około 4 670 ton plastikowych toreb o grubości powyżej 50 mikronów (158 000 000 sztuk). W związku z tym konieczne jest dalsze działanie na rzecz zmian we wzorcach zachowań dotyczących użycia plastikowych toreb, w szczególności w takich sektorach jak małe przedsiębiorstwa, a także wdrożenie do prawa hiszpańskiego nowej europejskiej dyrektywy w sprawie zużycia toreb.</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III</w:t>
      </w:r>
    </w:p>
    <w:p w:rsidR="001B208E" w:rsidRDefault="001B208E" w:rsidP="007D7D7B">
      <w:pPr>
        <w:pStyle w:val="Default"/>
        <w:widowControl/>
        <w:spacing w:before="120" w:after="120"/>
        <w:ind w:firstLine="720"/>
        <w:rPr>
          <w:sz w:val="20"/>
          <w:szCs w:val="20"/>
        </w:rPr>
      </w:pPr>
      <w:r>
        <w:rPr>
          <w:sz w:val="20"/>
          <w:szCs w:val="20"/>
        </w:rPr>
        <w:t xml:space="preserve">Spośród możliwości oferowanych przez dyrektywę dla lekkich plastikowych toreb za najbardziej odpowiednie uznano następujące środki: po pierwsze, od 1 lipca 2018 r. zabrania się punktom sprzedaży bezpłatnego dostarczania tego rodzaju toreb konsumentom.</w:t>
      </w:r>
      <w:r>
        <w:rPr>
          <w:sz w:val="20"/>
          <w:szCs w:val="20"/>
        </w:rPr>
        <w:t xml:space="preserve"> </w:t>
      </w:r>
      <w:r>
        <w:rPr>
          <w:sz w:val="20"/>
          <w:szCs w:val="20"/>
        </w:rPr>
        <w:t xml:space="preserve">Oznacza to, że od tego dnia handlowcy muszą pobierać opłaty za każdą torbę z tworzywa sztucznego wręczoną konsumentowi.</w:t>
      </w:r>
      <w:r>
        <w:rPr>
          <w:sz w:val="20"/>
          <w:szCs w:val="20"/>
        </w:rPr>
        <w:t xml:space="preserve"> </w:t>
      </w:r>
      <w:r>
        <w:rPr>
          <w:sz w:val="20"/>
          <w:szCs w:val="20"/>
        </w:rPr>
        <w:t xml:space="preserve">Nie będzie to dotyczyć bardzo lekkich plastikowych toreb na zakupy, czyli toreb plastikowych o grubości materiału poniżej 15 mikronów, które są wymagane ze względów higienicznych lub oferowane jako podstawowe opakowanie żywności luzem.</w:t>
      </w:r>
      <w:r>
        <w:rPr>
          <w:sz w:val="20"/>
          <w:szCs w:val="20"/>
        </w:rPr>
        <w:t xml:space="preserve"> </w:t>
      </w:r>
      <w:r>
        <w:rPr>
          <w:sz w:val="20"/>
          <w:szCs w:val="20"/>
        </w:rPr>
        <w:t xml:space="preserve">Po drugie, od 1 stycznia 2021 r. zabrania się przekazywania konsumentom w punktach sprzedaży lekkich i bardzo lekkich niekompostowalnych toreb plastikowych – zarówno bezpłatnie, jak i odpłatnie.</w:t>
      </w:r>
      <w:r>
        <w:rPr>
          <w:sz w:val="20"/>
          <w:szCs w:val="20"/>
        </w:rPr>
        <w:t xml:space="preserve"> </w:t>
      </w:r>
      <w:r>
        <w:rPr>
          <w:sz w:val="20"/>
          <w:szCs w:val="20"/>
        </w:rPr>
        <w:t xml:space="preserve">Termin ten ma na celu zapewnienie dostosowania do wymogu, aby lekkie i bardzo lekkie plastikowe torby były wyłącznie kompostowalne w momencie pełnego wdrożenia selektywnej zbiórki bioodpadów, co jest konieczne dla osiągania wspólnotowych celów przygotowania do ponownego użycia i recyklingu odpadów komunalnych, ustanowionych na mocy ustawy 22/2011 z dnia 28 lipca oraz nowych dyrektyw europejskich w sprawie odpadów.</w:t>
      </w:r>
      <w:r>
        <w:rPr>
          <w:sz w:val="20"/>
          <w:szCs w:val="20"/>
        </w:rPr>
        <w:t xml:space="preserve"> </w:t>
      </w:r>
      <w:r>
        <w:rPr>
          <w:sz w:val="20"/>
          <w:szCs w:val="20"/>
        </w:rPr>
        <w:t xml:space="preserve">W ten sposób zarządzenie kompostowalnymi torbami, w przypadku których najbardziej odpowiednie jest przetwarzanie za pomocą procesów biologicznych, będzie się odbywać łącznie z zarządzaniem pozostałymi bioodpadami obecnymi w odpadach komunalnych, co pozwoli uniknąć ich wymieszania z innymi strumieniami odpadów, takimi jak opakowania z tworzyw sztucznych, utrudniającego recykling mechaniczny niekompostowalnych tworzyw sztucznych.</w:t>
      </w:r>
    </w:p>
    <w:p w:rsidR="001B208E" w:rsidRDefault="001B208E" w:rsidP="007D7D7B">
      <w:pPr>
        <w:pStyle w:val="Default"/>
        <w:widowControl/>
        <w:spacing w:before="120" w:after="120"/>
        <w:ind w:firstLine="720"/>
        <w:rPr>
          <w:sz w:val="20"/>
          <w:szCs w:val="20"/>
        </w:rPr>
      </w:pPr>
      <w:r>
        <w:rPr>
          <w:sz w:val="20"/>
          <w:szCs w:val="20"/>
        </w:rPr>
        <w:t xml:space="preserve">Należy podkreślić, że celem dyrektywy Parlamentu Europejskiego i Rady (UE) 2015/720 z dnia 29 kwietnia 2015 r., a zatem i tego dekretu królewskiego, jest zmniejszenie zużycia lekkich plastikowych toreb.</w:t>
      </w:r>
      <w:r>
        <w:rPr>
          <w:sz w:val="20"/>
          <w:szCs w:val="20"/>
        </w:rPr>
        <w:t xml:space="preserve"> </w:t>
      </w:r>
      <w:r>
        <w:rPr>
          <w:sz w:val="20"/>
          <w:szCs w:val="20"/>
        </w:rPr>
        <w:t xml:space="preserve">Stosowanie kompostowalnych toreb plastikowych jest jednym z możliwych rozwiązań, ale nie jedynym.</w:t>
      </w:r>
      <w:r>
        <w:rPr>
          <w:sz w:val="20"/>
          <w:szCs w:val="20"/>
        </w:rPr>
        <w:t xml:space="preserve"> </w:t>
      </w:r>
      <w:r>
        <w:rPr>
          <w:sz w:val="20"/>
          <w:szCs w:val="20"/>
        </w:rPr>
        <w:t xml:space="preserve">Handlowcy nie są zobowiązani do zastąpienia nienadających się do kompostowania plastikowych toreb kompostowalnymi plastikowymi torbami, ale mogą stosować wszelkie inne rozwiązania, które nie doprowadzą do zwiększenia ilości odpadów opakowaniowych.</w:t>
      </w:r>
    </w:p>
    <w:p w:rsidR="001B208E" w:rsidRDefault="001B208E" w:rsidP="007D7D7B">
      <w:pPr>
        <w:pStyle w:val="Default"/>
        <w:widowControl/>
        <w:spacing w:before="120" w:after="120"/>
        <w:ind w:firstLine="720"/>
        <w:rPr>
          <w:sz w:val="20"/>
          <w:szCs w:val="20"/>
        </w:rPr>
      </w:pPr>
      <w:r>
        <w:rPr>
          <w:sz w:val="20"/>
          <w:szCs w:val="20"/>
        </w:rPr>
        <w:t xml:space="preserve">W ostatnich latach wprowadzano do obrotu torby plastikowe etykietowane jako „oksybiodegradowalne” lub „oksydegradowalne”.</w:t>
      </w:r>
      <w:r>
        <w:rPr>
          <w:sz w:val="20"/>
          <w:szCs w:val="20"/>
        </w:rPr>
        <w:t xml:space="preserve"> </w:t>
      </w:r>
      <w:r>
        <w:rPr>
          <w:sz w:val="20"/>
          <w:szCs w:val="20"/>
        </w:rPr>
        <w:t xml:space="preserve">W takich torbach do tradycyjnych tworzyw sztucznych dodawane są inne substancje. Z powodu obecności tych dodatków tworzywo sztuczne z czasem ulega rozpadowi na małe cząsteczki, które pozostają w środowisku.</w:t>
      </w:r>
      <w:r>
        <w:rPr>
          <w:sz w:val="20"/>
          <w:szCs w:val="20"/>
        </w:rPr>
        <w:t xml:space="preserve"> </w:t>
      </w:r>
      <w:r>
        <w:rPr>
          <w:sz w:val="20"/>
          <w:szCs w:val="20"/>
        </w:rPr>
        <w:t xml:space="preserve">Zatem określanie takich toreb jako „biodegradowalne” może być mylące, gdyż nie mogą one stanowić rozwiązania dla problemu zaśmiecania, wręcz przeciwnie, mogą je zwiększać.</w:t>
      </w:r>
      <w:r>
        <w:rPr>
          <w:sz w:val="20"/>
          <w:szCs w:val="20"/>
        </w:rPr>
        <w:t xml:space="preserve"> </w:t>
      </w:r>
      <w:r>
        <w:rPr>
          <w:sz w:val="20"/>
          <w:szCs w:val="20"/>
        </w:rPr>
        <w:t xml:space="preserve">Podobne zachowania, jak w przypadku toreb z tworzywa oksydegradowalnego występują w przypadku toreb z tworzywa fotodegradowalnego, termodegradowalnego i hydrodegradowalnego, dlatego należy mówić o torbach na zakupy z tworzyw ulegających rozpadowi.</w:t>
      </w:r>
      <w:r>
        <w:rPr>
          <w:sz w:val="20"/>
          <w:szCs w:val="20"/>
        </w:rPr>
        <w:t xml:space="preserve"> </w:t>
      </w:r>
      <w:r>
        <w:rPr>
          <w:sz w:val="20"/>
          <w:szCs w:val="20"/>
        </w:rPr>
        <w:t xml:space="preserve">W celu uniknięcia szkód dla gleby, wody oraz fauny i flory, wynikających z pozostawania w środowisku tworzyw sztucznych w postaci małych cząsteczek podjęto również decyzję o wprowadzeniu od dnia 1 stycznia 2020 r. zakazu przekazywania toreb na zakupy z tworzywa ulegającego rozpadowi, czyli toreb na zakupy wykonanych z tworzywa sztucznego zawierającego dodatki, które katalizują rozpad tworzywa sztucznego na mikrofragmenty.</w:t>
      </w:r>
    </w:p>
    <w:p w:rsidR="00694AFB" w:rsidRDefault="001B208E" w:rsidP="007D7D7B">
      <w:pPr>
        <w:pStyle w:val="Default"/>
        <w:widowControl/>
        <w:spacing w:before="120" w:after="120"/>
        <w:ind w:firstLine="720"/>
        <w:rPr>
          <w:sz w:val="20"/>
          <w:szCs w:val="20"/>
        </w:rPr>
      </w:pPr>
      <w:r>
        <w:rPr>
          <w:sz w:val="20"/>
          <w:szCs w:val="20"/>
        </w:rPr>
        <w:t xml:space="preserve">Mając ponadto na uwadze, że dyrektywa Parlamentu Europejskiego i Rady (UE) 2015/720 z dnia 29 kwietnia 2015 r. oferuje państwom członkowskim możliwość przyjęcia środków w celu ograniczenia zużycia dowolnego rodzaju toreb plastikowych, niezależnie od ich grubości, uznano także za odpowiednie przyjęcie środków w odniesieniu do toreb o grubości 50 mikronów lub większej: z jednej strony wprowadza się obowiązek pobierania opłaty za wspomniane torby od dnia 1 lipca 2018 r., z wykluczeniem toreb zawierających tworzywo sztuczne pochodzące z recyklingu w ilości wynoszącej minimum 70 %, a z drugiej strony, w celu przechodzenia do gospodarki o obiegu zamkniętym i promowania wykorzystywania materiałów pochodzących z odpadów do wytwarzania nowych produktów, ustanawia się od dnia 1 stycznia 2020 r. obowiązkową minimalną zawartość 50 % tworzywa sztucznego z recyklingu oraz proponuje się niższą wysokość orientacyjnej ceny za ten rodzaj toreb.</w:t>
      </w:r>
      <w:r>
        <w:rPr>
          <w:sz w:val="20"/>
          <w:szCs w:val="20"/>
        </w:rPr>
        <w:t xml:space="preserve"> </w:t>
      </w:r>
      <w:r>
        <w:rPr>
          <w:sz w:val="20"/>
          <w:szCs w:val="20"/>
        </w:rPr>
        <w:t xml:space="preserve">Na potrzeby inspekcji i kontroli przypadków wyłączenia z konieczności pobierania opłat za torby zawierające ponad 70 % tworzyw sztucznych pochodzących z recyklingu handlowcy muszą dysponować niezbędną dokumentacją potwierdzającą taki skład procentowy.</w:t>
      </w:r>
    </w:p>
    <w:p w:rsidR="001B208E" w:rsidRDefault="001B208E" w:rsidP="007D7D7B">
      <w:pPr>
        <w:pStyle w:val="Default"/>
        <w:widowControl/>
        <w:spacing w:before="120" w:after="120"/>
        <w:ind w:firstLine="720"/>
        <w:rPr>
          <w:sz w:val="20"/>
          <w:szCs w:val="20"/>
        </w:rPr>
      </w:pPr>
      <w:r>
        <w:rPr>
          <w:sz w:val="20"/>
          <w:szCs w:val="20"/>
        </w:rPr>
        <w:t xml:space="preserve">Na koniec należy wyjaśnić, że wszystkie powyższe środki będą także dotyczyły toreb, które są przekazywane w drodze sprzedaży internetowej oraz dostaw do domu.</w:t>
      </w:r>
      <w:r>
        <w:rPr>
          <w:sz w:val="20"/>
          <w:szCs w:val="20"/>
        </w:rPr>
        <w:t xml:space="preserve"> </w:t>
      </w:r>
      <w:r>
        <w:rPr>
          <w:sz w:val="20"/>
          <w:szCs w:val="20"/>
        </w:rPr>
        <w:t xml:space="preserve">Z zakresu tych środków wyłączone są koperty z tworzywa sztucznego wykorzystywane przy sprzedaży na odległość, lecz powinny być one uważane za opakowanie, jeśli spełniają wymogi definicji ustanowionej w ustawie 11/1997 z dnia 24 kwietnia, wraz z przykładami.</w:t>
      </w:r>
    </w:p>
    <w:p w:rsidR="001B208E" w:rsidRDefault="001B208E" w:rsidP="007D7D7B">
      <w:pPr>
        <w:pStyle w:val="Default"/>
        <w:widowControl/>
        <w:spacing w:before="120" w:after="120"/>
        <w:ind w:firstLine="720"/>
        <w:rPr>
          <w:sz w:val="20"/>
          <w:szCs w:val="20"/>
        </w:rPr>
      </w:pPr>
      <w:r>
        <w:rPr>
          <w:sz w:val="20"/>
          <w:szCs w:val="20"/>
        </w:rPr>
        <w:t xml:space="preserve">W celu informowania i zwiększania świadomości obywateli na temat środków przyjętych w niniejszym dekrecie królewskim oraz skutków dla środowiska związanych z nadmiernym zużyciem lekkich plastikowych toreb na zakupy i ich pozostawianiem, a także w celu promowania stosowania zasady hierarchii postępowania z odpadami Ministerstwo Rolnictwa i Rybołówstwa, Gospodarki Żywnościowej i Środowiska oraz właściwe organy wspólnot autonomicznych powinny prowadzić kampanie zwiększające świadomość, przynajmniej w ciągu pierwszego roku od wejścia w życie niniejszego dekretu królewskiego.</w:t>
      </w:r>
      <w:r>
        <w:rPr>
          <w:sz w:val="20"/>
          <w:szCs w:val="20"/>
        </w:rPr>
        <w:t xml:space="preserve"> </w:t>
      </w:r>
      <w:r>
        <w:rPr>
          <w:sz w:val="20"/>
          <w:szCs w:val="20"/>
        </w:rPr>
        <w:t xml:space="preserve">Ponadto kampanie te muszą zawierać informacje o pojemnikach, do których należy wyrzucać plastikowe torby, zarówno torby kompostowalne jak i niekompostowalne.</w:t>
      </w:r>
      <w:r>
        <w:rPr>
          <w:sz w:val="20"/>
          <w:szCs w:val="20"/>
        </w:rPr>
        <w:t xml:space="preserve"> </w:t>
      </w:r>
      <w:r>
        <w:rPr>
          <w:sz w:val="20"/>
          <w:szCs w:val="20"/>
        </w:rPr>
        <w:t xml:space="preserve">W tym samym duchu podmioty lokalne i sektor prywatny również mogą realizować kampanie zwiększające świadomość.</w:t>
      </w:r>
      <w:r>
        <w:rPr>
          <w:sz w:val="20"/>
          <w:szCs w:val="20"/>
        </w:rPr>
        <w:t xml:space="preserve"> </w:t>
      </w:r>
      <w:r>
        <w:rPr>
          <w:sz w:val="20"/>
          <w:szCs w:val="20"/>
        </w:rPr>
        <w:t xml:space="preserve">Mając na uwadze, że plastikowe torby na zakupy są opakowaniami, kampanie realizowane przez organy administracji publicznej mogą być finansowane przez kolektywne systemy rozszerzonej odpowiedzialności (dawniej nazywane zintegrowanymi systemami zarządzania) w ramach porozumień finansowych między tymi systemami a wspólnotami autonomicznymi lub, w stosownych przypadkach, z podmiotami lokalnymi.</w:t>
      </w:r>
    </w:p>
    <w:p w:rsidR="001B208E" w:rsidRDefault="001B208E" w:rsidP="007D7D7B">
      <w:pPr>
        <w:pStyle w:val="Default"/>
        <w:widowControl/>
        <w:spacing w:before="120" w:after="120"/>
        <w:ind w:firstLine="720"/>
        <w:rPr>
          <w:sz w:val="20"/>
          <w:szCs w:val="20"/>
        </w:rPr>
      </w:pPr>
      <w:r>
        <w:rPr>
          <w:sz w:val="20"/>
          <w:szCs w:val="20"/>
        </w:rPr>
        <w:t xml:space="preserve">Zgodnie z przepisami wspólnotowymi wprowadza się obowiązek wprowadzenia oznakowania kompostowalnych toreb na zakupy w ciągu 18 miesięcy od daty przyjęcia przez Komisję aktu wykonawczego określającego specyfikację etykiet lub oznakowań, aby zapewnić ogólnounijne uznawanie takich plastikowych toreb na zakupy i aby dostarczyć konsumentom prawidłowe informacje na temat kompostowych właściwości takich toreb.</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IV</w:t>
      </w:r>
    </w:p>
    <w:p w:rsidR="001B208E" w:rsidRDefault="001B208E" w:rsidP="007D7D7B">
      <w:pPr>
        <w:pStyle w:val="Default"/>
        <w:widowControl/>
        <w:spacing w:before="120" w:after="120"/>
        <w:ind w:firstLine="720"/>
        <w:rPr>
          <w:sz w:val="20"/>
          <w:szCs w:val="20"/>
        </w:rPr>
      </w:pPr>
      <w:r>
        <w:rPr>
          <w:sz w:val="20"/>
          <w:szCs w:val="20"/>
        </w:rPr>
        <w:t xml:space="preserve">Ustawa 22/2011 z dnia 28 lipca promuje wdrożenie środków w celu zapobiegania powstawaniu odpadów, ponownego wykorzystania i recyklingu odpadów, zgodnie z przepisami dyrektywy Parlamentu Europejskiego i Rady 2008/98/WE z dnia 19 listopada 2008 r. w sprawie odpadów oraz uchylającej niektóre dyrektywy (dyrektywy ramowej w sprawie odpadów).</w:t>
      </w:r>
      <w:r>
        <w:rPr>
          <w:sz w:val="20"/>
          <w:szCs w:val="20"/>
        </w:rPr>
        <w:t xml:space="preserve"> </w:t>
      </w:r>
      <w:r>
        <w:rPr>
          <w:sz w:val="20"/>
          <w:szCs w:val="20"/>
        </w:rPr>
        <w:t xml:space="preserve">Ustawa przewiduje jako instrumenty planowania plany, programy gospodarowania odpadami i programy zapobiegania powstawaniu odpadów, a także ustanowienie celów w zakresie zapobiegania powstawaniu i selektywnej zbiórki odpadów.</w:t>
      </w:r>
      <w:r>
        <w:rPr>
          <w:sz w:val="20"/>
          <w:szCs w:val="20"/>
        </w:rPr>
        <w:t xml:space="preserve"> </w:t>
      </w:r>
      <w:r>
        <w:rPr>
          <w:sz w:val="20"/>
          <w:szCs w:val="20"/>
        </w:rPr>
        <w:t xml:space="preserve">Wspomniane cele w zakresie zapobiegania powstawaniu i selektywnej zbiórki odpadów są powiązane, między innymi, z dostępnymi informacjami na temat ilości i typu produktów wprowadzanych do obrotu, które w procesie użytkowania stają się odpadami.</w:t>
      </w:r>
    </w:p>
    <w:p w:rsidR="001B208E" w:rsidRDefault="001B208E" w:rsidP="007D7D7B">
      <w:pPr>
        <w:pStyle w:val="Default"/>
        <w:widowControl/>
        <w:spacing w:before="120" w:after="120"/>
        <w:ind w:firstLine="720"/>
        <w:rPr>
          <w:sz w:val="20"/>
          <w:szCs w:val="20"/>
        </w:rPr>
      </w:pPr>
      <w:r>
        <w:rPr>
          <w:sz w:val="20"/>
          <w:szCs w:val="20"/>
        </w:rPr>
        <w:t xml:space="preserve">Mając na uwadze, że coraz większe znaczenie ma rozwój zapobiegania powstawaniu pewnego typu odpadów, ulepszanie sposobów zbiórki, zwiększenie wskaźników recyklingu oraz, w stosownych przypadkach, stosowanie środków w zakresie finansowania, organy ds. ochrony środowiska wymagają większej ilości informacji na temat ilości i typu produktów wprowadzanych do obrotu, które w procesie użytkowania stają się odpadami.</w:t>
      </w:r>
    </w:p>
    <w:p w:rsidR="00694AFB" w:rsidRDefault="001B208E" w:rsidP="007D7D7B">
      <w:pPr>
        <w:pStyle w:val="Default"/>
        <w:widowControl/>
        <w:spacing w:before="120" w:after="120"/>
        <w:ind w:firstLine="720"/>
        <w:rPr>
          <w:sz w:val="20"/>
          <w:szCs w:val="20"/>
        </w:rPr>
      </w:pPr>
      <w:r>
        <w:rPr>
          <w:sz w:val="20"/>
          <w:szCs w:val="20"/>
        </w:rPr>
        <w:t xml:space="preserve">Zestawianie informacji w postaci ewidencji na temat ilości produktów wprowadzanych do obrotu generujących określone typy odpadów stanowi obowiązek wprowadzony w licznych dyrektywach wspólnotowych dotyczących gospodarowania odpadami, w szczególności w przepisach, w których stosuje się zasadę rozszerzonej odpowiedzialności producenta.</w:t>
      </w:r>
      <w:r>
        <w:rPr>
          <w:sz w:val="20"/>
          <w:szCs w:val="20"/>
        </w:rPr>
        <w:t xml:space="preserve"> </w:t>
      </w:r>
      <w:r>
        <w:rPr>
          <w:sz w:val="20"/>
          <w:szCs w:val="20"/>
        </w:rPr>
        <w:t xml:space="preserve">W takich przypadkach udział ekonomiczny każdego producenta danego produktu w finansowaniu gospodarowania odpadami jest proporcjonalny do ilości i typu produktów, które każdy z nich wprowadza do obrotu.</w:t>
      </w:r>
    </w:p>
    <w:p w:rsidR="001B208E" w:rsidRDefault="001B208E" w:rsidP="007D7D7B">
      <w:pPr>
        <w:pStyle w:val="Default"/>
        <w:widowControl/>
        <w:spacing w:before="120" w:after="120"/>
        <w:ind w:firstLine="720"/>
        <w:rPr>
          <w:sz w:val="20"/>
          <w:szCs w:val="20"/>
        </w:rPr>
      </w:pPr>
      <w:r>
        <w:rPr>
          <w:sz w:val="20"/>
          <w:szCs w:val="20"/>
        </w:rPr>
        <w:t xml:space="preserve">Dysponowanie informacjami na temat wprowadzania do obrotu tego typu opakowań, takich jak plastikowe torby na zakupy, jest konieczne do oceny, czy spełnione są cele Unii Europejskiej w zakresie ograniczenia ich zużycia, a także w celu wypełnienia corocznego obowiązku sprawozdawczego wobec Komisji Europejskiej.</w:t>
      </w:r>
      <w:r>
        <w:rPr>
          <w:sz w:val="20"/>
          <w:szCs w:val="20"/>
        </w:rPr>
        <w:t xml:space="preserve"> </w:t>
      </w:r>
      <w:r>
        <w:rPr>
          <w:sz w:val="20"/>
          <w:szCs w:val="20"/>
        </w:rPr>
        <w:t xml:space="preserve">Z tego względu należy wymagać od producentów dostarczania corocznej informacji na temat wprowadzania do obrotu plastikowych toreb na zakupy.</w:t>
      </w:r>
      <w:r>
        <w:rPr>
          <w:sz w:val="20"/>
          <w:szCs w:val="20"/>
        </w:rPr>
        <w:t xml:space="preserve"> </w:t>
      </w:r>
      <w:r>
        <w:rPr>
          <w:sz w:val="20"/>
          <w:szCs w:val="20"/>
        </w:rPr>
        <w:t xml:space="preserve">W tym celu tworzy się rejestr producentów produktów mający charakter administracyjny, podlegający Dyrekcji Generalnej ds. Jakości i Oceny Wpływu na Środowisko Naturalne Ministerstwa Rolnictwa i Rybołówstwa, Gospodarki Żywnościowej i Środowiska.</w:t>
      </w:r>
    </w:p>
    <w:p w:rsidR="001B208E" w:rsidRDefault="001B208E" w:rsidP="007D7D7B">
      <w:pPr>
        <w:pStyle w:val="Default"/>
        <w:widowControl/>
        <w:spacing w:before="120" w:after="120"/>
        <w:ind w:firstLine="720"/>
        <w:rPr>
          <w:sz w:val="20"/>
          <w:szCs w:val="20"/>
        </w:rPr>
      </w:pPr>
      <w:r>
        <w:rPr>
          <w:sz w:val="20"/>
          <w:szCs w:val="20"/>
        </w:rPr>
        <w:t xml:space="preserve">W ramach rejestru producentów produktów ustanawia się sekcję producentów plastikowych toreb na zakupy. Na podstawie innych norm regulujących szczegółowe strumienie odpadów mogą powstać nowe sekcje w rejestrze.</w:t>
      </w:r>
    </w:p>
    <w:p w:rsidR="001B208E" w:rsidRDefault="001B208E" w:rsidP="007D7D7B">
      <w:pPr>
        <w:pStyle w:val="Default"/>
        <w:widowControl/>
        <w:spacing w:before="120" w:after="120"/>
        <w:ind w:firstLine="720"/>
        <w:rPr>
          <w:sz w:val="20"/>
          <w:szCs w:val="20"/>
        </w:rPr>
      </w:pPr>
      <w:r>
        <w:rPr>
          <w:sz w:val="20"/>
          <w:szCs w:val="20"/>
        </w:rPr>
        <w:t xml:space="preserve">W dekrecie królewskim określa się szczegółowo obowiązek wpisu producentów i importerów plastikowych toreb na zakupy do sekcji plastikowych toreb na zakupy w rejestrze producentów produktów w terminie 3 miesięcy od wejścia w życie niniejszego dekretu królewskiego oraz obowiązek dostarczania przez producentów i importerów plastikowych toreb na zakupy informacji dotyczących wprowadzania do obrotu plastikowych toreb na zakupy, dzięki którym Hiszpania będzie mogła wywiązać się z corocznego obowiązku sprawozdawczego wobec Komisji Europejskiej w zakresie rocznego zużycia plastikowych toreb na zakupy.</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V</w:t>
      </w:r>
    </w:p>
    <w:p w:rsidR="001B208E" w:rsidRDefault="001B208E" w:rsidP="007D7D7B">
      <w:pPr>
        <w:pStyle w:val="Default"/>
        <w:widowControl/>
        <w:spacing w:before="120" w:after="120"/>
        <w:ind w:firstLine="720"/>
        <w:rPr>
          <w:sz w:val="20"/>
          <w:szCs w:val="20"/>
        </w:rPr>
      </w:pPr>
      <w:r>
        <w:rPr>
          <w:sz w:val="20"/>
          <w:szCs w:val="20"/>
        </w:rPr>
        <w:t xml:space="preserve">Niniejszy dekret królewski wydaje się na mocy przepisu art. 149 ust. 1 pkt 13 i 23 hiszpańskiej konstytucji, która przyznaje państwu wyłączne uprawnienia dotyczące odpowiednio podstaw i koordynacji planowania ogólnego działalności gospodarczej i przepisów podstawowych w dziedzinie ochrony środowiska.</w:t>
      </w:r>
      <w:r>
        <w:rPr>
          <w:sz w:val="20"/>
          <w:szCs w:val="20"/>
        </w:rPr>
        <w:t xml:space="preserve"> </w:t>
      </w:r>
      <w:r>
        <w:rPr>
          <w:sz w:val="20"/>
          <w:szCs w:val="20"/>
        </w:rPr>
        <w:t xml:space="preserve">Uprawnienia do wydania niniejszego przepisu wykonawczego zostały zawarte w trzecim przepisie końcowym ustawy 22/2011 z dnia 28 lipca, który uprawnia rząd Hiszpanii do wydawania w zakresie jego kompetencji przepisów koniecznych do wykonania i stosowania wspomnianej ustawy oraz, w szczególności, do ustanawiania przepisów dla poszczególnych typów odpadów, w ramach których wprowadza się przepisy szczegółowe dotyczące ich produkcji i gospodarowania nimi, oraz w ósmym przepisie dodatkowym tej ustawy, w którym przewidziano dostosowanie zapisów ustawy do przepisów wykonawczych w dziedzinie odpadów.</w:t>
      </w:r>
    </w:p>
    <w:p w:rsidR="001B208E" w:rsidRDefault="001B208E" w:rsidP="007D7D7B">
      <w:pPr>
        <w:pStyle w:val="Default"/>
        <w:widowControl/>
        <w:spacing w:before="120" w:after="120"/>
        <w:ind w:firstLine="720"/>
        <w:rPr>
          <w:sz w:val="20"/>
          <w:szCs w:val="20"/>
        </w:rPr>
      </w:pPr>
      <w:r>
        <w:rPr>
          <w:sz w:val="20"/>
          <w:szCs w:val="20"/>
        </w:rPr>
        <w:t xml:space="preserve">Charakter środków przyjętych w niniejszym dekrecie królewskim mieści się jednocześnie w zakresie przewidzianym w art. 16 ust. 1 ustawy 22/2011 z dnia 28 lipca, który stanowi, że właściwe organy mogą ustanawiać środki ekonomiczne, finansowe i podatkowe mające na celu wsparcie zapobiegania generowaniu odpadów, wdrażania selektywnej zbiórki, poprawy gospodarowania odpadami, wspierania i wzmacniania rynków recyklingu, a także środki mające na celu przyczynienie się sektora odpadów do ograniczania emisji gazów cieplarnianych.</w:t>
      </w:r>
    </w:p>
    <w:p w:rsidR="001B208E" w:rsidRDefault="001B208E" w:rsidP="007D7D7B">
      <w:pPr>
        <w:pStyle w:val="Default"/>
        <w:widowControl/>
        <w:spacing w:before="120" w:after="120"/>
        <w:ind w:firstLine="720"/>
        <w:rPr>
          <w:sz w:val="20"/>
          <w:szCs w:val="20"/>
        </w:rPr>
      </w:pPr>
      <w:r>
        <w:rPr>
          <w:sz w:val="20"/>
          <w:szCs w:val="20"/>
        </w:rPr>
        <w:t xml:space="preserve">Przed opracowaniem tekstu niniejszego dekretu królewskiego przeprowadzono, za pośrednictwem witryny internetowej Ministerstwa Rolnictwa i Rybołówstwa, Gospodarki Żywnościowej i Środowiska, wstępne konsultacje publiczne przewidziane w art. 133 ust. 39/2015 z dnia 1 października o powszechnym postępowaniu administracyjnym organów administracji publicznej, w związku z art. 26 ust. 2 ustawy 50/1997 z dnia 27 listopada o rządzie.</w:t>
      </w:r>
    </w:p>
    <w:p w:rsidR="00694AFB" w:rsidRDefault="001B208E" w:rsidP="007D7D7B">
      <w:pPr>
        <w:pStyle w:val="Default"/>
        <w:widowControl/>
        <w:spacing w:before="120" w:after="120"/>
        <w:ind w:firstLine="720"/>
        <w:rPr>
          <w:sz w:val="20"/>
          <w:szCs w:val="20"/>
        </w:rPr>
      </w:pPr>
      <w:r>
        <w:rPr>
          <w:sz w:val="20"/>
          <w:szCs w:val="20"/>
        </w:rPr>
        <w:t xml:space="preserve">W procesie opracowania tego dekretu królewskiego zasięgnięto opinii podmiotów gospodarczych i społecznych, wspólnot i miast autonomicznych Ceuty i Melilli oraz najbardziej reprezentatywnych potencjalnie zainteresowanych podmiotów lokalnych i sektorów.</w:t>
      </w:r>
      <w:r>
        <w:rPr>
          <w:sz w:val="20"/>
          <w:szCs w:val="20"/>
        </w:rPr>
        <w:t xml:space="preserve"> </w:t>
      </w:r>
      <w:r>
        <w:rPr>
          <w:sz w:val="20"/>
          <w:szCs w:val="20"/>
        </w:rPr>
        <w:t xml:space="preserve">Ponadto w sprawie projektu zasięgnięto opinii Rady Doradczej ds. Środowiska oraz poddano projekt procedurze uczestnictwa społecznego, zgodnie z przepisami ustawy 27/2006 z dnia 18 lipca w sprawie regulacji prawa dostępu do informacji, uczestnictwa społecznego oraz dostępu do wymiaru sprawiedliwości w dziedzinie środowiska (która włącza do hiszpańskiego porządku prawnego przepisy dyrektyw 2003/4/WE i 2003/35/WE) oraz zgodnie z przepisami ustawy 50/1997 z dnia 27 listopada o rządzie.</w:t>
      </w:r>
    </w:p>
    <w:p w:rsidR="001B208E" w:rsidRDefault="001B208E" w:rsidP="007D7D7B">
      <w:pPr>
        <w:pStyle w:val="Default"/>
        <w:widowControl/>
        <w:spacing w:before="120" w:after="120"/>
        <w:ind w:firstLine="720"/>
        <w:rPr>
          <w:sz w:val="20"/>
          <w:szCs w:val="20"/>
        </w:rPr>
      </w:pPr>
      <w:r>
        <w:rPr>
          <w:sz w:val="20"/>
          <w:szCs w:val="20"/>
        </w:rPr>
        <w:t xml:space="preserve">Jednocześnie niniejszy dekret królewski zgłoszono uprzednio Komisji Europejskiej zgodnie z art. 16 dyrektywy 94/62/WE Parlamentu Europejskiego i Rady z dnia 20 grudnia 1994 r. w sprawie opakowań i odpadów opakowaniowych w ramach procedury przewidzianej w dyrektywie Parlamentu Europejskiego i Rady (UE) 2015/1535 z dnia 9 września 2015 r. ustanawiającej procedurę udzielania informacji w dziedzinie przepisów technicznych oraz zasad dotyczących usług społeczeństwa informacyjnego i w dekrecie królewskim nr 1337/1999 z dnia 31 lipca w sprawie regulacji udzielania informacji w dziedzinie norm i przepisów technicznych oraz zasad dotyczących usług społeczeństwa informacyjnego.</w:t>
      </w:r>
    </w:p>
    <w:p w:rsidR="001B208E" w:rsidRDefault="001B208E" w:rsidP="007D7D7B">
      <w:pPr>
        <w:pStyle w:val="Default"/>
        <w:widowControl/>
        <w:spacing w:before="120" w:after="120"/>
        <w:ind w:firstLine="720"/>
        <w:rPr>
          <w:sz w:val="20"/>
          <w:szCs w:val="20"/>
        </w:rPr>
      </w:pPr>
      <w:r>
        <w:rPr>
          <w:sz w:val="20"/>
          <w:szCs w:val="20"/>
        </w:rPr>
        <w:t xml:space="preserve">Mając na uwadze opisane okoliczności, niniejszy dekret królewski przestrzega zasad konieczności, skuteczności, proporcjonalności, bezpieczeństwa prawnego, przejrzystości i skuteczności pod względem treści i przetwarzania, zgodnie z przepisami art. 129 ustawy 39/2015 z dnia 1 października.</w:t>
      </w:r>
    </w:p>
    <w:p w:rsidR="001B208E" w:rsidRDefault="001B208E" w:rsidP="007D7D7B">
      <w:pPr>
        <w:pStyle w:val="Default"/>
        <w:widowControl/>
        <w:spacing w:before="120" w:after="120"/>
        <w:ind w:firstLine="720"/>
        <w:rPr>
          <w:sz w:val="20"/>
          <w:szCs w:val="20"/>
        </w:rPr>
      </w:pPr>
      <w:r>
        <w:rPr>
          <w:sz w:val="20"/>
          <w:szCs w:val="20"/>
        </w:rPr>
        <w:t xml:space="preserve">Jednocześnie zgodnie z art. 25 ustawy 50/1997 z dnia 27 listopada dany dekret królewski zostaje włączony w ramy rocznego planu regulacyjnego na rok 2018.</w:t>
      </w:r>
    </w:p>
    <w:p w:rsidR="001B208E" w:rsidRDefault="001B208E" w:rsidP="007D7D7B">
      <w:pPr>
        <w:pStyle w:val="Default"/>
        <w:widowControl/>
        <w:spacing w:before="120" w:after="120"/>
        <w:ind w:firstLine="720"/>
        <w:rPr>
          <w:sz w:val="20"/>
          <w:szCs w:val="20"/>
        </w:rPr>
      </w:pPr>
      <w:r>
        <w:rPr>
          <w:sz w:val="20"/>
          <w:szCs w:val="20"/>
        </w:rPr>
        <w:t xml:space="preserve">Na tej podstawie, na wniosek Minister Rolnictwa i Rybołówstwa, Gospodarki Żywnościowej i Środowiska, po uprzednim zatwierdzeniu przez Ministra Skarbu i Administracji Publicznej, za zgodą Rady Państwa oraz po rozpatrzeniu sprawy przez Radę Ministrów na posiedzeniu w dniu 18 maja 2018 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WYDAJE SIĘ DEKRET:</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ROZDZIAŁ 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Przepisy ogólne</w:t>
      </w:r>
    </w:p>
    <w:p w:rsidR="001B208E" w:rsidRDefault="001B208E" w:rsidP="007D7D7B">
      <w:pPr>
        <w:pStyle w:val="Default"/>
        <w:keepNext/>
        <w:keepLines/>
        <w:widowControl/>
        <w:spacing w:before="120" w:after="120"/>
        <w:ind w:firstLine="720"/>
        <w:rPr>
          <w:sz w:val="20"/>
          <w:szCs w:val="20"/>
        </w:rPr>
      </w:pPr>
      <w:r>
        <w:rPr>
          <w:sz w:val="20"/>
          <w:szCs w:val="20"/>
        </w:rPr>
        <w:t xml:space="preserve">Artykuł 1.</w:t>
      </w:r>
      <w:r>
        <w:rPr>
          <w:sz w:val="20"/>
          <w:szCs w:val="20"/>
        </w:rPr>
        <w:t xml:space="preserve"> </w:t>
      </w:r>
      <w:r>
        <w:rPr>
          <w:sz w:val="20"/>
          <w:szCs w:val="20"/>
          <w:i/>
          <w:iCs/>
        </w:rPr>
        <w:t xml:space="preserve">Przedmiot i cel.</w:t>
      </w:r>
    </w:p>
    <w:p w:rsidR="001B208E" w:rsidRDefault="001B208E" w:rsidP="007D7D7B">
      <w:pPr>
        <w:pStyle w:val="Default"/>
        <w:widowControl/>
        <w:spacing w:before="120" w:after="120"/>
        <w:ind w:firstLine="720"/>
        <w:rPr>
          <w:sz w:val="20"/>
          <w:szCs w:val="20"/>
        </w:rPr>
      </w:pPr>
      <w:r>
        <w:rPr>
          <w:sz w:val="20"/>
          <w:szCs w:val="20"/>
        </w:rPr>
        <w:t xml:space="preserve">1.</w:t>
      </w:r>
      <w:r>
        <w:rPr>
          <w:sz w:val="20"/>
          <w:szCs w:val="20"/>
        </w:rPr>
        <w:t xml:space="preserve"> </w:t>
      </w:r>
      <w:r>
        <w:rPr>
          <w:sz w:val="20"/>
          <w:szCs w:val="20"/>
        </w:rPr>
        <w:t xml:space="preserve">Przedmiotem niniejszego dekretu królewskiego jest przyjęcie środków mających na celu ograniczenie zużycia plastikowych toreb na zakupy, aby zapobiegać szkodliwemu oddziaływaniu odpadów pochodzących ze wspomnianych plastikowych toreb na zakupy na środowisko naturalne oraz ograniczyć to oddziaływanie, ze szczególnym naciskiem na szkody wyrządzane w ekosystemach wodnych oraz w zakresie określonych rodzajów działalności gospodarczej, jak między innymi rybołówstwo i turystyka.</w:t>
      </w:r>
      <w:r>
        <w:rPr>
          <w:sz w:val="20"/>
          <w:szCs w:val="20"/>
        </w:rPr>
        <w:t xml:space="preserve"> </w:t>
      </w:r>
      <w:r>
        <w:rPr>
          <w:sz w:val="20"/>
          <w:szCs w:val="20"/>
        </w:rPr>
        <w:t xml:space="preserve">Jednocześnie dekret ma na celu zapobieganie marnowaniu zasobów materialnych i ekonomicznych związanemu z pozostawianiem plastikowych na zakupy i ich rozpraszaniem w środowisku.</w:t>
      </w:r>
    </w:p>
    <w:p w:rsidR="001B208E" w:rsidRDefault="001B208E" w:rsidP="007D7D7B">
      <w:pPr>
        <w:pStyle w:val="Default"/>
        <w:widowControl/>
        <w:spacing w:before="120" w:after="120"/>
        <w:ind w:firstLine="720"/>
        <w:rPr>
          <w:sz w:val="20"/>
          <w:szCs w:val="20"/>
        </w:rPr>
      </w:pPr>
      <w:r>
        <w:rPr>
          <w:sz w:val="20"/>
          <w:szCs w:val="20"/>
        </w:rPr>
        <w:t xml:space="preserve">2.</w:t>
      </w:r>
      <w:r>
        <w:rPr>
          <w:sz w:val="20"/>
          <w:szCs w:val="20"/>
        </w:rPr>
        <w:t xml:space="preserve"> </w:t>
      </w:r>
      <w:r>
        <w:rPr>
          <w:sz w:val="20"/>
          <w:szCs w:val="20"/>
        </w:rPr>
        <w:t xml:space="preserve">Celem niniejszego dekretu królewskiego jest także stworzenie rejestru producentów produktów mającego charakter administracyjny, podlegającego Dyrekcji Generalnej ds. Jakości i Oceny Wpływu na Środowisko Naturalne Ministerstwa Rolnictwa i Rybołówstwa, Gospodarki Żywnościowej i Środowiska.</w:t>
      </w:r>
    </w:p>
    <w:p w:rsidR="001B208E" w:rsidRDefault="001B208E" w:rsidP="007D7D7B">
      <w:pPr>
        <w:pStyle w:val="Default"/>
        <w:keepNext/>
        <w:keepLines/>
        <w:widowControl/>
        <w:spacing w:before="120" w:after="120"/>
        <w:ind w:firstLine="720"/>
        <w:rPr>
          <w:sz w:val="20"/>
          <w:szCs w:val="20"/>
        </w:rPr>
      </w:pPr>
      <w:r>
        <w:rPr>
          <w:sz w:val="20"/>
          <w:szCs w:val="20"/>
        </w:rPr>
        <w:t xml:space="preserve">Artykuł 2.</w:t>
      </w:r>
      <w:r>
        <w:rPr>
          <w:sz w:val="20"/>
          <w:szCs w:val="20"/>
          <w:i/>
          <w:iCs/>
        </w:rPr>
        <w:t xml:space="preserve"> </w:t>
      </w:r>
      <w:r>
        <w:rPr>
          <w:sz w:val="20"/>
          <w:szCs w:val="20"/>
          <w:i/>
          <w:iCs/>
        </w:rPr>
        <w:t xml:space="preserve">Zakres stosowania.</w:t>
      </w:r>
    </w:p>
    <w:p w:rsidR="001B208E" w:rsidRDefault="001B208E" w:rsidP="007D7D7B">
      <w:pPr>
        <w:pStyle w:val="Default"/>
        <w:widowControl/>
        <w:spacing w:before="120" w:after="120"/>
        <w:ind w:firstLine="720"/>
        <w:rPr>
          <w:sz w:val="20"/>
          <w:szCs w:val="20"/>
        </w:rPr>
      </w:pPr>
      <w:r>
        <w:rPr>
          <w:sz w:val="20"/>
          <w:szCs w:val="20"/>
        </w:rPr>
        <w:t xml:space="preserve">Zakresem stosowania niniejszego dekretu królewskiego są objęte wszystkie plastikowe torby na zakupy wprowadzane do obrotu na terytorium Hiszpanii, a także odpady generowane z tych toreb.</w:t>
      </w:r>
    </w:p>
    <w:p w:rsidR="001B208E" w:rsidRDefault="001B208E" w:rsidP="007D7D7B">
      <w:pPr>
        <w:pStyle w:val="Default"/>
        <w:keepNext/>
        <w:keepLines/>
        <w:widowControl/>
        <w:spacing w:before="120" w:after="120"/>
        <w:ind w:firstLine="720"/>
        <w:rPr>
          <w:sz w:val="20"/>
          <w:szCs w:val="20"/>
        </w:rPr>
      </w:pPr>
      <w:r>
        <w:rPr>
          <w:sz w:val="20"/>
          <w:szCs w:val="20"/>
        </w:rPr>
        <w:t xml:space="preserve">Artykuł 3.</w:t>
      </w:r>
      <w:r>
        <w:rPr>
          <w:sz w:val="20"/>
          <w:szCs w:val="20"/>
        </w:rPr>
        <w:t xml:space="preserve"> </w:t>
      </w:r>
      <w:r>
        <w:rPr>
          <w:sz w:val="20"/>
          <w:szCs w:val="20"/>
          <w:i/>
          <w:iCs/>
        </w:rPr>
        <w:t xml:space="preserve">Definicje.</w:t>
      </w:r>
    </w:p>
    <w:p w:rsidR="001B208E" w:rsidRDefault="001B208E" w:rsidP="007D7D7B">
      <w:pPr>
        <w:pStyle w:val="Default"/>
        <w:widowControl/>
        <w:spacing w:before="120" w:after="120"/>
        <w:ind w:firstLine="720"/>
        <w:rPr>
          <w:sz w:val="20"/>
          <w:szCs w:val="20"/>
        </w:rPr>
      </w:pPr>
      <w:r>
        <w:rPr>
          <w:sz w:val="20"/>
          <w:szCs w:val="20"/>
        </w:rPr>
        <w:t xml:space="preserve">Oprócz definicji zawartych w ustawie 22/2011 z dnia 28 lipca o odpadach i zanieczyszczeniu gleby, w ustawie 11/1997 z dnia 24 kwietnia o opakowaniach i odpadach opakowaniowych oraz w dekrecie królewskim nr 782/1998 z dnia 30 kwietnia zatwierdzającym rozporządzenie wykonawcze do ustawy 11/1997 z dnia 24 kwietnia przyjmuje się następujące definicje:</w:t>
      </w:r>
    </w:p>
    <w:p w:rsidR="00694AFB" w:rsidRDefault="001B208E" w:rsidP="007D7D7B">
      <w:pPr>
        <w:pStyle w:val="Default"/>
        <w:widowControl/>
        <w:spacing w:before="120" w:after="120"/>
        <w:ind w:firstLine="720"/>
        <w:rPr>
          <w:sz w:val="20"/>
          <w:szCs w:val="20"/>
        </w:rPr>
      </w:pPr>
      <w:r>
        <w:rPr>
          <w:sz w:val="20"/>
          <w:szCs w:val="20"/>
        </w:rPr>
        <w:t xml:space="preserve">a) „tworzywo sztuczne” oznacza polimer w rozumieniu art. 3 pkt 5 rozporządzenia (WE) nr 1907/2006 Parlamentu Europejskiego i Rady z dnia 18 grudnia 2006 r., do którego można dodać dodatki lub inne substancje, mogący stanowić główny składnik strukturalny toreb na zakupy;</w:t>
      </w:r>
    </w:p>
    <w:p w:rsidR="001B208E" w:rsidRDefault="001B208E" w:rsidP="007D7D7B">
      <w:pPr>
        <w:pStyle w:val="Default"/>
        <w:widowControl/>
        <w:spacing w:before="120" w:after="120"/>
        <w:ind w:firstLine="720"/>
        <w:rPr>
          <w:sz w:val="20"/>
          <w:szCs w:val="20"/>
        </w:rPr>
      </w:pPr>
      <w:r>
        <w:rPr>
          <w:sz w:val="20"/>
          <w:szCs w:val="20"/>
        </w:rPr>
        <w:t xml:space="preserve">b) „plastikowe torby na zakupy” oznaczają torby na zakupy, z uchwytem lub bez uchwytu, wykonane z tworzywa sztucznego, przekazywane konsumentom w punktach sprzedaży towarów lub produktów, w tym również w ramach zakupów online oraz dostawy do domu;</w:t>
      </w:r>
    </w:p>
    <w:p w:rsidR="001B208E" w:rsidRDefault="001B208E" w:rsidP="007D7D7B">
      <w:pPr>
        <w:pStyle w:val="Default"/>
        <w:widowControl/>
        <w:spacing w:before="120" w:after="120"/>
        <w:ind w:firstLine="720"/>
        <w:rPr>
          <w:sz w:val="20"/>
          <w:szCs w:val="20"/>
        </w:rPr>
      </w:pPr>
      <w:r>
        <w:rPr>
          <w:sz w:val="20"/>
          <w:szCs w:val="20"/>
        </w:rPr>
        <w:t xml:space="preserve">c) „lekkie plastikowe torby na zakupy” oznaczają plastikowe torby na zakupy z materiału o grubości poniżej 50 mikronów;</w:t>
      </w:r>
    </w:p>
    <w:p w:rsidR="001B208E" w:rsidRDefault="001B208E" w:rsidP="007D7D7B">
      <w:pPr>
        <w:pStyle w:val="Default"/>
        <w:widowControl/>
        <w:spacing w:before="120" w:after="120"/>
        <w:ind w:firstLine="720"/>
        <w:rPr>
          <w:sz w:val="20"/>
          <w:szCs w:val="20"/>
        </w:rPr>
      </w:pPr>
      <w:r>
        <w:rPr>
          <w:sz w:val="20"/>
          <w:szCs w:val="20"/>
        </w:rPr>
        <w:t xml:space="preserve">d) „bardzo lekkie plastikowe torby na zakupy” oznaczają plastikowe torby na zakupy z materiału o grubości poniżej 15 mikronów, które są wymagane ze względów higienicznych lub oferowane jako podstawowe opakowanie żywności luzem, takiej jak między innymi owoce, warzywa, ryby, mięso, gdy ich użycie pomaga w zapobieganiu marnowaniu tej żywności;</w:t>
      </w:r>
    </w:p>
    <w:p w:rsidR="001B208E" w:rsidRDefault="001B208E" w:rsidP="007D7D7B">
      <w:pPr>
        <w:pStyle w:val="Default"/>
        <w:widowControl/>
        <w:spacing w:before="120" w:after="120"/>
        <w:ind w:firstLine="720"/>
        <w:rPr>
          <w:sz w:val="20"/>
          <w:szCs w:val="20"/>
        </w:rPr>
      </w:pPr>
      <w:r>
        <w:rPr>
          <w:sz w:val="20"/>
          <w:szCs w:val="20"/>
        </w:rPr>
        <w:t xml:space="preserve">e) „torby z tworzywa ulegającego rozpadowi” oznaczają plastikowe torby na zakupy wytworzone z tworzyw zawierających dodatki katalizujące rozpad materiału z tworzywa sztucznego na mikrofragmenty.</w:t>
      </w:r>
      <w:r>
        <w:rPr>
          <w:sz w:val="20"/>
          <w:szCs w:val="20"/>
        </w:rPr>
        <w:t xml:space="preserve"> </w:t>
      </w:r>
      <w:r>
        <w:rPr>
          <w:sz w:val="20"/>
          <w:szCs w:val="20"/>
        </w:rPr>
        <w:t xml:space="preserve">Pojęcie tworzywa ulegającego rozpadowi obejmuje zarówno tworzywa osksydegradowalne, jak i fotodegradowalne, termodegradowalne i hydrodegradowalne;</w:t>
      </w:r>
    </w:p>
    <w:p w:rsidR="001B208E" w:rsidRDefault="001B208E" w:rsidP="007D7D7B">
      <w:pPr>
        <w:pStyle w:val="Default"/>
        <w:widowControl/>
        <w:spacing w:before="120" w:after="120"/>
        <w:ind w:firstLine="720"/>
        <w:rPr>
          <w:sz w:val="20"/>
          <w:szCs w:val="20"/>
        </w:rPr>
      </w:pPr>
      <w:r>
        <w:rPr>
          <w:sz w:val="20"/>
          <w:szCs w:val="20"/>
        </w:rPr>
        <w:t xml:space="preserve">f) „kompostowalne plastikowe torby na zakupy” oznaczają plastikowe torby na zakupy spełniające wymogi obowiązującej normy europejskiej EN 13432:2000 „Opakowania.</w:t>
      </w:r>
      <w:r>
        <w:rPr>
          <w:sz w:val="20"/>
          <w:szCs w:val="20"/>
        </w:rPr>
        <w:t xml:space="preserve"> </w:t>
      </w:r>
      <w:r>
        <w:rPr>
          <w:sz w:val="20"/>
          <w:szCs w:val="20"/>
        </w:rPr>
        <w:t xml:space="preserve">Wymagania dotyczące opakowań przydatnych do odzysku przez kompostowanie i biodegradację.</w:t>
      </w:r>
      <w:r>
        <w:rPr>
          <w:sz w:val="20"/>
          <w:szCs w:val="20"/>
        </w:rPr>
        <w:t xml:space="preserve"> </w:t>
      </w:r>
      <w:r>
        <w:rPr>
          <w:sz w:val="20"/>
          <w:szCs w:val="20"/>
        </w:rPr>
        <w:t xml:space="preserve">Program badań i kryteria oceny do ostatecznej akceptacji opakowań” i jej kolejnych aktualizacji, a także torby plastikowe spełniające europejskie lub krajowe normy w zakresie biodegradacji poprzez kompostowanie w gospodarstwach domowych;</w:t>
      </w:r>
    </w:p>
    <w:p w:rsidR="001B208E" w:rsidRDefault="001B208E" w:rsidP="007D7D7B">
      <w:pPr>
        <w:pStyle w:val="Default"/>
        <w:widowControl/>
        <w:spacing w:before="120" w:after="120"/>
        <w:ind w:firstLine="720"/>
        <w:rPr>
          <w:sz w:val="20"/>
          <w:szCs w:val="20"/>
        </w:rPr>
      </w:pPr>
      <w:r>
        <w:rPr>
          <w:sz w:val="20"/>
          <w:szCs w:val="20"/>
        </w:rPr>
        <w:t xml:space="preserve">g) „producent plastikowych toreb na zakupy” oznacza podmiot wprowadzający do obrotu krajowego gotowe plastikowe torby na zakupy.</w:t>
      </w:r>
      <w:r>
        <w:rPr>
          <w:sz w:val="20"/>
          <w:szCs w:val="20"/>
        </w:rPr>
        <w:t xml:space="preserve"> </w:t>
      </w:r>
      <w:r>
        <w:rPr>
          <w:sz w:val="20"/>
          <w:szCs w:val="20"/>
        </w:rPr>
        <w:t xml:space="preserve">Za producentów uważa się również importerów gotowych plastikowych toreb na zakupy.</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ROZDZIAŁ II</w:t>
      </w:r>
    </w:p>
    <w:p w:rsidR="001B208E" w:rsidRDefault="001B208E" w:rsidP="007D7D7B">
      <w:pPr>
        <w:pStyle w:val="Pa1"/>
        <w:keepNext/>
        <w:keepLines/>
        <w:widowControl/>
        <w:spacing w:before="120" w:after="120" w:line="240" w:lineRule="auto"/>
        <w:jc w:val="center"/>
        <w:rPr>
          <w:sz w:val="20"/>
          <w:szCs w:val="20"/>
        </w:rPr>
      </w:pPr>
      <w:r>
        <w:rPr>
          <w:b/>
          <w:bCs/>
          <w:sz w:val="20"/>
          <w:szCs w:val="20"/>
        </w:rPr>
        <w:t xml:space="preserve">Środki, obowiązki i kampanie mające na celu ograniczenie zużycia plastikowych toreb na zakupy</w:t>
      </w:r>
    </w:p>
    <w:p w:rsidR="001B208E" w:rsidRDefault="001B208E" w:rsidP="007D7D7B">
      <w:pPr>
        <w:pStyle w:val="Default"/>
        <w:keepNext/>
        <w:keepLines/>
        <w:widowControl/>
        <w:spacing w:before="120" w:after="120"/>
        <w:ind w:firstLine="720"/>
        <w:rPr>
          <w:sz w:val="20"/>
          <w:szCs w:val="20"/>
        </w:rPr>
      </w:pPr>
      <w:r>
        <w:rPr>
          <w:sz w:val="20"/>
          <w:szCs w:val="20"/>
        </w:rPr>
        <w:t xml:space="preserve">Artykuł 4.</w:t>
      </w:r>
      <w:r>
        <w:rPr>
          <w:sz w:val="20"/>
          <w:szCs w:val="20"/>
        </w:rPr>
        <w:t xml:space="preserve"> </w:t>
      </w:r>
      <w:r>
        <w:rPr>
          <w:sz w:val="20"/>
          <w:szCs w:val="20"/>
          <w:i/>
          <w:iCs/>
        </w:rPr>
        <w:t xml:space="preserve">Środki mające na celu ograniczenie zużycia plastikowych toreb na zakupy.</w:t>
      </w:r>
    </w:p>
    <w:p w:rsidR="001B208E" w:rsidRDefault="001B208E" w:rsidP="007D7D7B">
      <w:pPr>
        <w:pStyle w:val="Default"/>
        <w:widowControl/>
        <w:spacing w:before="120" w:after="120"/>
        <w:ind w:firstLine="720"/>
        <w:rPr>
          <w:sz w:val="20"/>
          <w:szCs w:val="20"/>
        </w:rPr>
      </w:pPr>
      <w:r>
        <w:rPr>
          <w:sz w:val="20"/>
          <w:szCs w:val="20"/>
        </w:rPr>
        <w:t xml:space="preserve">Przyjmuje się następujące środki na rzecz zmniejszenia zużycia toreb plastikowych według dat ich wejścia w życie:</w:t>
      </w:r>
    </w:p>
    <w:p w:rsidR="001B208E" w:rsidRDefault="001B208E" w:rsidP="007D7D7B">
      <w:pPr>
        <w:pStyle w:val="Default"/>
        <w:keepNext/>
        <w:keepLines/>
        <w:widowControl/>
        <w:spacing w:before="120" w:after="120"/>
        <w:ind w:firstLine="720"/>
        <w:rPr>
          <w:sz w:val="20"/>
          <w:szCs w:val="20"/>
        </w:rPr>
      </w:pPr>
      <w:r>
        <w:rPr>
          <w:sz w:val="20"/>
          <w:szCs w:val="20"/>
        </w:rPr>
        <w:t xml:space="preserve">1.</w:t>
      </w:r>
      <w:r>
        <w:rPr>
          <w:sz w:val="20"/>
          <w:szCs w:val="20"/>
        </w:rPr>
        <w:t xml:space="preserve"> </w:t>
      </w:r>
      <w:r>
        <w:rPr>
          <w:sz w:val="20"/>
          <w:szCs w:val="20"/>
        </w:rPr>
        <w:t xml:space="preserve">Od dnia 1 lipca 2018 r.:</w:t>
      </w:r>
    </w:p>
    <w:p w:rsidR="001B208E" w:rsidRDefault="001B208E" w:rsidP="007D7D7B">
      <w:pPr>
        <w:pStyle w:val="Default"/>
        <w:widowControl/>
        <w:spacing w:before="120" w:after="120"/>
        <w:ind w:firstLine="720"/>
        <w:rPr>
          <w:sz w:val="20"/>
          <w:szCs w:val="20"/>
        </w:rPr>
      </w:pPr>
      <w:r>
        <w:rPr>
          <w:sz w:val="20"/>
          <w:szCs w:val="20"/>
        </w:rPr>
        <w:t xml:space="preserve">a) Zabrania się bezpłatnego przekazywania konsumentom toreb plastikowych w punktach sprzedaży towarów lub produktów, z wyjątkiem bardzo lekkich toreb plastikowych i toreb plastikowych o grubości co najmniej 50 mikronów, które w składzie posiadają co najmniej 70 % tworzyw sztucznych pochodzących z recyklingu.</w:t>
      </w:r>
    </w:p>
    <w:p w:rsidR="001B208E" w:rsidRDefault="001B208E" w:rsidP="007D7D7B">
      <w:pPr>
        <w:pStyle w:val="Default"/>
        <w:widowControl/>
        <w:spacing w:before="120" w:after="120"/>
        <w:ind w:firstLine="720"/>
        <w:rPr>
          <w:sz w:val="20"/>
          <w:szCs w:val="20"/>
        </w:rPr>
      </w:pPr>
      <w:r>
        <w:rPr>
          <w:sz w:val="20"/>
          <w:szCs w:val="20"/>
        </w:rPr>
        <w:t xml:space="preserve">b) W przypadku wyjątku dotyczącego toreb plastikowych o grubości wynoszącej co najmniej 50 mikronów, o jakim mowa w poprzednim podpunkcie, handlowcy muszą posiadać dokumentację dostarczoną przez producenta, potwierdzającą wymagany skład procentowy.</w:t>
      </w:r>
    </w:p>
    <w:p w:rsidR="001B208E" w:rsidRDefault="001B208E" w:rsidP="007D7D7B">
      <w:pPr>
        <w:pStyle w:val="Default"/>
        <w:widowControl/>
        <w:spacing w:before="120" w:after="120"/>
        <w:ind w:firstLine="720"/>
        <w:rPr>
          <w:sz w:val="20"/>
          <w:szCs w:val="20"/>
        </w:rPr>
      </w:pPr>
      <w:r>
        <w:rPr>
          <w:sz w:val="20"/>
          <w:szCs w:val="20"/>
        </w:rPr>
        <w:t xml:space="preserve">c) Handlowcy pobierają opłatę za każdą plastikową torbę na zakupy przekazywaną konsumentowi.</w:t>
      </w:r>
      <w:r>
        <w:rPr>
          <w:sz w:val="20"/>
          <w:szCs w:val="20"/>
        </w:rPr>
        <w:t xml:space="preserve"> </w:t>
      </w:r>
      <w:r>
        <w:rPr>
          <w:sz w:val="20"/>
          <w:szCs w:val="20"/>
        </w:rPr>
        <w:t xml:space="preserve">Do celów ustalania ceny plastikowych toreb na zakupy handlowcy mogą skorzystać z orientacyjnych cen podanych w załączniku I jako wartości odniesienia.</w:t>
      </w:r>
    </w:p>
    <w:p w:rsidR="001B208E" w:rsidRDefault="001B208E" w:rsidP="007D7D7B">
      <w:pPr>
        <w:pStyle w:val="Default"/>
        <w:widowControl/>
        <w:spacing w:before="120" w:after="120"/>
        <w:ind w:firstLine="720"/>
        <w:rPr>
          <w:sz w:val="20"/>
          <w:szCs w:val="20"/>
        </w:rPr>
      </w:pPr>
      <w:r>
        <w:rPr>
          <w:sz w:val="20"/>
          <w:szCs w:val="20"/>
        </w:rPr>
        <w:t xml:space="preserve">d) Jednocześnie handlowcy informują konsumentów o ustalonych cenach, wystawiając je do wiadomości publicznej w widocznym miejscu, wraz z informacją na temat wywiązywania się z obowiązków zawartą w poprzednich akapitach.</w:t>
      </w:r>
    </w:p>
    <w:p w:rsidR="001B208E" w:rsidRDefault="001B208E" w:rsidP="007D7D7B">
      <w:pPr>
        <w:pStyle w:val="Default"/>
        <w:keepNext/>
        <w:keepLines/>
        <w:widowControl/>
        <w:spacing w:before="120" w:after="120"/>
        <w:ind w:firstLine="720"/>
        <w:rPr>
          <w:sz w:val="20"/>
          <w:szCs w:val="20"/>
        </w:rPr>
      </w:pPr>
      <w:r>
        <w:rPr>
          <w:sz w:val="20"/>
          <w:szCs w:val="20"/>
        </w:rPr>
        <w:t xml:space="preserve">2.</w:t>
      </w:r>
      <w:r>
        <w:rPr>
          <w:sz w:val="20"/>
          <w:szCs w:val="20"/>
        </w:rPr>
        <w:t xml:space="preserve"> </w:t>
      </w:r>
      <w:r>
        <w:rPr>
          <w:sz w:val="20"/>
          <w:szCs w:val="20"/>
        </w:rPr>
        <w:t xml:space="preserve">Od dnia 1 stycznia 2020 r.:</w:t>
      </w:r>
    </w:p>
    <w:p w:rsidR="001B208E" w:rsidRDefault="001B208E" w:rsidP="007D7D7B">
      <w:pPr>
        <w:pStyle w:val="Default"/>
        <w:widowControl/>
        <w:spacing w:before="120" w:after="120"/>
        <w:ind w:firstLine="720"/>
        <w:rPr>
          <w:sz w:val="20"/>
          <w:szCs w:val="20"/>
        </w:rPr>
      </w:pPr>
      <w:r>
        <w:rPr>
          <w:sz w:val="20"/>
          <w:szCs w:val="20"/>
        </w:rPr>
        <w:t xml:space="preserve">a) Zakazuje się przekazywania konsumentom toreb na zakupy z tworzywa ulegającego rozpadowi w punktach sprzedaży detalicznej towarów lub produktów.</w:t>
      </w:r>
    </w:p>
    <w:p w:rsidR="00694AFB" w:rsidRDefault="001B208E" w:rsidP="007D7D7B">
      <w:pPr>
        <w:pStyle w:val="Default"/>
        <w:widowControl/>
        <w:spacing w:before="120" w:after="120"/>
        <w:ind w:firstLine="720"/>
        <w:rPr>
          <w:sz w:val="20"/>
          <w:szCs w:val="20"/>
        </w:rPr>
      </w:pPr>
      <w:r>
        <w:rPr>
          <w:sz w:val="20"/>
          <w:szCs w:val="20"/>
        </w:rPr>
        <w:t xml:space="preserve">b) Plastikowe torby na zakupy z materiału o grubości równej 50 mikronów lub większej zawierają co najmniej 50 % tworzywa sztucznego z recyklingu.</w:t>
      </w:r>
    </w:p>
    <w:p w:rsidR="001B208E" w:rsidRDefault="001B208E" w:rsidP="007D7D7B">
      <w:pPr>
        <w:pStyle w:val="Default"/>
        <w:widowControl/>
        <w:spacing w:before="120" w:after="120"/>
        <w:ind w:firstLine="720"/>
        <w:rPr>
          <w:sz w:val="20"/>
          <w:szCs w:val="20"/>
        </w:rPr>
      </w:pPr>
      <w:r>
        <w:rPr>
          <w:sz w:val="20"/>
          <w:szCs w:val="20"/>
        </w:rPr>
        <w:t xml:space="preserve">3.</w:t>
      </w:r>
      <w:r>
        <w:rPr>
          <w:sz w:val="20"/>
          <w:szCs w:val="20"/>
        </w:rPr>
        <w:t xml:space="preserve"> </w:t>
      </w:r>
      <w:r>
        <w:rPr>
          <w:sz w:val="20"/>
          <w:szCs w:val="20"/>
        </w:rPr>
        <w:t xml:space="preserve">Od dnia 1 stycznia 2021 r. zakazuje się przekazywania lekkich i bardzo lekkich plastikowych toreb na zakupy w punktach sprzedaży detalicznej towarów lub produktów, z wyjątkiem toreb z tworzywa kompostowalnego.</w:t>
      </w:r>
      <w:r>
        <w:rPr>
          <w:sz w:val="20"/>
          <w:szCs w:val="20"/>
        </w:rPr>
        <w:t xml:space="preserve"> </w:t>
      </w:r>
      <w:r>
        <w:rPr>
          <w:sz w:val="20"/>
          <w:szCs w:val="20"/>
        </w:rPr>
        <w:t xml:space="preserve">Handlowcy mogą również wybrać inne rodzaje opakowań, które będą w stanie zastąpić torby plastikowe.</w:t>
      </w:r>
    </w:p>
    <w:p w:rsidR="001B208E" w:rsidRDefault="001B208E" w:rsidP="007D7D7B">
      <w:pPr>
        <w:pStyle w:val="Default"/>
        <w:widowControl/>
        <w:spacing w:before="120" w:after="120"/>
        <w:ind w:firstLine="720"/>
        <w:rPr>
          <w:sz w:val="20"/>
          <w:szCs w:val="20"/>
        </w:rPr>
      </w:pPr>
      <w:r>
        <w:rPr>
          <w:sz w:val="20"/>
          <w:szCs w:val="20"/>
        </w:rPr>
        <w:t xml:space="preserve">4.</w:t>
      </w:r>
      <w:r>
        <w:rPr>
          <w:sz w:val="20"/>
          <w:szCs w:val="20"/>
        </w:rPr>
        <w:t xml:space="preserve"> </w:t>
      </w:r>
      <w:r>
        <w:rPr>
          <w:sz w:val="20"/>
          <w:szCs w:val="20"/>
        </w:rPr>
        <w:t xml:space="preserve">Wszystkie środki, o których mowa w tym artykule dotyczą zarówno plastikowych toreb dostarczanych w punktach sprzedaży towarów lub produktów jak i toreb dostarczanych w ramach sprzedaży internetowej oraz dostaw do domu.</w:t>
      </w:r>
      <w:r>
        <w:rPr>
          <w:sz w:val="20"/>
          <w:szCs w:val="20"/>
        </w:rPr>
        <w:t xml:space="preserve"> </w:t>
      </w:r>
      <w:r>
        <w:rPr>
          <w:sz w:val="20"/>
          <w:szCs w:val="20"/>
        </w:rPr>
        <w:t xml:space="preserve">Z zakresu tych środków wyłączone są koperty z tworzywa sztucznego wykorzystywane przy sprzedaży na odległość, lecz powinny być one uważane za opakowanie, jeśli spełniają wymogi definicji ustanowionej w ustawie 11/1997 z dnia 24 kwietnia, wraz z przykładami.</w:t>
      </w:r>
    </w:p>
    <w:p w:rsidR="001B208E" w:rsidRDefault="001B208E" w:rsidP="007D7D7B">
      <w:pPr>
        <w:pStyle w:val="Default"/>
        <w:keepNext/>
        <w:keepLines/>
        <w:widowControl/>
        <w:spacing w:before="120" w:after="120"/>
        <w:ind w:firstLine="720"/>
        <w:rPr>
          <w:sz w:val="20"/>
          <w:szCs w:val="20"/>
        </w:rPr>
      </w:pPr>
      <w:r>
        <w:rPr>
          <w:sz w:val="20"/>
          <w:szCs w:val="20"/>
        </w:rPr>
        <w:t xml:space="preserve">Artykuł 5.</w:t>
      </w:r>
      <w:r>
        <w:rPr>
          <w:sz w:val="20"/>
          <w:szCs w:val="20"/>
        </w:rPr>
        <w:t xml:space="preserve"> </w:t>
      </w:r>
      <w:r>
        <w:rPr>
          <w:sz w:val="20"/>
          <w:szCs w:val="20"/>
          <w:i/>
          <w:iCs/>
        </w:rPr>
        <w:t xml:space="preserve">Obowiązki w zakresie oznakowania plastikowych toreb na zakupy.</w:t>
      </w:r>
    </w:p>
    <w:p w:rsidR="001B208E" w:rsidRDefault="001B208E" w:rsidP="007D7D7B">
      <w:pPr>
        <w:pStyle w:val="Default"/>
        <w:widowControl/>
        <w:spacing w:before="120" w:after="120"/>
        <w:ind w:firstLine="720"/>
        <w:rPr>
          <w:sz w:val="20"/>
          <w:szCs w:val="20"/>
        </w:rPr>
      </w:pPr>
      <w:r>
        <w:rPr>
          <w:sz w:val="20"/>
          <w:szCs w:val="20"/>
        </w:rPr>
        <w:t xml:space="preserve">W terminie 18 miesięcy od przyjęcia przepisów Wspólnoty Europejskiej przewidzianych w art. 8a dyrektywy 94/62/WE Parlamentu Europejskiego i Rady z dnia 20 grudnia 1994 r. w sprawie opakowań i odpadów opakowaniowych w celu ustanowienia specyfikacji etykiet lub oznakowań, aby zapewnić uznawanie kompostowalnych plastikowych toreb na zakupy w całej Unii Europejskiej, kompostowalne plastikowe torby na zakupy wprowadzane do obrotu na terenie Hiszpanii muszą być oznakowane zgodnie z przyjętymi przepisami wspólnotowymi.</w:t>
      </w:r>
    </w:p>
    <w:p w:rsidR="001B208E" w:rsidRDefault="001B208E" w:rsidP="007D7D7B">
      <w:pPr>
        <w:pStyle w:val="Default"/>
        <w:keepNext/>
        <w:keepLines/>
        <w:widowControl/>
        <w:spacing w:before="120" w:after="120"/>
        <w:ind w:firstLine="720"/>
        <w:rPr>
          <w:sz w:val="20"/>
          <w:szCs w:val="20"/>
        </w:rPr>
      </w:pPr>
      <w:r>
        <w:rPr>
          <w:sz w:val="20"/>
          <w:szCs w:val="20"/>
        </w:rPr>
        <w:t xml:space="preserve">Artykuł 6.</w:t>
      </w:r>
      <w:r>
        <w:rPr>
          <w:sz w:val="20"/>
          <w:szCs w:val="20"/>
        </w:rPr>
        <w:t xml:space="preserve"> </w:t>
      </w:r>
      <w:r>
        <w:rPr>
          <w:sz w:val="20"/>
          <w:szCs w:val="20"/>
          <w:i/>
          <w:iCs/>
        </w:rPr>
        <w:t xml:space="preserve">Kampanie zwiększające świadomość i informacyjne.</w:t>
      </w:r>
    </w:p>
    <w:p w:rsidR="001B208E" w:rsidRDefault="001B208E" w:rsidP="007D7D7B">
      <w:pPr>
        <w:pStyle w:val="Default"/>
        <w:widowControl/>
        <w:spacing w:before="120" w:after="120"/>
        <w:ind w:firstLine="720"/>
        <w:rPr>
          <w:sz w:val="20"/>
          <w:szCs w:val="20"/>
        </w:rPr>
      </w:pPr>
      <w:r>
        <w:rPr>
          <w:sz w:val="20"/>
          <w:szCs w:val="20"/>
        </w:rPr>
        <w:t xml:space="preserve">1.</w:t>
      </w:r>
      <w:r>
        <w:rPr>
          <w:sz w:val="20"/>
          <w:szCs w:val="20"/>
        </w:rPr>
        <w:t xml:space="preserve"> </w:t>
      </w:r>
      <w:r>
        <w:rPr>
          <w:sz w:val="20"/>
          <w:szCs w:val="20"/>
        </w:rPr>
        <w:t xml:space="preserve">Ministerstwo Rolnictwa i Rybołówstwa, Gospodarki Żywnościowej i Środowiska oraz właściwe organy wspólnot autonomicznych prowadzą publiczne kampanie informacyjne na temat środków przyjętych niniejszym dekretem królewskim, a także kampanie zwiększające świadomość na temat negatywnych konsekwencji dla środowiska związanych z nadmiernym zużyciem wszelkiego rodzaju plastikowych toreb na zakupy i skutków ich pozostawiania, oraz promują stosowanie zasady hierarchii postępowania z odpadami.</w:t>
      </w:r>
      <w:r>
        <w:rPr>
          <w:sz w:val="20"/>
          <w:szCs w:val="20"/>
        </w:rPr>
        <w:t xml:space="preserve"> </w:t>
      </w:r>
      <w:r>
        <w:rPr>
          <w:sz w:val="20"/>
          <w:szCs w:val="20"/>
        </w:rPr>
        <w:t xml:space="preserve">Kampanie te mają zawierać informacje o pojemnikach, w których należy umieszczać plastikowe torby kompostowalne i niekompostowalne, po tym, jak stają się odpadami.</w:t>
      </w:r>
    </w:p>
    <w:p w:rsidR="001B208E" w:rsidRDefault="001B208E" w:rsidP="007D7D7B">
      <w:pPr>
        <w:pStyle w:val="Default"/>
        <w:widowControl/>
        <w:spacing w:before="120" w:after="120"/>
        <w:ind w:firstLine="720"/>
        <w:rPr>
          <w:sz w:val="20"/>
          <w:szCs w:val="20"/>
        </w:rPr>
      </w:pPr>
      <w:r>
        <w:rPr>
          <w:sz w:val="20"/>
          <w:szCs w:val="20"/>
        </w:rPr>
        <w:t xml:space="preserve">Kampanie te prowadzone są przynajmniej w pierwszym roku od wejścia w życie niniejszego dekretu królewskiego i mogą być kontynuowane przez tak długi czas, jaki zostanie uznany za konieczny do osiągnięcia wyznaczonych celów.</w:t>
      </w:r>
    </w:p>
    <w:p w:rsidR="001B208E" w:rsidRDefault="001B208E" w:rsidP="007D7D7B">
      <w:pPr>
        <w:pStyle w:val="Default"/>
        <w:widowControl/>
        <w:spacing w:before="120" w:after="120"/>
        <w:ind w:firstLine="720"/>
        <w:rPr>
          <w:sz w:val="20"/>
          <w:szCs w:val="20"/>
        </w:rPr>
      </w:pPr>
      <w:r>
        <w:rPr>
          <w:sz w:val="20"/>
          <w:szCs w:val="20"/>
        </w:rPr>
        <w:t xml:space="preserve">2.</w:t>
      </w:r>
      <w:r>
        <w:rPr>
          <w:sz w:val="20"/>
          <w:szCs w:val="20"/>
        </w:rPr>
        <w:t xml:space="preserve"> </w:t>
      </w:r>
      <w:r>
        <w:rPr>
          <w:sz w:val="20"/>
          <w:szCs w:val="20"/>
        </w:rPr>
        <w:t xml:space="preserve">Podmioty lokalne i handlowcy również mogą prowadzić kampanie informacyjne i zwiększające świadomość podobne do kampanii prowadzonych przez właściwe organy.</w:t>
      </w:r>
    </w:p>
    <w:p w:rsidR="001B208E" w:rsidRDefault="001B208E" w:rsidP="007D7D7B">
      <w:pPr>
        <w:pStyle w:val="Default"/>
        <w:widowControl/>
        <w:spacing w:before="120" w:after="120"/>
        <w:ind w:firstLine="720"/>
        <w:rPr>
          <w:sz w:val="20"/>
          <w:szCs w:val="20"/>
        </w:rPr>
      </w:pPr>
      <w:r>
        <w:rPr>
          <w:sz w:val="20"/>
          <w:szCs w:val="20"/>
        </w:rPr>
        <w:t xml:space="preserve">3.</w:t>
      </w:r>
      <w:r>
        <w:rPr>
          <w:sz w:val="20"/>
          <w:szCs w:val="20"/>
        </w:rPr>
        <w:t xml:space="preserve"> </w:t>
      </w:r>
      <w:r>
        <w:rPr>
          <w:sz w:val="20"/>
          <w:szCs w:val="20"/>
        </w:rPr>
        <w:t xml:space="preserve">Kampanie realizowane przez właściwe organy mogą być finansowane przez kolektywne systemy rozszerzonej odpowiedzialności w ramach porozumień finansowych między tymi systemami a wspólnotami autonomicznymi lub, w stosownych przypadkach, z podmiotami lokalnymi.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ROZDZIAŁ III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Rejestr producentów produktów</w:t>
      </w:r>
    </w:p>
    <w:p w:rsidR="001B208E" w:rsidRDefault="001B208E" w:rsidP="007D7D7B">
      <w:pPr>
        <w:pStyle w:val="Default"/>
        <w:keepNext/>
        <w:keepLines/>
        <w:widowControl/>
        <w:spacing w:before="120" w:after="120"/>
        <w:ind w:firstLine="720"/>
        <w:rPr>
          <w:sz w:val="20"/>
          <w:szCs w:val="20"/>
        </w:rPr>
      </w:pPr>
      <w:r>
        <w:rPr>
          <w:sz w:val="20"/>
          <w:szCs w:val="20"/>
        </w:rPr>
        <w:t xml:space="preserve">Artykuł 7.</w:t>
      </w:r>
      <w:r>
        <w:rPr>
          <w:sz w:val="20"/>
          <w:szCs w:val="20"/>
        </w:rPr>
        <w:t xml:space="preserve"> </w:t>
      </w:r>
      <w:r>
        <w:rPr>
          <w:sz w:val="20"/>
          <w:szCs w:val="20"/>
          <w:i/>
          <w:iCs/>
        </w:rPr>
        <w:t xml:space="preserve">Utworzenie rejestru producentów produktów.</w:t>
      </w:r>
    </w:p>
    <w:p w:rsidR="001B208E" w:rsidRDefault="001B208E" w:rsidP="007D7D7B">
      <w:pPr>
        <w:pStyle w:val="Default"/>
        <w:widowControl/>
        <w:spacing w:before="120" w:after="120"/>
        <w:ind w:firstLine="720"/>
        <w:rPr>
          <w:sz w:val="20"/>
          <w:szCs w:val="20"/>
        </w:rPr>
      </w:pPr>
      <w:r>
        <w:rPr>
          <w:sz w:val="20"/>
          <w:szCs w:val="20"/>
        </w:rPr>
        <w:t xml:space="preserve">1.</w:t>
      </w:r>
      <w:r>
        <w:rPr>
          <w:sz w:val="20"/>
          <w:szCs w:val="20"/>
        </w:rPr>
        <w:t xml:space="preserve"> </w:t>
      </w:r>
      <w:r>
        <w:rPr>
          <w:sz w:val="20"/>
          <w:szCs w:val="20"/>
        </w:rPr>
        <w:t xml:space="preserve">Tworzy się rejestr producentów produktów mający charakter administracyjny, podlegający Dyrekcji Generalnej ds. Jakości i Oceny Wpływu na Środowisko Naturalne Ministerstwa Rolnictwa i Rybołówstwa, Gospodarki Żywnościowej i Środowiska.</w:t>
      </w:r>
    </w:p>
    <w:p w:rsidR="001B208E" w:rsidRDefault="001B208E" w:rsidP="007D7D7B">
      <w:pPr>
        <w:pStyle w:val="Default"/>
        <w:widowControl/>
        <w:spacing w:before="120" w:after="120"/>
        <w:ind w:firstLine="720"/>
        <w:rPr>
          <w:sz w:val="20"/>
          <w:szCs w:val="20"/>
        </w:rPr>
      </w:pPr>
      <w:r>
        <w:rPr>
          <w:sz w:val="20"/>
          <w:szCs w:val="20"/>
        </w:rPr>
        <w:t xml:space="preserve">2.</w:t>
      </w:r>
      <w:r>
        <w:rPr>
          <w:sz w:val="20"/>
          <w:szCs w:val="20"/>
        </w:rPr>
        <w:t xml:space="preserve"> </w:t>
      </w:r>
      <w:r>
        <w:rPr>
          <w:sz w:val="20"/>
          <w:szCs w:val="20"/>
        </w:rPr>
        <w:t xml:space="preserve">Rejestr producentów produktów dzieli się na sekcje producentów. Gromadzi się w nim informacje na temat wprowadzania produktów do obrotu w celu wypełnienia obowiązków sprawozdawczych w zakresie gospodarowania odpadami.</w:t>
      </w:r>
      <w:r>
        <w:rPr>
          <w:sz w:val="20"/>
          <w:szCs w:val="20"/>
        </w:rPr>
        <w:t xml:space="preserve"> </w:t>
      </w:r>
      <w:r>
        <w:rPr>
          <w:sz w:val="20"/>
          <w:szCs w:val="20"/>
        </w:rPr>
        <w:t xml:space="preserve">Rejestr producentów produktów zawiera co najmniej sekcję producentów plastikowych toreb na zakupy.</w:t>
      </w:r>
    </w:p>
    <w:p w:rsidR="00694AFB" w:rsidRDefault="001B208E" w:rsidP="007D7D7B">
      <w:pPr>
        <w:pStyle w:val="Default"/>
        <w:widowControl/>
        <w:spacing w:before="120" w:after="120"/>
        <w:ind w:firstLine="720"/>
        <w:rPr>
          <w:sz w:val="20"/>
          <w:szCs w:val="20"/>
        </w:rPr>
      </w:pPr>
      <w:r>
        <w:rPr>
          <w:sz w:val="20"/>
          <w:szCs w:val="20"/>
        </w:rPr>
        <w:t xml:space="preserve">Na podstawie odpowiednich przepisów regulujących kwestie związane z odpadami można utworzyć nowe sekcje w rejestrze producentów produktów o zawartości określonej tymi przepisami.</w:t>
      </w:r>
    </w:p>
    <w:p w:rsidR="001B208E" w:rsidRDefault="001B208E" w:rsidP="007D7D7B">
      <w:pPr>
        <w:pStyle w:val="Default"/>
        <w:keepNext/>
        <w:keepLines/>
        <w:widowControl/>
        <w:spacing w:before="120" w:after="120"/>
        <w:ind w:firstLine="720"/>
        <w:rPr>
          <w:sz w:val="20"/>
          <w:szCs w:val="20"/>
        </w:rPr>
      </w:pPr>
      <w:r>
        <w:rPr>
          <w:sz w:val="20"/>
          <w:szCs w:val="20"/>
        </w:rPr>
        <w:t xml:space="preserve">Artykuł 8.</w:t>
      </w:r>
      <w:r>
        <w:rPr>
          <w:sz w:val="20"/>
          <w:szCs w:val="20"/>
        </w:rPr>
        <w:t xml:space="preserve"> </w:t>
      </w:r>
      <w:r>
        <w:rPr>
          <w:sz w:val="20"/>
          <w:szCs w:val="20"/>
          <w:i/>
          <w:iCs/>
        </w:rPr>
        <w:t xml:space="preserve">Wpis producentów plastikowych toreb na zakupy do rejestru producentów produktów.</w:t>
      </w:r>
    </w:p>
    <w:p w:rsidR="001B208E" w:rsidRDefault="001B208E" w:rsidP="007D7D7B">
      <w:pPr>
        <w:pStyle w:val="Default"/>
        <w:widowControl/>
        <w:spacing w:before="120" w:after="120"/>
        <w:ind w:firstLine="720"/>
        <w:rPr>
          <w:sz w:val="20"/>
          <w:szCs w:val="20"/>
        </w:rPr>
      </w:pPr>
      <w:r>
        <w:rPr>
          <w:sz w:val="20"/>
          <w:szCs w:val="20"/>
        </w:rPr>
        <w:t xml:space="preserve">Producenci plastikowych toreb na zakupy dokonują wpisu do sekcji producentów plastikowych toreb na zakupy rejestru producentów produktów prowadzonego przez Ministerstwo Rolnictwa i Rybołówstwa, Gospodarki Żywnościowej i Środowiska w terminie 3 miesięcy od daty wejścia w życie niniejszego dekretu królewskiego.</w:t>
      </w:r>
      <w:r>
        <w:rPr>
          <w:sz w:val="20"/>
          <w:szCs w:val="20"/>
        </w:rPr>
        <w:t xml:space="preserve"> </w:t>
      </w:r>
      <w:r>
        <w:rPr>
          <w:sz w:val="20"/>
          <w:szCs w:val="20"/>
        </w:rPr>
        <w:t xml:space="preserve">Dokonując wpisu, przekazują informacje wskazane w załączniku II, mające charakter publiczny.</w:t>
      </w:r>
      <w:r>
        <w:rPr>
          <w:sz w:val="20"/>
          <w:szCs w:val="20"/>
        </w:rPr>
        <w:t xml:space="preserve"> </w:t>
      </w:r>
      <w:r>
        <w:rPr>
          <w:sz w:val="20"/>
          <w:szCs w:val="20"/>
        </w:rPr>
        <w:t xml:space="preserve">Dane osobowe są objęte ochroną na podstawie obowiązujących przepisów krajowych dotyczących ochrony danych osobowych.</w:t>
      </w:r>
    </w:p>
    <w:p w:rsidR="001B208E" w:rsidRDefault="001B208E" w:rsidP="007D7D7B">
      <w:pPr>
        <w:pStyle w:val="Default"/>
        <w:keepNext/>
        <w:keepLines/>
        <w:widowControl/>
        <w:spacing w:before="120" w:after="120"/>
        <w:ind w:firstLine="720"/>
        <w:rPr>
          <w:sz w:val="20"/>
          <w:szCs w:val="20"/>
        </w:rPr>
      </w:pPr>
      <w:r>
        <w:rPr>
          <w:sz w:val="20"/>
          <w:szCs w:val="20"/>
        </w:rPr>
        <w:t xml:space="preserve">Artykuł 9.</w:t>
      </w:r>
      <w:r>
        <w:rPr>
          <w:sz w:val="20"/>
          <w:szCs w:val="20"/>
        </w:rPr>
        <w:t xml:space="preserve"> </w:t>
      </w:r>
      <w:r>
        <w:rPr>
          <w:sz w:val="20"/>
          <w:szCs w:val="20"/>
          <w:i/>
          <w:iCs/>
        </w:rPr>
        <w:t xml:space="preserve">Obowiązki sprawozdawcze w dziedzinie plastikowych toreb na zakupy.</w:t>
      </w:r>
    </w:p>
    <w:p w:rsidR="001B208E" w:rsidRDefault="001B208E" w:rsidP="007D7D7B">
      <w:pPr>
        <w:pStyle w:val="Default"/>
        <w:widowControl/>
        <w:spacing w:before="120" w:after="120"/>
        <w:ind w:firstLine="720"/>
        <w:rPr>
          <w:sz w:val="20"/>
          <w:szCs w:val="20"/>
        </w:rPr>
      </w:pPr>
      <w:r>
        <w:rPr>
          <w:sz w:val="20"/>
          <w:szCs w:val="20"/>
        </w:rPr>
        <w:t xml:space="preserve">Producenci plastikowych toreb na zakupy gromadzą dane zawarte w załączniku II pkt 2 dotyczące toreb na zakupy, które wprowadzili do obrotu krajowego w danym roku kalendarzowym.</w:t>
      </w:r>
      <w:r>
        <w:rPr>
          <w:sz w:val="20"/>
          <w:szCs w:val="20"/>
        </w:rPr>
        <w:t xml:space="preserve"> </w:t>
      </w:r>
      <w:r>
        <w:rPr>
          <w:sz w:val="20"/>
          <w:szCs w:val="20"/>
        </w:rPr>
        <w:t xml:space="preserve">Wspomniane informacje przekazuje się do Ministerstwa Rolnictwa i Rybołówstwa, Gospodarki Żywnościowej i Środowiska do dnia 31 marca następnego roku po tym, którego dotyczą dane, do celów opracowania informacji na temat plastikowych toreb na zakupy, jakie należy przekazywać do Komisji Europejskiej zgodnie z obowiązującymi przepisami, które to informacje publikuje się co roku.</w:t>
      </w:r>
    </w:p>
    <w:p w:rsidR="001B208E" w:rsidRDefault="001B208E" w:rsidP="007D7D7B">
      <w:pPr>
        <w:pStyle w:val="Default"/>
        <w:widowControl/>
        <w:spacing w:before="120" w:after="120"/>
        <w:ind w:firstLine="720"/>
        <w:rPr>
          <w:sz w:val="20"/>
          <w:szCs w:val="20"/>
        </w:rPr>
      </w:pPr>
      <w:r>
        <w:rPr>
          <w:sz w:val="20"/>
          <w:szCs w:val="20"/>
        </w:rPr>
        <w:t xml:space="preserve">Informacje dostarczane przez producentów plastikowych toreb na zakupy są dostępne dla właściwych organów do celów inspekcji i kontroli.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 xml:space="preserve">ROZDZIAŁ IV</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System sankcji</w:t>
      </w:r>
    </w:p>
    <w:p w:rsidR="001B208E" w:rsidRDefault="001B208E" w:rsidP="007D7D7B">
      <w:pPr>
        <w:pStyle w:val="Default"/>
        <w:keepNext/>
        <w:keepLines/>
        <w:widowControl/>
        <w:spacing w:before="120" w:after="120"/>
        <w:ind w:firstLine="720"/>
        <w:rPr>
          <w:sz w:val="20"/>
          <w:szCs w:val="20"/>
        </w:rPr>
      </w:pPr>
      <w:r>
        <w:rPr>
          <w:sz w:val="20"/>
          <w:szCs w:val="20"/>
        </w:rPr>
        <w:t xml:space="preserve">Artykuł 10.</w:t>
      </w:r>
      <w:r>
        <w:rPr>
          <w:sz w:val="20"/>
          <w:szCs w:val="20"/>
        </w:rPr>
        <w:t xml:space="preserve"> </w:t>
      </w:r>
      <w:r>
        <w:rPr>
          <w:sz w:val="20"/>
          <w:szCs w:val="20"/>
          <w:i/>
          <w:iCs/>
        </w:rPr>
        <w:t xml:space="preserve">System sankcji.</w:t>
      </w:r>
    </w:p>
    <w:p w:rsidR="001B208E" w:rsidRDefault="001B208E" w:rsidP="007D7D7B">
      <w:pPr>
        <w:pStyle w:val="Default"/>
        <w:widowControl/>
        <w:spacing w:before="120" w:after="120"/>
        <w:ind w:firstLine="720"/>
        <w:rPr>
          <w:sz w:val="20"/>
          <w:szCs w:val="20"/>
        </w:rPr>
      </w:pPr>
      <w:r>
        <w:rPr>
          <w:sz w:val="20"/>
          <w:szCs w:val="20"/>
        </w:rPr>
        <w:t xml:space="preserve">Nieprzestrzeganie przepisów niniejszego dekretu jest karane zgodnie z przepisami ustawy 22/2011 z dnia 28 lipca 2011 r. o odpadach i zanieczyszczeniu gleb.</w:t>
      </w:r>
    </w:p>
    <w:p w:rsidR="001B208E" w:rsidRDefault="001B208E" w:rsidP="007D7D7B">
      <w:pPr>
        <w:pStyle w:val="Default"/>
        <w:keepNext/>
        <w:keepLines/>
        <w:widowControl/>
        <w:spacing w:before="120" w:after="120"/>
        <w:ind w:firstLine="720"/>
        <w:rPr>
          <w:sz w:val="20"/>
          <w:szCs w:val="20"/>
        </w:rPr>
      </w:pPr>
      <w:r>
        <w:rPr>
          <w:sz w:val="20"/>
          <w:szCs w:val="20"/>
        </w:rPr>
        <w:t xml:space="preserve">Pierwszy przepis dodatkowy.</w:t>
      </w:r>
      <w:r>
        <w:rPr>
          <w:sz w:val="20"/>
          <w:szCs w:val="20"/>
        </w:rPr>
        <w:t xml:space="preserve"> </w:t>
      </w:r>
      <w:r>
        <w:rPr>
          <w:sz w:val="20"/>
          <w:szCs w:val="20"/>
          <w:i/>
          <w:iCs/>
        </w:rPr>
        <w:t xml:space="preserve">Sprawozdanie na temat stosowania dekretu królewskiego i przegląd proponowanych środków.</w:t>
      </w:r>
    </w:p>
    <w:p w:rsidR="001B208E" w:rsidRDefault="001B208E" w:rsidP="007D7D7B">
      <w:pPr>
        <w:pStyle w:val="Default"/>
        <w:widowControl/>
        <w:spacing w:before="120" w:after="120"/>
        <w:ind w:firstLine="720"/>
        <w:rPr>
          <w:sz w:val="20"/>
          <w:szCs w:val="20"/>
        </w:rPr>
      </w:pPr>
      <w:r>
        <w:rPr>
          <w:sz w:val="20"/>
          <w:szCs w:val="20"/>
        </w:rPr>
        <w:t xml:space="preserve">Do dnia 1 stycznia 2023 r. Ministerstwo Rolnictwa i Rybołówstwa, Gospodarki Żywnościowej i Środowiska opracuje sprawozdanie oceniające skuteczność środków przedstawionych w niniejszym dekrecie królewskim w celu ograniczenia zużycia plastikowych toreb na zakupy, zmiany zachowań konsumentów i wspierania zapobiegania powstawaniu odpadów.</w:t>
      </w:r>
      <w:r>
        <w:rPr>
          <w:sz w:val="20"/>
          <w:szCs w:val="20"/>
        </w:rPr>
        <w:t xml:space="preserve"> </w:t>
      </w:r>
      <w:r>
        <w:rPr>
          <w:sz w:val="20"/>
          <w:szCs w:val="20"/>
        </w:rPr>
        <w:t xml:space="preserve">Jeśli ocena wykaże, że przyjęte środki nie są skuteczne, Ministerstwo Rolnictwa i Rybołówstwa, Gospodarki Żywnościowej i Środowiska przeanalizuje inne możliwe sposoby ograniczenia zużycia plastikowych toreb na zakupy i przedstawi, w stosownym przypadku, nową propozycję przepisu.</w:t>
      </w:r>
    </w:p>
    <w:p w:rsidR="001B208E" w:rsidRDefault="001B208E" w:rsidP="007D7D7B">
      <w:pPr>
        <w:pStyle w:val="Default"/>
        <w:keepNext/>
        <w:keepLines/>
        <w:widowControl/>
        <w:spacing w:before="120" w:after="120"/>
        <w:ind w:firstLine="720"/>
        <w:rPr>
          <w:sz w:val="20"/>
          <w:szCs w:val="20"/>
        </w:rPr>
      </w:pPr>
      <w:r>
        <w:rPr>
          <w:sz w:val="20"/>
          <w:szCs w:val="20"/>
        </w:rPr>
        <w:t xml:space="preserve">Drugi przepis dodatkowy.</w:t>
      </w:r>
      <w:r>
        <w:rPr>
          <w:sz w:val="20"/>
          <w:szCs w:val="20"/>
        </w:rPr>
        <w:t xml:space="preserve"> </w:t>
      </w:r>
      <w:r>
        <w:rPr>
          <w:sz w:val="20"/>
          <w:szCs w:val="20"/>
          <w:i/>
          <w:iCs/>
        </w:rPr>
        <w:t xml:space="preserve">Zgodność z drugim przepisem dodatkowym ustawy 22/2011 z dnia 28 lipca.</w:t>
      </w:r>
    </w:p>
    <w:p w:rsidR="001B208E" w:rsidRDefault="001B208E" w:rsidP="007D7D7B">
      <w:pPr>
        <w:pStyle w:val="Default"/>
        <w:widowControl/>
        <w:spacing w:before="120" w:after="120"/>
        <w:ind w:firstLine="720"/>
        <w:rPr>
          <w:sz w:val="20"/>
          <w:szCs w:val="20"/>
        </w:rPr>
      </w:pPr>
      <w:r>
        <w:rPr>
          <w:sz w:val="20"/>
          <w:szCs w:val="20"/>
        </w:rPr>
        <w:t xml:space="preserve">Środki przewidziane w niniejszym dekrecie królewskim w odniesieniu do lekkich plastikowych toreb na zakupy umożliwią wypełnienie drugiego przepisu dodatkowego ustawy 22/2011 z dnia 28 lipca w szczególności w odniesieniu do ustalenia harmonogramu wymienionego w jego ustępie 3.</w:t>
      </w:r>
    </w:p>
    <w:p w:rsidR="00694AFB" w:rsidRDefault="001B208E" w:rsidP="007D7D7B">
      <w:pPr>
        <w:pStyle w:val="Default"/>
        <w:widowControl/>
        <w:spacing w:before="120" w:after="120"/>
        <w:ind w:firstLine="720"/>
        <w:rPr>
          <w:sz w:val="20"/>
          <w:szCs w:val="20"/>
        </w:rPr>
      </w:pPr>
      <w:r>
        <w:rPr>
          <w:sz w:val="20"/>
          <w:szCs w:val="20"/>
        </w:rPr>
        <w:t xml:space="preserve">Grupą zadaniową wymienioną w ust. 4 drugiego przepisu dodatkowego ustawy 22/2011 z dnia 28 lipca będzie grupa zadaniowa ds. opakowań i odpadów opakowaniowych Komisji Koordynacji ds. Odpadów podlegającej Dyrekcji Generalnej ds. Jakości i Oceny Wpływu na Środowisko Naturalne.</w:t>
      </w:r>
    </w:p>
    <w:p w:rsidR="001B208E" w:rsidRDefault="001B208E" w:rsidP="007D7D7B">
      <w:pPr>
        <w:pStyle w:val="Default"/>
        <w:keepNext/>
        <w:keepLines/>
        <w:widowControl/>
        <w:spacing w:before="120" w:after="120"/>
        <w:ind w:firstLine="720"/>
        <w:rPr>
          <w:sz w:val="20"/>
          <w:szCs w:val="20"/>
        </w:rPr>
      </w:pPr>
      <w:r>
        <w:rPr>
          <w:sz w:val="20"/>
          <w:szCs w:val="20"/>
        </w:rPr>
        <w:t xml:space="preserve">Trzeci przepis dodatkowy.</w:t>
      </w:r>
      <w:r>
        <w:rPr>
          <w:sz w:val="20"/>
          <w:szCs w:val="20"/>
        </w:rPr>
        <w:t xml:space="preserve"> </w:t>
      </w:r>
      <w:r>
        <w:rPr>
          <w:sz w:val="20"/>
          <w:szCs w:val="20"/>
          <w:i/>
          <w:iCs/>
        </w:rPr>
        <w:t xml:space="preserve">Informacje na temat plastikowych toreb na zakupy za rok 2017.</w:t>
      </w:r>
    </w:p>
    <w:p w:rsidR="001B208E" w:rsidRDefault="001B208E" w:rsidP="007D7D7B">
      <w:pPr>
        <w:pStyle w:val="Default"/>
        <w:widowControl/>
        <w:spacing w:before="120" w:after="120"/>
        <w:ind w:firstLine="720"/>
        <w:rPr>
          <w:sz w:val="20"/>
          <w:szCs w:val="20"/>
        </w:rPr>
      </w:pPr>
      <w:r>
        <w:rPr>
          <w:sz w:val="20"/>
          <w:szCs w:val="20"/>
        </w:rPr>
        <w:t xml:space="preserve">Producenci toreb przekażą informacje na temat plastikowych toreb na zakupy wprowadzonych do obrotu krajowego w 2017 r. w terminie 3 miesięcy od ich wpisania do rejestru producentów produktów.</w:t>
      </w:r>
    </w:p>
    <w:p w:rsidR="001B208E" w:rsidRDefault="001B208E" w:rsidP="007D7D7B">
      <w:pPr>
        <w:pStyle w:val="Default"/>
        <w:keepNext/>
        <w:keepLines/>
        <w:widowControl/>
        <w:spacing w:before="120" w:after="120"/>
        <w:ind w:firstLine="720"/>
        <w:rPr>
          <w:sz w:val="20"/>
          <w:szCs w:val="20"/>
        </w:rPr>
      </w:pPr>
      <w:r>
        <w:rPr>
          <w:sz w:val="20"/>
          <w:szCs w:val="20"/>
        </w:rPr>
        <w:t xml:space="preserve">Czwarty przepis dodatkowy.</w:t>
      </w:r>
      <w:r>
        <w:rPr>
          <w:sz w:val="20"/>
          <w:szCs w:val="20"/>
        </w:rPr>
        <w:t xml:space="preserve"> </w:t>
      </w:r>
      <w:r>
        <w:rPr>
          <w:sz w:val="20"/>
          <w:szCs w:val="20"/>
          <w:i/>
          <w:iCs/>
        </w:rPr>
        <w:t xml:space="preserve">Niezwiększanie wydatków publicznych.</w:t>
      </w:r>
    </w:p>
    <w:p w:rsidR="001B208E" w:rsidRDefault="001B208E" w:rsidP="007D7D7B">
      <w:pPr>
        <w:pStyle w:val="Default"/>
        <w:widowControl/>
        <w:spacing w:before="120" w:after="120"/>
        <w:ind w:firstLine="720"/>
        <w:rPr>
          <w:sz w:val="20"/>
          <w:szCs w:val="20"/>
        </w:rPr>
      </w:pPr>
      <w:r>
        <w:rPr>
          <w:sz w:val="20"/>
          <w:szCs w:val="20"/>
        </w:rPr>
        <w:t xml:space="preserve">Na środki zawarte w niniejszym dekrecie królewskim przeznacza się zasoby osobowe i materialne posiadane przez generalną administrację państwową.</w:t>
      </w:r>
      <w:r>
        <w:rPr>
          <w:sz w:val="20"/>
          <w:szCs w:val="20"/>
        </w:rPr>
        <w:t xml:space="preserve"> </w:t>
      </w:r>
      <w:r>
        <w:rPr>
          <w:sz w:val="20"/>
          <w:szCs w:val="20"/>
        </w:rPr>
        <w:t xml:space="preserve">W żadnym przypadku środki te nie mogą powodować zwiększenia wydatków publicznych.</w:t>
      </w:r>
    </w:p>
    <w:p w:rsidR="001B208E" w:rsidRDefault="001B208E" w:rsidP="007D7D7B">
      <w:pPr>
        <w:pStyle w:val="Default"/>
        <w:keepNext/>
        <w:keepLines/>
        <w:widowControl/>
        <w:spacing w:before="120" w:after="120"/>
        <w:ind w:firstLine="720"/>
        <w:rPr>
          <w:sz w:val="20"/>
          <w:szCs w:val="20"/>
        </w:rPr>
      </w:pPr>
      <w:r>
        <w:rPr>
          <w:sz w:val="20"/>
          <w:szCs w:val="20"/>
        </w:rPr>
        <w:t xml:space="preserve">Przepis uchylający.</w:t>
      </w:r>
      <w:r>
        <w:rPr>
          <w:sz w:val="20"/>
          <w:szCs w:val="20"/>
        </w:rPr>
        <w:t xml:space="preserve"> </w:t>
      </w:r>
      <w:r>
        <w:rPr>
          <w:sz w:val="20"/>
          <w:szCs w:val="20"/>
          <w:i/>
          <w:iCs/>
        </w:rPr>
        <w:t xml:space="preserve">Uchylenie przepisów.</w:t>
      </w:r>
    </w:p>
    <w:p w:rsidR="001B208E" w:rsidRDefault="001B208E" w:rsidP="007D7D7B">
      <w:pPr>
        <w:pStyle w:val="Default"/>
        <w:widowControl/>
        <w:spacing w:before="120" w:after="120"/>
        <w:ind w:firstLine="720"/>
        <w:rPr>
          <w:sz w:val="20"/>
          <w:szCs w:val="20"/>
        </w:rPr>
      </w:pPr>
      <w:r>
        <w:rPr>
          <w:sz w:val="20"/>
          <w:szCs w:val="20"/>
        </w:rPr>
        <w:t xml:space="preserve">Uchyla się wszystkie przepisy sprzeczne lub niekompatybilne z przepisami niniejszego dekretu królewskiego.</w:t>
      </w:r>
    </w:p>
    <w:p w:rsidR="001B208E" w:rsidRDefault="001B208E" w:rsidP="007D7D7B">
      <w:pPr>
        <w:pStyle w:val="Default"/>
        <w:keepNext/>
        <w:keepLines/>
        <w:widowControl/>
        <w:spacing w:before="120" w:after="120"/>
        <w:ind w:firstLine="720"/>
        <w:rPr>
          <w:sz w:val="20"/>
          <w:szCs w:val="20"/>
        </w:rPr>
      </w:pPr>
      <w:r>
        <w:rPr>
          <w:sz w:val="20"/>
          <w:szCs w:val="20"/>
        </w:rPr>
        <w:t xml:space="preserve">Pierwszy przepis końcowy.</w:t>
      </w:r>
      <w:r>
        <w:rPr>
          <w:sz w:val="20"/>
          <w:szCs w:val="20"/>
        </w:rPr>
        <w:t xml:space="preserve"> </w:t>
      </w:r>
      <w:r>
        <w:rPr>
          <w:sz w:val="20"/>
          <w:szCs w:val="20"/>
          <w:i/>
          <w:iCs/>
        </w:rPr>
        <w:t xml:space="preserve">Przypisanie kompetencji.</w:t>
      </w:r>
    </w:p>
    <w:p w:rsidR="001B208E" w:rsidRDefault="001B208E" w:rsidP="007D7D7B">
      <w:pPr>
        <w:pStyle w:val="Default"/>
        <w:widowControl/>
        <w:spacing w:before="120" w:after="120"/>
        <w:ind w:firstLine="720"/>
        <w:rPr>
          <w:sz w:val="20"/>
          <w:szCs w:val="20"/>
        </w:rPr>
      </w:pPr>
      <w:r>
        <w:rPr>
          <w:sz w:val="20"/>
          <w:szCs w:val="20"/>
        </w:rPr>
        <w:t xml:space="preserve">Niniejszy dekret królewski ma charakter podstawowy i wydaje się go na mocy przepisu art. 149 ust. 1 pkt 13 i 23 konstytucji, która przyznaje państwu wyłączne uprawnienia dotyczące odpowiednio podstaw i koordynacji planowania ogólnego działalności gospodarczej i przepisów podstawowych w dziedzinie ochrony środowiska.</w:t>
      </w:r>
    </w:p>
    <w:p w:rsidR="001B208E" w:rsidRDefault="001B208E" w:rsidP="007D7D7B">
      <w:pPr>
        <w:pStyle w:val="Default"/>
        <w:keepNext/>
        <w:keepLines/>
        <w:widowControl/>
        <w:spacing w:before="120" w:after="120"/>
        <w:ind w:firstLine="720"/>
        <w:rPr>
          <w:sz w:val="20"/>
          <w:szCs w:val="20"/>
        </w:rPr>
      </w:pPr>
      <w:r>
        <w:rPr>
          <w:sz w:val="20"/>
          <w:szCs w:val="20"/>
        </w:rPr>
        <w:t xml:space="preserve">Drugi przepis końcowy.</w:t>
      </w:r>
      <w:r>
        <w:rPr>
          <w:sz w:val="20"/>
          <w:szCs w:val="20"/>
        </w:rPr>
        <w:t xml:space="preserve"> </w:t>
      </w:r>
      <w:r>
        <w:rPr>
          <w:sz w:val="20"/>
          <w:szCs w:val="20"/>
          <w:i/>
          <w:iCs/>
        </w:rPr>
        <w:t xml:space="preserve">Wdrożenie prawa Unii Europejskiej.</w:t>
      </w:r>
    </w:p>
    <w:p w:rsidR="001B208E" w:rsidRDefault="001B208E" w:rsidP="007D7D7B">
      <w:pPr>
        <w:pStyle w:val="Default"/>
        <w:widowControl/>
        <w:spacing w:before="120" w:after="120"/>
        <w:ind w:firstLine="720"/>
        <w:rPr>
          <w:sz w:val="20"/>
          <w:szCs w:val="20"/>
        </w:rPr>
      </w:pPr>
      <w:r>
        <w:rPr>
          <w:sz w:val="20"/>
          <w:szCs w:val="20"/>
        </w:rPr>
        <w:t xml:space="preserve">Niniejszym dekretem królewskim włącza się do hiszpańskiego porządku prawnego przepisy dyrektywy Parlamentu Europejskiego i Rady (UE) 2015/720 z dnia 29 kwietnia 2015 r. zmieniającej dyrektywę 94/62/WE w odniesieniu do zmniejszenia zużycia lekkich plastikowych toreb na zakupy.</w:t>
      </w:r>
    </w:p>
    <w:p w:rsidR="001B208E" w:rsidRDefault="001B208E" w:rsidP="007D7D7B">
      <w:pPr>
        <w:pStyle w:val="Default"/>
        <w:keepNext/>
        <w:keepLines/>
        <w:widowControl/>
        <w:spacing w:before="120" w:after="120"/>
        <w:ind w:firstLine="720"/>
        <w:rPr>
          <w:sz w:val="20"/>
          <w:szCs w:val="20"/>
        </w:rPr>
      </w:pPr>
      <w:r>
        <w:rPr>
          <w:sz w:val="20"/>
          <w:szCs w:val="20"/>
        </w:rPr>
        <w:t xml:space="preserve">Trzeci przepis końcowy.</w:t>
      </w:r>
      <w:r>
        <w:rPr>
          <w:sz w:val="20"/>
          <w:szCs w:val="20"/>
        </w:rPr>
        <w:t xml:space="preserve"> </w:t>
      </w:r>
      <w:r>
        <w:rPr>
          <w:sz w:val="20"/>
          <w:szCs w:val="20"/>
          <w:i/>
          <w:iCs/>
        </w:rPr>
        <w:t xml:space="preserve">Uprawnienia wykonawcze.</w:t>
      </w:r>
    </w:p>
    <w:p w:rsidR="001B208E" w:rsidRDefault="001B208E" w:rsidP="007D7D7B">
      <w:pPr>
        <w:pStyle w:val="Default"/>
        <w:widowControl/>
        <w:spacing w:before="120" w:after="120"/>
        <w:ind w:firstLine="720"/>
        <w:rPr>
          <w:sz w:val="20"/>
          <w:szCs w:val="20"/>
        </w:rPr>
      </w:pPr>
      <w:r>
        <w:rPr>
          <w:sz w:val="20"/>
          <w:szCs w:val="20"/>
        </w:rPr>
        <w:t xml:space="preserve">Upoważnia się Ministra Rolnictwa i Rybołówstwa, Gospodarki Żywnościowej i Środowiska do wydawania, w zakresie jego właściwości, przepisów koniecznych do wdrożenia i wykonania przepisów niniejszego dekretu królewskiego, w szczególności w celu dostosowania załączników do przepisów i zmian wprowadzonych w przepisach międzynarodowych, prawie Unii Europejskiej oraz, w stosownych przypadkach, do wniosków ze sprawozdań, o których mowa w pierwszym przepisie dodatkowym.</w:t>
      </w:r>
    </w:p>
    <w:p w:rsidR="001B208E" w:rsidRDefault="001B208E" w:rsidP="007D7D7B">
      <w:pPr>
        <w:pStyle w:val="Default"/>
        <w:keepNext/>
        <w:keepLines/>
        <w:widowControl/>
        <w:spacing w:before="120" w:after="120"/>
        <w:ind w:firstLine="720"/>
        <w:rPr>
          <w:sz w:val="20"/>
          <w:szCs w:val="20"/>
        </w:rPr>
      </w:pPr>
      <w:r>
        <w:rPr>
          <w:sz w:val="20"/>
          <w:szCs w:val="20"/>
        </w:rPr>
        <w:t xml:space="preserve">Czwarty przepis końcowy.</w:t>
      </w:r>
      <w:r>
        <w:rPr>
          <w:sz w:val="20"/>
          <w:szCs w:val="20"/>
        </w:rPr>
        <w:t xml:space="preserve"> </w:t>
      </w:r>
      <w:r>
        <w:rPr>
          <w:sz w:val="20"/>
          <w:szCs w:val="20"/>
          <w:i/>
          <w:iCs/>
        </w:rPr>
        <w:t xml:space="preserve">Wejście w życie.</w:t>
      </w:r>
    </w:p>
    <w:p w:rsidR="001B208E" w:rsidRDefault="001B208E" w:rsidP="007D7D7B">
      <w:pPr>
        <w:pStyle w:val="Default"/>
        <w:widowControl/>
        <w:spacing w:before="120" w:after="120"/>
        <w:ind w:firstLine="720"/>
        <w:rPr>
          <w:sz w:val="20"/>
          <w:szCs w:val="20"/>
        </w:rPr>
      </w:pPr>
      <w:r>
        <w:rPr>
          <w:sz w:val="20"/>
          <w:szCs w:val="20"/>
        </w:rPr>
        <w:t xml:space="preserve">Niniejszy dekret królewski wchodzi w życie w następnym dniu po jego ogłoszeniu w „Państwowym Dzienniku Urzędowym”.</w:t>
      </w:r>
    </w:p>
    <w:p w:rsidR="001B208E" w:rsidRDefault="001B208E" w:rsidP="007D7D7B">
      <w:pPr>
        <w:pStyle w:val="Default"/>
        <w:widowControl/>
        <w:spacing w:before="120" w:after="120"/>
        <w:ind w:firstLine="720"/>
        <w:rPr>
          <w:sz w:val="20"/>
          <w:szCs w:val="20"/>
        </w:rPr>
      </w:pPr>
      <w:r>
        <w:rPr>
          <w:sz w:val="20"/>
          <w:szCs w:val="20"/>
        </w:rPr>
        <w:t xml:space="preserve">Wydano w Madrycie, w dniu 18 maja 2011 r.</w:t>
      </w:r>
    </w:p>
    <w:p w:rsidR="001B208E" w:rsidRDefault="001B208E" w:rsidP="007D7D7B">
      <w:pPr>
        <w:pStyle w:val="Default"/>
        <w:widowControl/>
        <w:spacing w:before="120" w:after="120"/>
        <w:ind w:firstLine="720"/>
        <w:jc w:val="right"/>
        <w:rPr>
          <w:sz w:val="20"/>
          <w:szCs w:val="20"/>
        </w:rPr>
      </w:pPr>
      <w:r>
        <w:rPr>
          <w:sz w:val="20"/>
          <w:szCs w:val="20"/>
        </w:rPr>
        <w:t xml:space="preserve">FELIPE R.</w:t>
      </w:r>
    </w:p>
    <w:p w:rsidR="001B208E" w:rsidRDefault="001B208E" w:rsidP="007D7D7B">
      <w:pPr>
        <w:pStyle w:val="Pa1"/>
        <w:widowControl/>
        <w:spacing w:before="120" w:after="120" w:line="240" w:lineRule="auto"/>
        <w:jc w:val="center"/>
        <w:rPr>
          <w:color w:val="000000"/>
          <w:sz w:val="16"/>
          <w:szCs w:val="16"/>
        </w:rPr>
      </w:pPr>
      <w:r>
        <w:rPr>
          <w:color w:val="000000"/>
          <w:sz w:val="16"/>
          <w:szCs w:val="16"/>
        </w:rPr>
        <w:t xml:space="preserve">Minister Rolnictwa i Rybołówstwa, Gospodarki Żywnościowej i Środowiska</w:t>
      </w:r>
    </w:p>
    <w:p w:rsidR="001B208E" w:rsidRDefault="001B208E" w:rsidP="007D7D7B">
      <w:pPr>
        <w:pStyle w:val="Pa1"/>
        <w:widowControl/>
        <w:spacing w:before="120" w:after="120" w:line="240" w:lineRule="auto"/>
        <w:jc w:val="center"/>
        <w:rPr>
          <w:color w:val="000000"/>
          <w:sz w:val="16"/>
          <w:szCs w:val="16"/>
        </w:rPr>
      </w:pPr>
      <w:r>
        <w:rPr>
          <w:color w:val="000000"/>
          <w:sz w:val="16"/>
          <w:szCs w:val="16"/>
        </w:rPr>
        <w:t xml:space="preserve">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ZAŁĄCZNIK 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Orientacyjne ceny plastikowych toreb na zakupy</w:t>
      </w:r>
    </w:p>
    <w:p w:rsidR="001B208E" w:rsidRDefault="001B208E" w:rsidP="007D7D7B">
      <w:pPr>
        <w:pStyle w:val="Pa1"/>
        <w:keepNext/>
        <w:keepLines/>
        <w:widowControl/>
        <w:spacing w:before="120" w:after="120" w:line="240" w:lineRule="auto"/>
        <w:jc w:val="center"/>
        <w:rPr>
          <w:color w:val="000000"/>
          <w:sz w:val="20"/>
          <w:szCs w:val="20"/>
        </w:rPr>
      </w:pPr>
      <w:r>
        <w:rPr>
          <w:i/>
          <w:iCs/>
          <w:color w:val="000000"/>
          <w:sz w:val="20"/>
          <w:szCs w:val="20"/>
        </w:rPr>
        <w:t xml:space="preserve">Orientacyjna cena plastikowej torby na zakupy w zależności od jej grubości</w:t>
      </w:r>
    </w:p>
    <w:p w:rsidR="001B208E" w:rsidRDefault="001B208E" w:rsidP="007D7D7B">
      <w:pPr>
        <w:pStyle w:val="Default"/>
        <w:widowControl/>
        <w:spacing w:before="120" w:after="120"/>
        <w:ind w:firstLine="720"/>
        <w:rPr>
          <w:sz w:val="20"/>
          <w:szCs w:val="20"/>
        </w:rPr>
      </w:pPr>
      <w:r>
        <w:rPr>
          <w:sz w:val="20"/>
          <w:szCs w:val="20"/>
        </w:rPr>
        <w:t xml:space="preserve">Torby o grubości poniżej 15 mikronów przeznaczone do innych celów niż wymienione w definicji bardzo lekkich toreb na zakupy w art. 3 lit. d):</w:t>
      </w:r>
      <w:r>
        <w:rPr>
          <w:sz w:val="20"/>
          <w:szCs w:val="20"/>
        </w:rPr>
        <w:t xml:space="preserve"> </w:t>
      </w:r>
      <w:r>
        <w:rPr>
          <w:sz w:val="20"/>
          <w:szCs w:val="20"/>
        </w:rPr>
        <w:t xml:space="preserve">5 eurocentów/torba.</w:t>
      </w:r>
    </w:p>
    <w:p w:rsidR="001B208E" w:rsidRDefault="001B208E" w:rsidP="007D7D7B">
      <w:pPr>
        <w:pStyle w:val="Default"/>
        <w:widowControl/>
        <w:spacing w:before="120" w:after="120"/>
        <w:ind w:firstLine="720"/>
        <w:rPr>
          <w:sz w:val="20"/>
          <w:szCs w:val="20"/>
        </w:rPr>
      </w:pPr>
      <w:r>
        <w:rPr>
          <w:sz w:val="20"/>
          <w:szCs w:val="20"/>
        </w:rPr>
        <w:t xml:space="preserve">Torby o grubości między 15 a 49 mikronów:</w:t>
      </w:r>
      <w:r>
        <w:rPr>
          <w:sz w:val="20"/>
          <w:szCs w:val="20"/>
        </w:rPr>
        <w:t xml:space="preserve"> </w:t>
      </w:r>
      <w:r>
        <w:rPr>
          <w:sz w:val="20"/>
          <w:szCs w:val="20"/>
        </w:rPr>
        <w:t xml:space="preserve">15 eurocentów/torba.</w:t>
      </w:r>
    </w:p>
    <w:p w:rsidR="001B208E" w:rsidRDefault="001B208E" w:rsidP="007D7D7B">
      <w:pPr>
        <w:pStyle w:val="Default"/>
        <w:widowControl/>
        <w:spacing w:before="120" w:after="120"/>
        <w:ind w:firstLine="720"/>
        <w:rPr>
          <w:sz w:val="20"/>
          <w:szCs w:val="20"/>
        </w:rPr>
      </w:pPr>
      <w:r>
        <w:rPr>
          <w:sz w:val="20"/>
          <w:szCs w:val="20"/>
        </w:rPr>
        <w:t xml:space="preserve">Torby o grubości 50 mikronów lub większej:</w:t>
      </w:r>
      <w:r>
        <w:rPr>
          <w:sz w:val="20"/>
          <w:szCs w:val="20"/>
        </w:rPr>
        <w:t xml:space="preserve"> </w:t>
      </w:r>
      <w:r>
        <w:rPr>
          <w:sz w:val="20"/>
          <w:szCs w:val="20"/>
        </w:rPr>
        <w:t xml:space="preserve">15 eurocentów/torba.</w:t>
      </w:r>
    </w:p>
    <w:p w:rsidR="001B208E" w:rsidRDefault="001B208E" w:rsidP="007D7D7B">
      <w:pPr>
        <w:pStyle w:val="Default"/>
        <w:widowControl/>
        <w:spacing w:before="120" w:after="120"/>
        <w:ind w:firstLine="720"/>
        <w:rPr>
          <w:sz w:val="20"/>
          <w:szCs w:val="20"/>
        </w:rPr>
      </w:pPr>
      <w:r>
        <w:rPr>
          <w:sz w:val="20"/>
          <w:szCs w:val="20"/>
        </w:rPr>
        <w:t xml:space="preserve">Torby o grubości 50 mikronów lub większej o zawartości co najmniej 50 %, ale nie większej niż 70 %, tworzywa sztucznego z recyklingu:</w:t>
      </w:r>
      <w:r>
        <w:rPr>
          <w:sz w:val="20"/>
          <w:szCs w:val="20"/>
        </w:rPr>
        <w:t xml:space="preserve"> </w:t>
      </w:r>
      <w:r>
        <w:rPr>
          <w:sz w:val="20"/>
          <w:szCs w:val="20"/>
        </w:rPr>
        <w:t xml:space="preserve">10 eurocentów/torba.</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ZAŁĄCZNIK II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Wpis i coroczne informacje do dostarczania do rejestru producentów produktów w dziedzinie plastikowych toreb na zakupy</w:t>
      </w:r>
    </w:p>
    <w:p w:rsidR="001B208E" w:rsidRDefault="001B208E" w:rsidP="007D7D7B">
      <w:pPr>
        <w:pStyle w:val="Default"/>
        <w:widowControl/>
        <w:spacing w:before="120" w:after="120"/>
        <w:ind w:firstLine="720"/>
        <w:rPr>
          <w:sz w:val="20"/>
          <w:szCs w:val="20"/>
        </w:rPr>
      </w:pPr>
      <w:r>
        <w:rPr>
          <w:sz w:val="20"/>
          <w:szCs w:val="20"/>
        </w:rPr>
        <w:t xml:space="preserve">1.</w:t>
      </w:r>
      <w:r>
        <w:rPr>
          <w:sz w:val="20"/>
          <w:szCs w:val="20"/>
        </w:rPr>
        <w:t xml:space="preserve"> </w:t>
      </w:r>
      <w:r>
        <w:rPr>
          <w:sz w:val="20"/>
          <w:szCs w:val="20"/>
        </w:rPr>
        <w:t xml:space="preserve">Informacje dotyczące wpisu do rejestru producentów produktów</w:t>
      </w:r>
    </w:p>
    <w:p w:rsidR="001B208E" w:rsidRDefault="001B208E" w:rsidP="007D7D7B">
      <w:pPr>
        <w:pStyle w:val="Default"/>
        <w:widowControl/>
        <w:spacing w:before="120" w:after="120"/>
        <w:ind w:firstLine="720"/>
        <w:rPr>
          <w:sz w:val="20"/>
          <w:szCs w:val="20"/>
        </w:rPr>
      </w:pPr>
      <w:r>
        <w:rPr>
          <w:sz w:val="20"/>
          <w:szCs w:val="20"/>
        </w:rPr>
        <w:t xml:space="preserve">Producenci plastikowych toreb na zakupy są zobowiązani do dostarczenia i aktualizacji następujących informacji w momencie wpisu:</w:t>
      </w:r>
    </w:p>
    <w:p w:rsidR="001B208E" w:rsidRDefault="001B208E" w:rsidP="007D7D7B">
      <w:pPr>
        <w:pStyle w:val="Default"/>
        <w:widowControl/>
        <w:spacing w:before="120" w:after="120"/>
        <w:ind w:firstLine="720"/>
        <w:rPr>
          <w:sz w:val="20"/>
          <w:szCs w:val="20"/>
        </w:rPr>
      </w:pPr>
      <w:r>
        <w:rPr>
          <w:sz w:val="20"/>
          <w:szCs w:val="20"/>
        </w:rPr>
        <w:t xml:space="preserve">a) nazwa i adres producenta lub jego upoważnionego przedstawiciela, łącznie z kodem pocztowym, miejscowością, ulicą i numerem budynku, krajem, numerem telefonu, numerem faksu, adresem poczty elektronicznej i osobą do kontaktu.</w:t>
      </w:r>
      <w:r>
        <w:rPr>
          <w:sz w:val="20"/>
          <w:szCs w:val="20"/>
        </w:rPr>
        <w:t xml:space="preserve"> </w:t>
      </w:r>
      <w:r>
        <w:rPr>
          <w:sz w:val="20"/>
          <w:szCs w:val="20"/>
        </w:rPr>
        <w:t xml:space="preserve">W przypadku upoważnionego przedstawiciela dostarcza się również dane kontaktowe reprezentowanego producenta;</w:t>
      </w:r>
    </w:p>
    <w:p w:rsidR="001B208E" w:rsidRDefault="001B208E" w:rsidP="007D7D7B">
      <w:pPr>
        <w:pStyle w:val="Default"/>
        <w:widowControl/>
        <w:spacing w:before="120" w:after="120"/>
        <w:ind w:firstLine="720"/>
        <w:rPr>
          <w:sz w:val="20"/>
          <w:szCs w:val="20"/>
        </w:rPr>
      </w:pPr>
      <w:r>
        <w:rPr>
          <w:sz w:val="20"/>
          <w:szCs w:val="20"/>
        </w:rPr>
        <w:t xml:space="preserve">b) europejski lub krajowy numer identyfikacji podatkowej;</w:t>
      </w:r>
    </w:p>
    <w:p w:rsidR="001B208E" w:rsidRDefault="001B208E" w:rsidP="007D7D7B">
      <w:pPr>
        <w:pStyle w:val="Default"/>
        <w:widowControl/>
        <w:spacing w:before="120" w:after="120"/>
        <w:ind w:firstLine="720"/>
        <w:rPr>
          <w:sz w:val="20"/>
          <w:szCs w:val="20"/>
        </w:rPr>
      </w:pPr>
      <w:r>
        <w:rPr>
          <w:sz w:val="20"/>
          <w:szCs w:val="20"/>
        </w:rPr>
        <w:t xml:space="preserve">c) oświadczenie o prawdziwości dostarczonych informacji.</w:t>
      </w:r>
    </w:p>
    <w:p w:rsidR="001B208E" w:rsidRDefault="001B208E" w:rsidP="007D7D7B">
      <w:pPr>
        <w:pStyle w:val="Default"/>
        <w:widowControl/>
        <w:spacing w:before="120" w:after="120"/>
        <w:ind w:firstLine="720"/>
        <w:rPr>
          <w:sz w:val="20"/>
          <w:szCs w:val="20"/>
        </w:rPr>
      </w:pPr>
      <w:r>
        <w:rPr>
          <w:sz w:val="20"/>
          <w:szCs w:val="20"/>
        </w:rPr>
        <w:t xml:space="preserve">2.</w:t>
      </w:r>
      <w:r>
        <w:rPr>
          <w:sz w:val="20"/>
          <w:szCs w:val="20"/>
        </w:rPr>
        <w:t xml:space="preserve"> </w:t>
      </w:r>
      <w:r>
        <w:rPr>
          <w:sz w:val="20"/>
          <w:szCs w:val="20"/>
        </w:rPr>
        <w:t xml:space="preserve">Roczne informacje na temat plastikowych toreb na zakupy wprowadzonych do obrotu krajowego, które muszą dostarczyć producenci.</w:t>
      </w:r>
    </w:p>
    <w:tbl>
      <w:tblPr>
        <w:tblW w:w="5000" w:type="pct"/>
        <w:tblCellMar>
          <w:left w:w="29" w:type="dxa"/>
          <w:right w:w="29" w:type="dxa"/>
        </w:tblCellMar>
        <w:tblLook w:val="0000" w:firstRow="0" w:lastRow="0" w:firstColumn="0" w:lastColumn="0" w:noHBand="0" w:noVBand="0"/>
      </w:tblPr>
      <w:tblGrid>
        <w:gridCol w:w="868"/>
        <w:gridCol w:w="735"/>
        <w:gridCol w:w="681"/>
        <w:gridCol w:w="607"/>
        <w:gridCol w:w="788"/>
        <w:gridCol w:w="735"/>
        <w:gridCol w:w="681"/>
        <w:gridCol w:w="636"/>
        <w:gridCol w:w="788"/>
        <w:gridCol w:w="735"/>
        <w:gridCol w:w="695"/>
        <w:gridCol w:w="715"/>
        <w:gridCol w:w="735"/>
        <w:gridCol w:w="681"/>
        <w:gridCol w:w="673"/>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Grubość</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(mikrony)</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Plastikowe torby na zakupy z polietylenu o dużej gęstości</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Plastikowe torby na zakupy z polietylenu o małej gęstości</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Kompostowalne plastikowe torby na zakupy</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Torby z innych rodzajów tworzyw sztucznych</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Liczba sztuk</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Waga jednostkowa (g/torba)</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Waga (w tonach)</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Zawartość tworzywa sztucznego z recyklingu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Liczba sztuk</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Waga jednostkowa (g/torba)</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Waga (w tonach)</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Zawartość tworzywa sztucznego z recyklingu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Liczba sztuk</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Waga jednostkowa (g/torba)</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Waga (w tonach)</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Liczba sztuk</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Waga jednostkowa (g/torba)</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 xml:space="preserve">Waga (w tonach)</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 xml:space="preserve">Poniżej 15 i dystrybucja nieodpłatna.</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 xml:space="preserve">Poniżej 15 i dystrybucja płatna.</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 xml:space="preserve">Od 15 do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 xml:space="preserve">Równa 50 lub większa.</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86" w:rsidRDefault="00751786" w:rsidP="00751786">
      <w:pPr>
        <w:spacing w:after="0" w:line="240" w:lineRule="auto"/>
      </w:pPr>
      <w:r>
        <w:separator/>
      </w:r>
    </w:p>
  </w:endnote>
  <w:endnote w:type="continuationSeparator" w:id="0">
    <w:p w:rsidR="00751786" w:rsidRDefault="00751786"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86" w:rsidRDefault="00751786" w:rsidP="00751786">
      <w:pPr>
        <w:spacing w:after="0" w:line="240" w:lineRule="auto"/>
      </w:pPr>
      <w:r>
        <w:separator/>
      </w:r>
    </w:p>
  </w:footnote>
  <w:footnote w:type="continuationSeparator" w:id="0">
    <w:p w:rsidR="00751786" w:rsidRDefault="00751786"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C1192B"/>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l-P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pl-PL" w:eastAsia="es-ES"/>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pl-PL" w:eastAsia="es-ES"/>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pl-PL" w:eastAsia="es-ES"/>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lang w:val="pl-PL" w:eastAsia="en-US"/>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19A7-2565-465D-A78F-82FDFE45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6297</Words>
  <Characters>33249</Characters>
  <Application>Microsoft Office Word</Application>
  <DocSecurity>0</DocSecurity>
  <Lines>678</Lines>
  <Paragraphs>373</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Tordai, Vera</cp:lastModifiedBy>
  <cp:revision>2</cp:revision>
  <dcterms:created xsi:type="dcterms:W3CDTF">2018-05-23T01:31:00Z</dcterms:created>
  <dcterms:modified xsi:type="dcterms:W3CDTF">2018-09-20T15:50:00Z</dcterms:modified>
</cp:coreProperties>
</file>