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08E" w:rsidRDefault="001B208E" w:rsidP="007D7D7B">
      <w:pPr>
        <w:pStyle w:val="Default"/>
        <w:widowControl/>
        <w:spacing w:before="120" w:after="120"/>
        <w:ind w:left="284" w:firstLine="720"/>
      </w:pPr>
    </w:p>
    <w:p w:rsidR="007D2CBC" w:rsidRDefault="007D2CBC" w:rsidP="007D2CBC">
      <w:pPr>
        <w:pStyle w:val="PlainText"/>
        <w:rPr>
          <w:rFonts w:ascii="Courier New" w:hAnsi="Courier New" w:cs="Courier New"/>
          <w:sz w:val="20"/>
          <w:szCs w:val="20"/>
          <w:lang w:val="da-DK"/>
        </w:rPr>
      </w:pPr>
    </w:p>
    <w:p w:rsidR="007D2CBC" w:rsidRPr="00B00403" w:rsidRDefault="007D2CBC" w:rsidP="007D2CBC">
      <w:pPr>
        <w:pStyle w:val="PlainText"/>
        <w:rPr>
          <w:rFonts w:ascii="Courier New" w:hAnsi="Courier New" w:cs="Courier New"/>
          <w:sz w:val="20"/>
          <w:szCs w:val="20"/>
        </w:rPr>
      </w:pPr>
      <w:r>
        <w:rPr>
          <w:rFonts w:ascii="Courier New" w:hAnsi="Courier New"/>
          <w:sz w:val="20"/>
          <w:szCs w:val="20"/>
        </w:rPr>
        <w:t>1. ------IND- 2017 0525 E-- SL- ------ 20181003 --- --- FINAL</w:t>
      </w:r>
    </w:p>
    <w:p w:rsidR="001B208E" w:rsidRDefault="001B208E" w:rsidP="007D7D7B">
      <w:pPr>
        <w:pStyle w:val="Default"/>
        <w:widowControl/>
        <w:spacing w:before="120" w:after="120"/>
        <w:ind w:left="284" w:firstLine="720"/>
      </w:pPr>
    </w:p>
    <w:p w:rsidR="001B208E" w:rsidRDefault="00197636" w:rsidP="007D7D7B">
      <w:pPr>
        <w:pStyle w:val="Default"/>
        <w:framePr w:w="1986" w:wrap="auto" w:vAnchor="page" w:hAnchor="page" w:x="569" w:y="705"/>
        <w:widowControl/>
        <w:spacing w:before="120" w:after="120"/>
      </w:pPr>
      <w:r>
        <w:rPr>
          <w:noProof/>
          <w:lang w:val="hu-HU" w:eastAsia="hu-HU"/>
        </w:rPr>
        <w:drawing>
          <wp:inline distT="0" distB="0" distL="0" distR="0" wp14:anchorId="27C51AFE" wp14:editId="4FA93EE4">
            <wp:extent cx="90487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314325"/>
                    </a:xfrm>
                    <a:prstGeom prst="rect">
                      <a:avLst/>
                    </a:prstGeom>
                    <a:noFill/>
                    <a:ln>
                      <a:noFill/>
                    </a:ln>
                  </pic:spPr>
                </pic:pic>
              </a:graphicData>
            </a:graphic>
          </wp:inline>
        </w:drawing>
      </w:r>
    </w:p>
    <w:p w:rsidR="001B208E" w:rsidRDefault="001B208E" w:rsidP="007D7D7B">
      <w:pPr>
        <w:pStyle w:val="Default"/>
        <w:framePr w:w="1986" w:wrap="auto" w:vAnchor="page" w:hAnchor="page" w:x="569" w:y="705"/>
        <w:widowControl/>
        <w:spacing w:before="120" w:after="120"/>
        <w:ind w:left="284" w:firstLine="720"/>
      </w:pPr>
    </w:p>
    <w:p w:rsidR="001B208E" w:rsidRDefault="001B208E" w:rsidP="007D7D7B">
      <w:pPr>
        <w:pStyle w:val="Default"/>
        <w:framePr w:w="1397" w:wrap="auto" w:vAnchor="page" w:hAnchor="page" w:x="10739" w:y="611"/>
        <w:widowControl/>
        <w:spacing w:before="120" w:after="120"/>
        <w:jc w:val="both"/>
      </w:pPr>
    </w:p>
    <w:p w:rsidR="001B208E" w:rsidRDefault="001B208E" w:rsidP="007D7D7B">
      <w:pPr>
        <w:pStyle w:val="Default"/>
        <w:widowControl/>
        <w:spacing w:before="120" w:after="120"/>
        <w:jc w:val="center"/>
        <w:rPr>
          <w:sz w:val="30"/>
          <w:szCs w:val="30"/>
        </w:rPr>
      </w:pPr>
      <w:r>
        <w:rPr>
          <w:b/>
          <w:bCs/>
          <w:sz w:val="30"/>
          <w:szCs w:val="30"/>
        </w:rPr>
        <w:t>I. SPLOŠNE DOLOČBE</w:t>
      </w:r>
    </w:p>
    <w:p w:rsidR="001B208E" w:rsidRDefault="001B208E" w:rsidP="007D7D7B">
      <w:pPr>
        <w:pStyle w:val="Pa3"/>
        <w:widowControl/>
        <w:spacing w:before="120" w:after="120" w:line="360" w:lineRule="auto"/>
        <w:jc w:val="center"/>
        <w:rPr>
          <w:color w:val="000000"/>
          <w:sz w:val="39"/>
          <w:szCs w:val="39"/>
        </w:rPr>
      </w:pPr>
      <w:r>
        <w:rPr>
          <w:color w:val="000000"/>
          <w:sz w:val="39"/>
          <w:szCs w:val="39"/>
        </w:rPr>
        <w:t>MINISTRSTVO ZA KMETIJSTVO IN RIBOLOV,</w:t>
      </w:r>
      <w:r>
        <w:rPr>
          <w:color w:val="000000"/>
          <w:sz w:val="39"/>
          <w:szCs w:val="39"/>
        </w:rPr>
        <w:br/>
        <w:t>PREHRANO IN OKOLJE</w:t>
      </w:r>
    </w:p>
    <w:p w:rsidR="00694AFB" w:rsidRPr="00C1192B" w:rsidRDefault="00694AFB" w:rsidP="007D7D7B">
      <w:pPr>
        <w:pStyle w:val="Default"/>
        <w:widowControl/>
        <w:rPr>
          <w:b/>
          <w:bCs/>
          <w:color w:val="004378"/>
          <w:sz w:val="20"/>
          <w:szCs w:val="20"/>
        </w:rPr>
      </w:pPr>
      <w:r>
        <w:rPr>
          <w:b/>
          <w:bCs/>
          <w:color w:val="004378"/>
          <w:sz w:val="20"/>
          <w:szCs w:val="20"/>
        </w:rPr>
        <w:t>Št. 122</w:t>
      </w:r>
      <w:r>
        <w:rPr>
          <w:b/>
          <w:bCs/>
          <w:color w:val="004378"/>
          <w:sz w:val="20"/>
          <w:szCs w:val="20"/>
        </w:rPr>
        <w:tab/>
        <w:t>Sobota, 19. maja 2018   Odd. I.   Str. 52591</w:t>
      </w:r>
    </w:p>
    <w:p w:rsidR="003C24A4" w:rsidRDefault="003C24A4" w:rsidP="007D7D7B">
      <w:pPr>
        <w:pStyle w:val="Default"/>
        <w:widowControl/>
        <w:spacing w:before="120" w:after="120"/>
        <w:ind w:firstLine="720"/>
        <w:rPr>
          <w:i/>
          <w:iCs/>
          <w:sz w:val="20"/>
          <w:szCs w:val="20"/>
        </w:rPr>
      </w:pPr>
    </w:p>
    <w:p w:rsidR="001B208E" w:rsidRDefault="001B208E" w:rsidP="007D7D7B">
      <w:pPr>
        <w:pStyle w:val="Default"/>
        <w:widowControl/>
        <w:spacing w:before="120" w:after="120"/>
        <w:ind w:firstLine="720"/>
        <w:rPr>
          <w:sz w:val="20"/>
          <w:szCs w:val="20"/>
        </w:rPr>
      </w:pPr>
      <w:r>
        <w:rPr>
          <w:i/>
          <w:iCs/>
          <w:sz w:val="20"/>
          <w:szCs w:val="20"/>
        </w:rPr>
        <w:t>Kraljeva uredba 293/2018 z dne 18. maja 2018 o zmanjšanju porabe plastičnih nosilnih vrečk in vzpostavitvi registra proizvaja</w:t>
      </w:r>
      <w:bookmarkStart w:id="0" w:name="_GoBack"/>
      <w:bookmarkEnd w:id="0"/>
      <w:r>
        <w:rPr>
          <w:i/>
          <w:iCs/>
          <w:sz w:val="20"/>
          <w:szCs w:val="20"/>
        </w:rPr>
        <w:t>lcev.</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t>I</w:t>
      </w:r>
    </w:p>
    <w:p w:rsidR="001B208E" w:rsidRDefault="001B208E" w:rsidP="007D7D7B">
      <w:pPr>
        <w:pStyle w:val="Default"/>
        <w:widowControl/>
        <w:spacing w:before="120" w:after="120"/>
        <w:ind w:firstLine="720"/>
        <w:rPr>
          <w:sz w:val="20"/>
          <w:szCs w:val="20"/>
        </w:rPr>
      </w:pPr>
      <w:r>
        <w:rPr>
          <w:sz w:val="20"/>
          <w:szCs w:val="20"/>
        </w:rPr>
        <w:t>Direktiva Evropskega Parlamenta in Sveta 94/62/ES z dne 20. decembra 1994 o embalaži in odpadni embalaži je bila sprejeta z namenom preprečevanja in zmanjševanje vpliva embalaže in odpadne embalaže na okolje. Ta direktiva je bila v španski pravni red prenesena z Zakonom 11/1997 z dne 24. aprila 1997 o embalaži in odpadni embalaži in Kraljevo uredbo 782/1998 z dne 30. aprila 1998 o uredbi za izvajanje Zakona 11/1997 z dne 24. aprila 1997 o embalaži in odpadni embalaži. Čeprav so plastične nosilne vrečke v smislu Direktive Evropskega Parlamenta in Sveta 94/62/ES z dne 20. decembra 1994 embalaža, prvotno besedilo te direktive na vsebuje posebnih določb glede potrošnje tovrstne embalaže.</w:t>
      </w:r>
    </w:p>
    <w:p w:rsidR="001B208E" w:rsidRDefault="001B208E" w:rsidP="007D7D7B">
      <w:pPr>
        <w:pStyle w:val="Default"/>
        <w:widowControl/>
        <w:spacing w:before="120" w:after="120"/>
        <w:ind w:firstLine="720"/>
        <w:rPr>
          <w:sz w:val="20"/>
          <w:szCs w:val="20"/>
        </w:rPr>
      </w:pPr>
      <w:r>
        <w:rPr>
          <w:sz w:val="20"/>
          <w:szCs w:val="20"/>
        </w:rPr>
        <w:t>Posledica sedanje ravni potrošnje plastičnih nosilnih vrečk je visoka raven smetenja in neučinkovita raba virov, poleg tega pa naj bi se potrošnja še povečala, če ne bodo sprejeti ustrezni ukrepi. Smetenje s plastičnimi nosilnimi vrečkami povzroča onesnaženost okolja in povečuje močno razširjen problem smetenja vodnih teles, kar ogroža vodne ekosisteme po vsem svetu. Plastične nosilne vrečke z debelino stene manj kot 50 mikronov (v nadaljnjem besedilu: lahke plastične nosilne vrečke), ki predstavljajo veliko večino skupnega števila uporabljenih plastičnih nosilnih vrečk v Evropski Uniji, se redkeje ponovno uporabijo kot debelejše plastične nosilne vrečke. Iz tega razloga lahke plastične nosilne vrečke hitreje postanejo odpadki, zaradi njihove majhne mase pa bolj pogosto smetijo okolje. Sedanje stopnje recikliranja lahkih plastičnih nosilnih vrečk so zelo nizke, zaradi več praktičnih in gospodarskih težav pa se v bližnji prihodnosti najverjetneje ne bodo bistveno zvišale.</w:t>
      </w:r>
    </w:p>
    <w:p w:rsidR="001B208E" w:rsidRDefault="001B208E" w:rsidP="007D7D7B">
      <w:pPr>
        <w:pStyle w:val="Default"/>
        <w:widowControl/>
        <w:spacing w:before="120" w:after="120"/>
        <w:ind w:firstLine="720"/>
        <w:rPr>
          <w:sz w:val="20"/>
          <w:szCs w:val="20"/>
        </w:rPr>
      </w:pPr>
      <w:r>
        <w:rPr>
          <w:sz w:val="20"/>
          <w:szCs w:val="20"/>
        </w:rPr>
        <w:t>Z namenom, da bi na območju Evropske unije rešili ta problem, je bila sprejeta Direktiva (EU) 2015/720 Evropskega parlamenta in Sveta z dne 29. aprila 2015 o spremembi Direktive 94/62/ES glede zmanjšanja potrošnje lahkih plastičnih nosilnih vrečk. Cilj te kraljeve uredbe je v španski pravni red prenesti Direktivo (EU) 2015/720 Evropskega parlamenta in Sveta z dne 29. aprila 2015.</w:t>
      </w:r>
    </w:p>
    <w:p w:rsidR="001B208E" w:rsidRDefault="001B208E" w:rsidP="007D7D7B">
      <w:pPr>
        <w:pStyle w:val="Default"/>
        <w:widowControl/>
        <w:spacing w:before="120" w:after="120"/>
        <w:ind w:firstLine="720"/>
        <w:rPr>
          <w:sz w:val="20"/>
          <w:szCs w:val="20"/>
        </w:rPr>
      </w:pPr>
      <w:r>
        <w:rPr>
          <w:sz w:val="20"/>
          <w:szCs w:val="20"/>
        </w:rPr>
        <w:t xml:space="preserve">Ta direktiva določa, da države članice sprejmejo ukrepe za trajno zmanjšanje potrošnje lahkih plastičnih nosilnih vrečk na svojem ozemlju. V ta namen nudi državam članicam več možnosti, med drugim določitev nacionalnih ciljev za zmanjšanje potrošnje, uvedbo ekonomskih instrumentov, kot je, če je to primerno, omejitev trženja, če so te omejitve sorazmerne in </w:t>
      </w:r>
      <w:proofErr w:type="spellStart"/>
      <w:r>
        <w:rPr>
          <w:sz w:val="20"/>
          <w:szCs w:val="20"/>
        </w:rPr>
        <w:t>ne</w:t>
      </w:r>
      <w:r w:rsidR="00095C3A">
        <w:rPr>
          <w:sz w:val="20"/>
          <w:szCs w:val="20"/>
        </w:rPr>
        <w:t>di</w:t>
      </w:r>
      <w:r>
        <w:rPr>
          <w:sz w:val="20"/>
          <w:szCs w:val="20"/>
        </w:rPr>
        <w:t>skriminatorne</w:t>
      </w:r>
      <w:proofErr w:type="spellEnd"/>
      <w:r>
        <w:rPr>
          <w:sz w:val="20"/>
          <w:szCs w:val="20"/>
        </w:rPr>
        <w:t>. Prav tako določa, da so ti ukrepi lahko različni, odvisno od vpliva lahkih plastičnih nosilnih vrečk na okolje, ko so te predelane ali odstranjene, njihovih lastnosti, ki omogočajo kompostiranje teh vrečk, njihove trajnosti ali določenega namena uporabe teh vrečk.</w:t>
      </w:r>
    </w:p>
    <w:p w:rsidR="00694AFB" w:rsidRDefault="001B208E" w:rsidP="007D7D7B">
      <w:pPr>
        <w:pStyle w:val="Default"/>
        <w:widowControl/>
        <w:spacing w:before="120" w:after="120"/>
        <w:ind w:firstLine="720"/>
        <w:rPr>
          <w:sz w:val="20"/>
          <w:szCs w:val="20"/>
        </w:rPr>
      </w:pPr>
      <w:r>
        <w:rPr>
          <w:sz w:val="20"/>
          <w:szCs w:val="20"/>
        </w:rPr>
        <w:t xml:space="preserve">V vsakem primeru pa morajo države članice sprejeti vsaj enega od naslednjih ukrepov: (a) sprejetje ukrepov za zagotovitev, da letna raven potrošnje ne bo presegla 90 lahkih plastičnih nosilnih vrečk na osebo do 31. decembra 2019, oziroma 40 lahkih plastičnih nosilnih vrečk na osebo do 31. decembra 2025; lahko pa se določijo enakovredni cilji, izraženi v masi; (b) sprejetje instrumentov do 31. decembra 2018 za zagotovitev, da lahke plastične nosilne vrečke ne bodo brezplačno na voljo na prodajnem mestu blaga ali izdelkov, razen če se uvedejo enako učinkoviti instrumenti. Direktiva državam članicam dovoljuje, da iz teh ukrepov izključijo plastične nosilne vrečke z debelino stene manj kot 15 mikronov, ki se uporabljajo iz higienskih razlogov ali zato, da se zagotovi, da se zavrže manj hrane. Direktiva prav tako določa, da države članice od 27. maja 2018 pri predložitvi podatkov Evropski komisiji o embalaži in odpadni embalaži v skladu z veljavnimi predpisi poročajo o letni potrošnji lahkih plastičnih nosilnih vrečk. Za ostale plastične nosilne vrečke – z debelino stene 50 mikronov ali več – Direktiva predvideva, da države članice sprejmejo ukrepe, kot so ekonomski instrumenti in nacionalni cilji za zmanjšanje potrošnje. Po drugi strani direktiva poudarja pomembnost kampanj za obveščanje in </w:t>
      </w:r>
      <w:r>
        <w:rPr>
          <w:sz w:val="20"/>
          <w:szCs w:val="20"/>
        </w:rPr>
        <w:lastRenderedPageBreak/>
        <w:t>osveščanje javnosti glede škodljivega vpliva pretirane potrošnje lahkih plastičnih nosilnih vrečk na okolje, ki jih morajo izvajati države članice.</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t>II</w:t>
      </w:r>
    </w:p>
    <w:p w:rsidR="001B208E" w:rsidRDefault="001B208E" w:rsidP="007D7D7B">
      <w:pPr>
        <w:pStyle w:val="Default"/>
        <w:widowControl/>
        <w:spacing w:before="120" w:after="120"/>
        <w:ind w:firstLine="720"/>
        <w:rPr>
          <w:sz w:val="20"/>
          <w:szCs w:val="20"/>
        </w:rPr>
      </w:pPr>
      <w:r>
        <w:rPr>
          <w:sz w:val="20"/>
          <w:szCs w:val="20"/>
        </w:rPr>
        <w:t xml:space="preserve">V zvezi s potrošnjo plastičnih nosilnih vrečk je Integrirani nacionalni načrt za odpadke za obdobje 2008–2015 (Plan </w:t>
      </w:r>
      <w:proofErr w:type="spellStart"/>
      <w:r>
        <w:rPr>
          <w:sz w:val="20"/>
          <w:szCs w:val="20"/>
        </w:rPr>
        <w:t>Nacional</w:t>
      </w:r>
      <w:proofErr w:type="spellEnd"/>
      <w:r>
        <w:rPr>
          <w:sz w:val="20"/>
          <w:szCs w:val="20"/>
        </w:rPr>
        <w:t xml:space="preserve"> </w:t>
      </w:r>
      <w:proofErr w:type="spellStart"/>
      <w:r>
        <w:rPr>
          <w:sz w:val="20"/>
          <w:szCs w:val="20"/>
        </w:rPr>
        <w:t>Integrado</w:t>
      </w:r>
      <w:proofErr w:type="spellEnd"/>
      <w:r>
        <w:rPr>
          <w:sz w:val="20"/>
          <w:szCs w:val="20"/>
        </w:rPr>
        <w:t xml:space="preserve"> de </w:t>
      </w:r>
      <w:proofErr w:type="spellStart"/>
      <w:r>
        <w:rPr>
          <w:sz w:val="20"/>
          <w:szCs w:val="20"/>
        </w:rPr>
        <w:t>Residuos</w:t>
      </w:r>
      <w:proofErr w:type="spellEnd"/>
      <w:r>
        <w:rPr>
          <w:sz w:val="20"/>
          <w:szCs w:val="20"/>
        </w:rPr>
        <w:t xml:space="preserve"> – PNIR) predvidel različne ukrepe za dosego postopne nadomestitve nosilnih vrečk za enkratno uporabo. Med temi ukrepi so izpostavljeni zmanjšanje potrošnje nosilnih vrečk za enkratno uporabo za 50 % do leta 2010 ter vzpostavitev koledarja zamenjave biološko nerazgradljive plastike ali spodbujanje sporazumov z distribucijskimi sektorji za zmanjšanje kopičenja odpadnih nosilnih vrečk za enkratno uporabo in spodbujanje uporabe nosilnih vrečk za ponovno uporabo v trgovinah in veleblagovnicah ter zamenjava biološko nerazgradljivih plastičnih nosilnih vrečk za enkratno uporabo z nosilnimi vrečkami iz biološko razgradljivega materiala. Omeniti velja, da je treba koncept biološke razgradljivosti razumeti kot primernost za kompostiranje, kot določa Direktiva (EU) 2015/720 Evropskega parlamenta in Sveta z dne 29. aprila 2015.</w:t>
      </w:r>
    </w:p>
    <w:p w:rsidR="001B208E" w:rsidRDefault="001B208E" w:rsidP="007D7D7B">
      <w:pPr>
        <w:pStyle w:val="Default"/>
        <w:widowControl/>
        <w:spacing w:before="120" w:after="120"/>
        <w:ind w:firstLine="720"/>
        <w:rPr>
          <w:sz w:val="20"/>
          <w:szCs w:val="20"/>
        </w:rPr>
      </w:pPr>
      <w:r>
        <w:rPr>
          <w:sz w:val="20"/>
          <w:szCs w:val="20"/>
        </w:rPr>
        <w:t>Po drugi strani pa je druga dodatna določba Zakona 22/2011 z dne 28. julija 2011 o odpadkih in kontaminiranih tleh javno upravo prisilila k sprejetju potrebnih ukrepov za spodbujanje bolj trajnostnih sistemov za preprečevanje, zmanjševanje in ravnanje z odpadnimi biološko nerazgradljivimi plastičnimi komercialnimi nosilnimi vrečkami za enkratno uporabo in njihovimi alternativami, vključno z ukrepi, primernimi za upravo v vlogi potrošnika prek javnih naročil.</w:t>
      </w:r>
    </w:p>
    <w:p w:rsidR="001B208E" w:rsidRDefault="001B208E" w:rsidP="007D7D7B">
      <w:pPr>
        <w:pStyle w:val="Default"/>
        <w:widowControl/>
        <w:spacing w:before="120" w:after="120"/>
        <w:ind w:firstLine="720"/>
        <w:rPr>
          <w:sz w:val="20"/>
          <w:szCs w:val="20"/>
        </w:rPr>
      </w:pPr>
      <w:r>
        <w:rPr>
          <w:sz w:val="20"/>
          <w:szCs w:val="20"/>
        </w:rPr>
        <w:t>Kasneje je bilo v državni program za preprečevanje nastajanja odpadkov 2014–2020, ki je bil sprejet z Resolucijo Sveta ministrov z dne 13. decembra 2013, vključeno prednostno področje embalaže, kjer so omenjeni nekateri specifični ukrepi v zvezi z zmanjšanjem porabe plastičnih nosilnih vrečk. Prav tako Državni načrt za okvirno ravnanje z odpadki 2016–2022, ki je bil sprejet z Resolucijo Sveta ministrov z dne 6. novembra 2015, v poglavju o embalaži in odpadni embalaži vključuje informacije in cilje glede plastičnih nosilnih vrečk.</w:t>
      </w:r>
    </w:p>
    <w:p w:rsidR="001B208E" w:rsidRDefault="001B208E" w:rsidP="007D7D7B">
      <w:pPr>
        <w:pStyle w:val="Default"/>
        <w:widowControl/>
        <w:spacing w:before="120" w:after="120"/>
        <w:ind w:firstLine="720"/>
        <w:rPr>
          <w:sz w:val="20"/>
          <w:szCs w:val="20"/>
        </w:rPr>
      </w:pPr>
      <w:r>
        <w:rPr>
          <w:sz w:val="20"/>
          <w:szCs w:val="20"/>
        </w:rPr>
        <w:t>Od sprejetja in začetka uporabe Integriranega nacionalnega načrta za odpadke za obdobje 2008–2015, Zakona 22/2011 z dne 28. julija 2011 in kasnejših programskih in razvojnih instrumentov na področju odpadkov sta javna uprava in distribucijski sektor sprejela številne ukrepe za zmanjšanje potrošnje tovrstne embalaže: neobvezne sporazume s predstavniki distribucijskega sektorja, kampanje osveščanja, določitev davkov, spodbujanje uporabe trajnih vrečk, določanje cen in podobno. Kot posledica teh ukrepov in skladno s podatki sektorja se je potrošnja v teh letih praktično prepolovila, in sicer znižala s 317 nosilnih vrečk na prebivalca leta 2007 na 144 vrečk na prebivalca leta 2014, kar je bila zlasti posledica spremembe v strukturi potrošnje te embalaže.</w:t>
      </w:r>
    </w:p>
    <w:p w:rsidR="001B208E" w:rsidRDefault="001B208E" w:rsidP="007D7D7B">
      <w:pPr>
        <w:pStyle w:val="Default"/>
        <w:widowControl/>
        <w:spacing w:before="120" w:after="120"/>
        <w:ind w:firstLine="720"/>
        <w:rPr>
          <w:sz w:val="20"/>
          <w:szCs w:val="20"/>
        </w:rPr>
      </w:pPr>
      <w:r>
        <w:rPr>
          <w:sz w:val="20"/>
          <w:szCs w:val="20"/>
        </w:rPr>
        <w:t>Po podatkih, ki jih je zagotovil sektor, je bilo leta 2014 v Španiji danih na trg približno 62 560 ton plastičnih nosilnih vrečk z debelino stene manj kot 50 mikronov (6,73 milijarde kosov), od tega je bilo 23 % nosilnih vrečk z debelino stene manj kot 15 mikronov, približno 4 670 ton pa plastičnih nosilnih vrečk z debelino stene manj kot 50 mikronov (158 milijonov kosov). Zato je treba še naprej utrjevati te spremembe, zlasti v nekaterih sektorjih, kot so majhne trgovine, in prenesti novo evropsko direktivo v španski pravni red.</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t>III</w:t>
      </w:r>
    </w:p>
    <w:p w:rsidR="001B208E" w:rsidRDefault="001B208E" w:rsidP="007D7D7B">
      <w:pPr>
        <w:pStyle w:val="Default"/>
        <w:widowControl/>
        <w:spacing w:before="120" w:after="120"/>
        <w:ind w:firstLine="720"/>
        <w:rPr>
          <w:sz w:val="20"/>
          <w:szCs w:val="20"/>
        </w:rPr>
      </w:pPr>
      <w:r>
        <w:rPr>
          <w:sz w:val="20"/>
          <w:szCs w:val="20"/>
        </w:rPr>
        <w:t xml:space="preserve">Med možnostmi, ki jih nudi direktiva za lahke plastične nosilne vrečke, je bilo sklenjeno, da so najprimernejši ukrepi naslednji: prvič, s 1. julijem 2018 se prepove njihovo brezplačno izročanje potrošnikom na prodajnih mestih. Se pravi, da morajo po tem datumu trgovci vsako lahko plastično nosilno vrečko, ki jo izročijo potrošniku, zaračunati. Iz tega ukrepa so izvzete zelo lahke plastične nosilne vrečke, se pravi plastične nosilne vrečke z debelino stene manj kot 15 mikronov, ki so potrebne iz higienskih razlogov ali namenjene za primarno embalažo </w:t>
      </w:r>
      <w:proofErr w:type="spellStart"/>
      <w:r>
        <w:rPr>
          <w:sz w:val="20"/>
          <w:szCs w:val="20"/>
        </w:rPr>
        <w:t>nepredpakiranih</w:t>
      </w:r>
      <w:proofErr w:type="spellEnd"/>
      <w:r>
        <w:rPr>
          <w:sz w:val="20"/>
          <w:szCs w:val="20"/>
        </w:rPr>
        <w:t xml:space="preserve"> živil. Drugič, s 1. januarjem 2021 se prepove izročanje lahkih in zelo lahkih plastičnih nosilnih vrečk, neprimernih za kompostiranje, potrošnikom – brezplačno ali za plačilo – na prodajnem mestu. S tem rokom se želi uskladiti obveznost, da se lahko uporabljajo samo lahke in zelo lahke plastične nosilne vrečke, primerne za kompostiranje, s celovito uvedbo ločenega zbiranja </w:t>
      </w:r>
      <w:proofErr w:type="spellStart"/>
      <w:r>
        <w:rPr>
          <w:sz w:val="20"/>
          <w:szCs w:val="20"/>
        </w:rPr>
        <w:t>bioodpadkov</w:t>
      </w:r>
      <w:proofErr w:type="spellEnd"/>
      <w:r>
        <w:rPr>
          <w:sz w:val="20"/>
          <w:szCs w:val="20"/>
        </w:rPr>
        <w:t xml:space="preserve">, kar bo omogočalo izpolnjevanje ciljev EU glede priprave za ponovno uporabo in recikliranje komunalnih odpadkov, kot predvideva Zakon 22/2011 z dne 28. julija 2011, kakor tudi nove evropske direktive o odpadkih. Na tak način se bodo nosilne vrečke, primerne za kompostiranje, za katere je najprimerneje, da se jih obdela z biološkimi postopki, obravnavale skupaj z delom </w:t>
      </w:r>
      <w:proofErr w:type="spellStart"/>
      <w:r>
        <w:rPr>
          <w:sz w:val="20"/>
          <w:szCs w:val="20"/>
        </w:rPr>
        <w:t>bioodpadkov</w:t>
      </w:r>
      <w:proofErr w:type="spellEnd"/>
      <w:r>
        <w:rPr>
          <w:sz w:val="20"/>
          <w:szCs w:val="20"/>
        </w:rPr>
        <w:t>, ki so v komunalnih odpadkih, s čimer se prepreči, da bi se mešale z drugimi viri odpadkov, kot je plastična embalaža, saj bi tako mešanje otežilo mehansko recikliranje plastike, ki ni primerna za kompostiranje.</w:t>
      </w:r>
    </w:p>
    <w:p w:rsidR="001B208E" w:rsidRDefault="001B208E" w:rsidP="007D7D7B">
      <w:pPr>
        <w:pStyle w:val="Default"/>
        <w:widowControl/>
        <w:spacing w:before="120" w:after="120"/>
        <w:ind w:firstLine="720"/>
        <w:rPr>
          <w:sz w:val="20"/>
          <w:szCs w:val="20"/>
        </w:rPr>
      </w:pPr>
      <w:r>
        <w:rPr>
          <w:sz w:val="20"/>
          <w:szCs w:val="20"/>
        </w:rPr>
        <w:t>Poudariti je treba, da je cilj Direktive (EU) 2015/720 Evropskega parlamenta in Sveta z dne 29. aprila 2015, in s tem tudi te kraljeve uredbe, zmanjšati porabo lahkih plastičnih nosilnih vrečk. Ponovna uporaba plastičnih nosilnih vrečk, primernih za kompostiranje, je ena od možnih alternativ, ni pa edina. Trgovcem ni treba zamenjati plastičnih nosilnih vrečk, neprimernih za kompostiranje, s plastičnimi nosilnimi vrečkami, primernimi za kompostiranje, ampak lahko izberejo katero koli drugo rešitev, pod pogojem da ta možnost ne povzroči povečanja količine odpadne embalaže.</w:t>
      </w:r>
    </w:p>
    <w:p w:rsidR="001B208E" w:rsidRDefault="001B208E" w:rsidP="007D7D7B">
      <w:pPr>
        <w:pStyle w:val="Default"/>
        <w:widowControl/>
        <w:spacing w:before="120" w:after="120"/>
        <w:ind w:firstLine="720"/>
        <w:rPr>
          <w:sz w:val="20"/>
          <w:szCs w:val="20"/>
        </w:rPr>
      </w:pPr>
      <w:r>
        <w:rPr>
          <w:sz w:val="20"/>
          <w:szCs w:val="20"/>
        </w:rPr>
        <w:t>V zadnjih letih so bile na trg dane plastične nosilne vrečke, označene kot „</w:t>
      </w:r>
      <w:proofErr w:type="spellStart"/>
      <w:r>
        <w:rPr>
          <w:sz w:val="20"/>
          <w:szCs w:val="20"/>
        </w:rPr>
        <w:t>okso</w:t>
      </w:r>
      <w:proofErr w:type="spellEnd"/>
      <w:r>
        <w:rPr>
          <w:sz w:val="20"/>
          <w:szCs w:val="20"/>
        </w:rPr>
        <w:t>-biorazgradljive“ ali „</w:t>
      </w:r>
      <w:proofErr w:type="spellStart"/>
      <w:r>
        <w:rPr>
          <w:sz w:val="20"/>
          <w:szCs w:val="20"/>
        </w:rPr>
        <w:t>okso</w:t>
      </w:r>
      <w:proofErr w:type="spellEnd"/>
      <w:r>
        <w:rPr>
          <w:sz w:val="20"/>
          <w:szCs w:val="20"/>
        </w:rPr>
        <w:t xml:space="preserve">-razgradljive“. V takih vrečkah se običajni vrsti plastike dodajo aditivi. Taka plastika sčasoma razpade na majhne delce, ki ostanejo v okolju. Označevanje tovrstnih vrečk za „biološko razgradljive“ je torej zavajajoče, saj z njimi ne bo rešeno vprašanje smetenja, temveč se lahko onesnaževanje celo poveča. Podobno kot vrečke iz </w:t>
      </w:r>
      <w:proofErr w:type="spellStart"/>
      <w:r>
        <w:rPr>
          <w:sz w:val="20"/>
          <w:szCs w:val="20"/>
        </w:rPr>
        <w:t>okso</w:t>
      </w:r>
      <w:proofErr w:type="spellEnd"/>
      <w:r>
        <w:rPr>
          <w:sz w:val="20"/>
          <w:szCs w:val="20"/>
        </w:rPr>
        <w:t xml:space="preserve">-razgradljive plastike </w:t>
      </w:r>
      <w:r>
        <w:rPr>
          <w:sz w:val="20"/>
          <w:szCs w:val="20"/>
        </w:rPr>
        <w:lastRenderedPageBreak/>
        <w:t>delujejo tudi vrečke iz foto-</w:t>
      </w:r>
      <w:proofErr w:type="spellStart"/>
      <w:r>
        <w:rPr>
          <w:sz w:val="20"/>
          <w:szCs w:val="20"/>
        </w:rPr>
        <w:t>razdrobljive</w:t>
      </w:r>
      <w:proofErr w:type="spellEnd"/>
      <w:r>
        <w:rPr>
          <w:sz w:val="20"/>
          <w:szCs w:val="20"/>
        </w:rPr>
        <w:t>, termo-</w:t>
      </w:r>
      <w:proofErr w:type="spellStart"/>
      <w:r>
        <w:rPr>
          <w:sz w:val="20"/>
          <w:szCs w:val="20"/>
        </w:rPr>
        <w:t>razdrobljive</w:t>
      </w:r>
      <w:proofErr w:type="spellEnd"/>
      <w:r>
        <w:rPr>
          <w:sz w:val="20"/>
          <w:szCs w:val="20"/>
        </w:rPr>
        <w:t xml:space="preserve"> in hidro-</w:t>
      </w:r>
      <w:proofErr w:type="spellStart"/>
      <w:r>
        <w:rPr>
          <w:sz w:val="20"/>
          <w:szCs w:val="20"/>
        </w:rPr>
        <w:t>razdrobljive</w:t>
      </w:r>
      <w:proofErr w:type="spellEnd"/>
      <w:r>
        <w:rPr>
          <w:sz w:val="20"/>
          <w:szCs w:val="20"/>
        </w:rPr>
        <w:t xml:space="preserve"> plastike, zato bi bilo primerneje govoriti o nosilnih vrečkah iz </w:t>
      </w:r>
      <w:proofErr w:type="spellStart"/>
      <w:r>
        <w:rPr>
          <w:sz w:val="20"/>
          <w:szCs w:val="20"/>
        </w:rPr>
        <w:t>razdrobljive</w:t>
      </w:r>
      <w:proofErr w:type="spellEnd"/>
      <w:r>
        <w:rPr>
          <w:sz w:val="20"/>
          <w:szCs w:val="20"/>
        </w:rPr>
        <w:t xml:space="preserve"> plastike. Z namenom preprečitve škode za tla, vodo in organizme zaradi prisotnosti plastike v okolju, ampak v obliki manjših delcev, je bilo sklenjeno, da se prepove tudi uporaba nosilnih vrečk iz </w:t>
      </w:r>
      <w:proofErr w:type="spellStart"/>
      <w:r>
        <w:rPr>
          <w:sz w:val="20"/>
          <w:szCs w:val="20"/>
        </w:rPr>
        <w:t>razdrobljive</w:t>
      </w:r>
      <w:proofErr w:type="spellEnd"/>
      <w:r>
        <w:rPr>
          <w:sz w:val="20"/>
          <w:szCs w:val="20"/>
        </w:rPr>
        <w:t xml:space="preserve"> plastike od 1. januarja 2020, pri čemer se razume, da gre za plastične nosilne vrečke, izdelane iz plastičnih materialov z dodatkom aditivov, ki sprožijo razpadanje plastičnih materialov na mikrodelce.</w:t>
      </w:r>
    </w:p>
    <w:p w:rsidR="00694AFB" w:rsidRDefault="001B208E" w:rsidP="007D7D7B">
      <w:pPr>
        <w:pStyle w:val="Default"/>
        <w:widowControl/>
        <w:spacing w:before="120" w:after="120"/>
        <w:ind w:firstLine="720"/>
        <w:rPr>
          <w:sz w:val="20"/>
          <w:szCs w:val="20"/>
        </w:rPr>
      </w:pPr>
      <w:r>
        <w:rPr>
          <w:sz w:val="20"/>
          <w:szCs w:val="20"/>
        </w:rPr>
        <w:t>Ob upoštevanju, da Direktiva (EU) 2015/720 Evropskega parlamenta in Sveta z dne 29. aprila 2015 državam članicam omogoča sprejetje ukrepov za zmanjšanje potrošnje vseh vrst plastičnih nosilnih vrečk, ne glede na debelino njene stene, se zdi primerno tudi, da se sprejmejo ukrepi za vrečke z debelino stene 50 mikronov ali več: po eni strani se uvede obvezno zaračunavanje teh vrečk od 1. julija 2018, razen za tiste, ki vsebujejo 70 % ali več reciklirane plastike, po drugi strani pa se s ciljem približevanja krožni ekonomiji in spodbujanju ponovnega vključevanja materialov iz odpadkov v proizvodnjo novih proizvodov uvede zahteva, da morajo te vrečke od 1. januarja 2020 vsebovati vsaj 50 % reciklirane plastike, za te vrečke pa se določi nižja okvirna cena. Za namene inšpekcije in nadzora izvzetja pri zaračunavanju za nosilne vrečke z vsebnostjo reciklirane plastike več kot 70 %, morajo trgovci razpolagati s potrebno dokumentacijo, ki dokazuje ta delež.</w:t>
      </w:r>
    </w:p>
    <w:p w:rsidR="001B208E" w:rsidRDefault="001B208E" w:rsidP="007D7D7B">
      <w:pPr>
        <w:pStyle w:val="Default"/>
        <w:widowControl/>
        <w:spacing w:before="120" w:after="120"/>
        <w:ind w:firstLine="720"/>
        <w:rPr>
          <w:sz w:val="20"/>
          <w:szCs w:val="20"/>
        </w:rPr>
      </w:pPr>
      <w:r>
        <w:rPr>
          <w:sz w:val="20"/>
          <w:szCs w:val="20"/>
        </w:rPr>
        <w:t>Za konec pa je treba pojasniti, da bodo vsi ti ukrepi veljali tudi za nosilne vrečke, ki se jih lahko uporablja pri spletni prodaji in pri dostavi na dom. Niso vključeni plastični ovoji, ki se uporabljajo za prodajo na daljavo, čeprav jih je treba obravnavati kot embalažo, če so v skladu z opredelitvijo embalaže iz Zakona 11/1997 z dne 24. aprila 1997.</w:t>
      </w:r>
    </w:p>
    <w:p w:rsidR="001B208E" w:rsidRDefault="001B208E" w:rsidP="007D7D7B">
      <w:pPr>
        <w:pStyle w:val="Default"/>
        <w:widowControl/>
        <w:spacing w:before="120" w:after="120"/>
        <w:ind w:firstLine="720"/>
        <w:rPr>
          <w:sz w:val="20"/>
          <w:szCs w:val="20"/>
        </w:rPr>
      </w:pPr>
      <w:r>
        <w:rPr>
          <w:sz w:val="20"/>
          <w:szCs w:val="20"/>
        </w:rPr>
        <w:t>V zvezi s ciljem obveščanja in osveščanja državljanov o ukrepih, sprejetih s to kraljevo uredbo, in o vplivu pretirane potrošnje lahkih plastičnih nosilnih vrečk in smetenja z njimi ter spodbujanja uporabe načela hierarhije ravnanja z odpadki morajo Ministrstvo za kmetijstvo in ribolov, prehrano in okolje ter pristojni organi avtonomnih skupnosti izvajati kampanje osveščanja vsaj prvo leto po začetku veljave te kraljeve uredbe. Poleg tega morajo te kampanje vsebovati informacije o zabojniku, v katerega je treba odložiti plastične nosilne vrečke, primerne za kompostiranje, in tiste, ki niso primerne za kompostiranje. V zvezi s tem bodo kampanje osveščanja lahko izvajali tudi lokalni organi in zasebni sektor. Glede na to, da so plastične nosilne vrečke embalaža, se kampanje, ki jih izvaja javna uprava, lahko financirajo iz sredstev kolektivnih sistemov razširjene odgovornosti (nekdanji integrirani sistemi upravljanja) v okviru sporazumov o financiranju, ki so jih ti sistemi sklenili z avtonomnimi skupnostmi ali, če je primerno, z lokalnimi organi.</w:t>
      </w:r>
    </w:p>
    <w:p w:rsidR="001B208E" w:rsidRDefault="001B208E" w:rsidP="007D7D7B">
      <w:pPr>
        <w:pStyle w:val="Default"/>
        <w:widowControl/>
        <w:spacing w:before="120" w:after="120"/>
        <w:ind w:firstLine="720"/>
        <w:rPr>
          <w:sz w:val="20"/>
          <w:szCs w:val="20"/>
        </w:rPr>
      </w:pPr>
      <w:r>
        <w:rPr>
          <w:sz w:val="20"/>
          <w:szCs w:val="20"/>
        </w:rPr>
        <w:t>Ob upoštevanju določb evropskih predpisov se predpiše obvezno označevanje za kompostiranje primernih nosilnih vrečk v roku osemnajstih mesecev od datuma, ko Evropska komisija sprejme akt o določitvi specifikacij za etikete in označbe, ki jamčijo prepoznavnost teh vrečk v vsej Evropski uniji in zagotavljajo pravilne informacije o lastnostih teh vrečk potrošnikom.</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t>IV</w:t>
      </w:r>
    </w:p>
    <w:p w:rsidR="001B208E" w:rsidRDefault="001B208E" w:rsidP="007D7D7B">
      <w:pPr>
        <w:pStyle w:val="Default"/>
        <w:widowControl/>
        <w:spacing w:before="120" w:after="120"/>
        <w:ind w:firstLine="720"/>
        <w:rPr>
          <w:sz w:val="20"/>
          <w:szCs w:val="20"/>
        </w:rPr>
      </w:pPr>
      <w:r>
        <w:rPr>
          <w:sz w:val="20"/>
          <w:szCs w:val="20"/>
        </w:rPr>
        <w:t>Zakon 22/2011 z dne 28. julija spodbuja izvajanje preventivnih ukrepov, ponovno uporabo in recikliranje odpadkov v skladu z določbami Direktive 2008/98/ES Evropskega parlamenta in Sveta z dne 19. novembra 2008 o odpadkih in razveljavitvi nekaterih direktiv (okvirna direktiva o odpadkih). Zakon kot instrumente za načrtovanje navaja načrte in programe ravnanja z odpadki ter programe preprečevanja nastajanja odpadkov, kakor tudi določitev ciljev za preprečevanje nastajanja odpadkov in njihovo ločeno zbiranje. Ti cilji za preprečevanje nastajanja odpadkov in njihovo ločeno zbiranje so med drugim povezani z razpoložljivimi informacijami o količini in vrsti proizvodov, ki se dajo na trg in ki z uporabo postanejo odpadki.</w:t>
      </w:r>
    </w:p>
    <w:p w:rsidR="001B208E" w:rsidRDefault="001B208E" w:rsidP="007D7D7B">
      <w:pPr>
        <w:pStyle w:val="Default"/>
        <w:widowControl/>
        <w:spacing w:before="120" w:after="120"/>
        <w:ind w:firstLine="720"/>
        <w:rPr>
          <w:sz w:val="20"/>
          <w:szCs w:val="20"/>
        </w:rPr>
      </w:pPr>
      <w:r>
        <w:rPr>
          <w:sz w:val="20"/>
          <w:szCs w:val="20"/>
        </w:rPr>
        <w:t>Glede na to, da je vedno bolj pomembno okrepiti preprečevanje nastajanja nekaterih vrst odpadkov, izboljšati način njihovega zbiranja, povišati stopnjo recikliranja in, če je primerno, uporabiti ukrepe glede njihovega financiranja, okoljski organi potrebujejo več informacij o količini in vrsti proizvodov, ki se dajejo na trg in ki z uporabo postanejo odpadki.</w:t>
      </w:r>
    </w:p>
    <w:p w:rsidR="00694AFB" w:rsidRDefault="001B208E" w:rsidP="007D7D7B">
      <w:pPr>
        <w:pStyle w:val="Default"/>
        <w:widowControl/>
        <w:spacing w:before="120" w:after="120"/>
        <w:ind w:firstLine="720"/>
        <w:rPr>
          <w:sz w:val="20"/>
          <w:szCs w:val="20"/>
        </w:rPr>
      </w:pPr>
      <w:r>
        <w:rPr>
          <w:sz w:val="20"/>
          <w:szCs w:val="20"/>
        </w:rPr>
        <w:t>Zbiranje informacij o količini proizvodov, ki se dajejo na trg in povzročajo nastanek nekaterih vrst odpadkov, v obliki registrov je obveza, ki jo predpisujejo številne direktive Skupnosti o ravnanju z odpadki, zlasti predpisi, ki upoštevajo načelo razširjene odgovornosti proizvajalca. V teh primerih je ekonomski prispevek vsakega proizvajalca proizvoda k financiranju ravnanja z odpadki sorazmeren s količino in vrsto proizvoda, ki ga posamezni proizvajalec daje na trg.</w:t>
      </w:r>
    </w:p>
    <w:p w:rsidR="001B208E" w:rsidRDefault="001B208E" w:rsidP="007D7D7B">
      <w:pPr>
        <w:pStyle w:val="Default"/>
        <w:widowControl/>
        <w:spacing w:before="120" w:after="120"/>
        <w:ind w:firstLine="720"/>
        <w:rPr>
          <w:sz w:val="20"/>
          <w:szCs w:val="20"/>
        </w:rPr>
      </w:pPr>
      <w:r>
        <w:rPr>
          <w:sz w:val="20"/>
          <w:szCs w:val="20"/>
        </w:rPr>
        <w:t>Za oceno izpolnjevanja ciljev Evropske unije glede zmanjšanja potrošnje plastičnih nosilnih vrečk, kakor tudi za izpolnjevanje obveznosti posredovanja letnih informacij Evropski uniji je bistveno, da se razpolaga z informacijami o dajanju embalaže, kot so plastične nosilne vrečke, na trg. Zato je treba od proizvajalcev zahtevati, da vsako leto posredujejo informacije o dajanju plastičnih nosilnih vrečk na trg. V ta namen se vzpostavi Register proizvajalcev proizvodov, ki je upravne in deklarativne narave in sodi v okvir Generalnega direktorata za okoljsko kakovost in presojo ter naravno okolje Ministrstva za kmetijstvo in ribolov, prehrano in okolje.</w:t>
      </w:r>
    </w:p>
    <w:p w:rsidR="001B208E" w:rsidRDefault="001B208E" w:rsidP="007D7D7B">
      <w:pPr>
        <w:pStyle w:val="Default"/>
        <w:widowControl/>
        <w:spacing w:before="120" w:after="120"/>
        <w:ind w:firstLine="720"/>
        <w:rPr>
          <w:sz w:val="20"/>
          <w:szCs w:val="20"/>
        </w:rPr>
      </w:pPr>
      <w:r>
        <w:rPr>
          <w:sz w:val="20"/>
          <w:szCs w:val="20"/>
        </w:rPr>
        <w:t xml:space="preserve">Znotraj Registra proizvajalcev proizvodov se oblikuje oddelek proizvajalcev plastičnih nosilnih vrečk; skupaj z drugimi </w:t>
      </w:r>
      <w:proofErr w:type="spellStart"/>
      <w:r>
        <w:rPr>
          <w:sz w:val="20"/>
          <w:szCs w:val="20"/>
        </w:rPr>
        <w:t>regulativnimi</w:t>
      </w:r>
      <w:proofErr w:type="spellEnd"/>
      <w:r>
        <w:rPr>
          <w:sz w:val="20"/>
          <w:szCs w:val="20"/>
        </w:rPr>
        <w:t xml:space="preserve"> predpisi o posebnih tokovih odpadkov bo v registru mogoče oblikovati nove oddelke.</w:t>
      </w:r>
    </w:p>
    <w:p w:rsidR="001B208E" w:rsidRDefault="001B208E" w:rsidP="007D7D7B">
      <w:pPr>
        <w:pStyle w:val="Default"/>
        <w:widowControl/>
        <w:spacing w:before="120" w:after="120"/>
        <w:ind w:firstLine="720"/>
        <w:rPr>
          <w:sz w:val="20"/>
          <w:szCs w:val="20"/>
        </w:rPr>
      </w:pPr>
      <w:r>
        <w:rPr>
          <w:sz w:val="20"/>
          <w:szCs w:val="20"/>
        </w:rPr>
        <w:t xml:space="preserve">Kraljeva uredba podrobneje določa obveznosti glede vpisa proizvajalcev in uvoznikov plastičnih nosilnih vrečk v oddelek plastičnih nosilnih vrečk v Registru proizvajalcev proizvodov v roku treh mesecev od začetka veljavnosti te kraljeve </w:t>
      </w:r>
      <w:r>
        <w:rPr>
          <w:sz w:val="20"/>
          <w:szCs w:val="20"/>
        </w:rPr>
        <w:lastRenderedPageBreak/>
        <w:t>uredbe in obveznost, da morajo proizvajalci in uvozniki plastičnih nosilnih vrečk posredovati informacije o dajanju plastičnih nosilnih vrečk na trg, s čimer se omogoči obvezno letno posredovanje informacij o letni potrošnji plastičnih nosilnih vrečk Evropski komisiji.</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t>V</w:t>
      </w:r>
    </w:p>
    <w:p w:rsidR="001B208E" w:rsidRDefault="001B208E" w:rsidP="007D7D7B">
      <w:pPr>
        <w:pStyle w:val="Default"/>
        <w:widowControl/>
        <w:spacing w:before="120" w:after="120"/>
        <w:ind w:firstLine="720"/>
        <w:rPr>
          <w:sz w:val="20"/>
          <w:szCs w:val="20"/>
        </w:rPr>
      </w:pPr>
      <w:r>
        <w:rPr>
          <w:sz w:val="20"/>
          <w:szCs w:val="20"/>
        </w:rPr>
        <w:t xml:space="preserve">Ta uredba se pripravi ob upoštevanju člena 149(1)(13) in (23) Španske ustave, ki daje državi izključno pristojnost na področju osnov in usklajevanja splošnega načrtovanja gospodarske dejavnosti oziroma na področju osnovne zakonodaje o zaščiti okolja. Pooblastilo za to </w:t>
      </w:r>
      <w:proofErr w:type="spellStart"/>
      <w:r>
        <w:rPr>
          <w:sz w:val="20"/>
          <w:szCs w:val="20"/>
        </w:rPr>
        <w:t>regulativno</w:t>
      </w:r>
      <w:proofErr w:type="spellEnd"/>
      <w:r>
        <w:rPr>
          <w:sz w:val="20"/>
          <w:szCs w:val="20"/>
        </w:rPr>
        <w:t xml:space="preserve"> izvajanje je vključeno v tretji končni določbi Zakona 22/2011 z dne 28. julija 2011, ki nacionalni vladi omogoča, da v okviru svojih pristojnosti izda </w:t>
      </w:r>
      <w:proofErr w:type="spellStart"/>
      <w:r>
        <w:rPr>
          <w:sz w:val="20"/>
          <w:szCs w:val="20"/>
        </w:rPr>
        <w:t>regulativne</w:t>
      </w:r>
      <w:proofErr w:type="spellEnd"/>
      <w:r>
        <w:rPr>
          <w:sz w:val="20"/>
          <w:szCs w:val="20"/>
        </w:rPr>
        <w:t xml:space="preserve"> določbe, potrebne za izvajanje in uporabo tega zakona in zlasti za opredelitev standardov za posamezne vrste odpadkov, si čimer se opredelijo posebne določbe glede njihove proizvodnje in ravnanja z njimi, in v osmi dodatni določbi omenjenega zakona, ki predvideva prilagoditev določb o razširitvi na področju odpadkov določbam, ki jih vsebuje zakon.</w:t>
      </w:r>
    </w:p>
    <w:p w:rsidR="001B208E" w:rsidRDefault="001B208E" w:rsidP="007D7D7B">
      <w:pPr>
        <w:pStyle w:val="Default"/>
        <w:widowControl/>
        <w:spacing w:before="120" w:after="120"/>
        <w:ind w:firstLine="720"/>
        <w:rPr>
          <w:sz w:val="20"/>
          <w:szCs w:val="20"/>
        </w:rPr>
      </w:pPr>
      <w:r>
        <w:rPr>
          <w:sz w:val="20"/>
          <w:szCs w:val="20"/>
        </w:rPr>
        <w:t>Narava ukrepov, sprejetih s to uredbo, temelji tudi na določbah člena 16.1 Zakona 22/2011 z dne 28. junija 2011, ki določa, da lahko pristojni organi določijo ekonomske, finančne in davčne ukrepe za spodbujanje preprečevanje nastajanja odpadkov, vzpostavljanje ločenega zbiranja odpadkov, izboljšanje ravnanja z odpadki, razvoj in krepitev trga recikliranja ter za to, da sektor odpadkov prispeva k blažitvi emisij toplogrednih plinov.</w:t>
      </w:r>
    </w:p>
    <w:p w:rsidR="001B208E" w:rsidRDefault="001B208E" w:rsidP="007D7D7B">
      <w:pPr>
        <w:pStyle w:val="Default"/>
        <w:widowControl/>
        <w:spacing w:before="120" w:after="120"/>
        <w:ind w:firstLine="720"/>
        <w:rPr>
          <w:sz w:val="20"/>
          <w:szCs w:val="20"/>
        </w:rPr>
      </w:pPr>
      <w:r>
        <w:rPr>
          <w:sz w:val="20"/>
          <w:szCs w:val="20"/>
        </w:rPr>
        <w:t>Pred pripravo besedila te kraljeve uredbe je bilo prek spletnega portala Ministrstva za kmetijstvo in ribolov, prehrano in okolje izvedeno predhodno javno posvetovanje, kot predvideva člen 133 Zakona 39/2015 z dne 1. oktobra 2015 o skupnem upravnem postopku za javno upravo, v zvezi s členom 26.2 Zakona 50/1997 z dne 27. novembra 1997 o vladi.</w:t>
      </w:r>
    </w:p>
    <w:p w:rsidR="00694AFB" w:rsidRDefault="001B208E" w:rsidP="007D7D7B">
      <w:pPr>
        <w:pStyle w:val="Default"/>
        <w:widowControl/>
        <w:spacing w:before="120" w:after="120"/>
        <w:ind w:firstLine="720"/>
        <w:rPr>
          <w:sz w:val="20"/>
          <w:szCs w:val="20"/>
        </w:rPr>
      </w:pPr>
      <w:r>
        <w:rPr>
          <w:sz w:val="20"/>
          <w:szCs w:val="20"/>
        </w:rPr>
        <w:t xml:space="preserve">Pri pripravi te kraljeve uredbe so potekala posvetovanja z gospodarskimi in družbenimi akterji, avtonomnimi skupnostmi in mestoma s statutom avtonomije Ceuto in </w:t>
      </w:r>
      <w:proofErr w:type="spellStart"/>
      <w:r>
        <w:rPr>
          <w:sz w:val="20"/>
          <w:szCs w:val="20"/>
        </w:rPr>
        <w:t>Melillo</w:t>
      </w:r>
      <w:proofErr w:type="spellEnd"/>
      <w:r>
        <w:rPr>
          <w:sz w:val="20"/>
          <w:szCs w:val="20"/>
        </w:rPr>
        <w:t>, kakor tudi lokalnimi organi in najbolj reprezentativnimi sektorji, na katere bi to lahko vplivalo. Poleg tega je bil osnutek predmet razprave v Svetovalnem odboru za okolje in postopka javne udeležbe skladno z določbami Zakona 27/2006 z dne 18. julija 2006 o pravicah do dostopa do informacij, javne udeležbe in dostopa do pravosodja na področju okolja (prenaša direktivi 2003/4/ES in 2003/35/ES) in določbami Zakona 50/1997 z dne 27. novembra 1997 o vladi.</w:t>
      </w:r>
    </w:p>
    <w:p w:rsidR="001B208E" w:rsidRDefault="001B208E" w:rsidP="007D7D7B">
      <w:pPr>
        <w:pStyle w:val="Default"/>
        <w:widowControl/>
        <w:spacing w:before="120" w:after="120"/>
        <w:ind w:firstLine="720"/>
        <w:rPr>
          <w:sz w:val="20"/>
          <w:szCs w:val="20"/>
        </w:rPr>
      </w:pPr>
      <w:r>
        <w:rPr>
          <w:sz w:val="20"/>
          <w:szCs w:val="20"/>
        </w:rPr>
        <w:t>Poleg tega je bila ta kraljeva uredba predhodno priglašena Evropski komisiji v skladu s členom 16 Direktive 94/62/ES Evropskega parlamenta in Sveta z dne 20. decembra 1994 o embalaži in odpadni embalaži po postopku, predvidenem v Direktivi (EU) 2015/1535 Evropskega parlamenta in Sveta z dne 9. septembra 2015 o določitvi postopka za zbiranje informacij na področju tehničnih predpisov in pravil za storitve informacijske družbe, ter v skladu z določbami Kraljeve uredbe 1337/1999 z dne 31. julija 1999 o zbiranju informacij na področja tehničnih predpisov in pravil za storitve informacijske družbe.</w:t>
      </w:r>
    </w:p>
    <w:p w:rsidR="001B208E" w:rsidRDefault="001B208E" w:rsidP="007D7D7B">
      <w:pPr>
        <w:pStyle w:val="Default"/>
        <w:widowControl/>
        <w:spacing w:before="120" w:after="120"/>
        <w:ind w:firstLine="720"/>
        <w:rPr>
          <w:sz w:val="20"/>
          <w:szCs w:val="20"/>
        </w:rPr>
      </w:pPr>
      <w:r>
        <w:rPr>
          <w:sz w:val="20"/>
          <w:szCs w:val="20"/>
        </w:rPr>
        <w:t>Ob upoštevanju opisanih okoliščin ta kraljeva uredba obravnava načela potrebe, učinkovitosti, sorazmernosti, pravne varnosti in preglednosti v zvezi z njeno vsebino in postopkom sprejemanja v skladu z določbami člena 129 Zakona 39/2015 z dne 1. oktobra 2015.</w:t>
      </w:r>
    </w:p>
    <w:p w:rsidR="001B208E" w:rsidRDefault="001B208E" w:rsidP="007D7D7B">
      <w:pPr>
        <w:pStyle w:val="Default"/>
        <w:widowControl/>
        <w:spacing w:before="120" w:after="120"/>
        <w:ind w:firstLine="720"/>
        <w:rPr>
          <w:sz w:val="20"/>
          <w:szCs w:val="20"/>
        </w:rPr>
      </w:pPr>
      <w:r>
        <w:rPr>
          <w:sz w:val="20"/>
          <w:szCs w:val="20"/>
        </w:rPr>
        <w:t>Po drugi strani pa se v skladu s členom 25 Zakona 50/1997 z dne 27. novembra 1997 ta kraljeva uredba vključi v Letni normativni načrt za leto 2018.</w:t>
      </w:r>
    </w:p>
    <w:p w:rsidR="001B208E" w:rsidRDefault="001B208E" w:rsidP="007D7D7B">
      <w:pPr>
        <w:pStyle w:val="Default"/>
        <w:widowControl/>
        <w:spacing w:before="120" w:after="120"/>
        <w:ind w:firstLine="720"/>
        <w:rPr>
          <w:sz w:val="20"/>
          <w:szCs w:val="20"/>
        </w:rPr>
      </w:pPr>
      <w:r>
        <w:rPr>
          <w:sz w:val="20"/>
          <w:szCs w:val="20"/>
        </w:rPr>
        <w:t>Na predlog ministrice za kmetijstvo in ribolov, prehrano in okolje, na podlagi predhodne odobritve ministra za davčne zadeve in javno upravo, v skladu z Državnim svetom in po predhodnem posvetovanju na srečanju Sveta ministrov na sestanku z dne 18. maja 2018.</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t>ODREJAM:</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t>POGLAVJE I</w:t>
      </w:r>
    </w:p>
    <w:p w:rsidR="001B208E" w:rsidRDefault="001B208E" w:rsidP="007D7D7B">
      <w:pPr>
        <w:pStyle w:val="Pa1"/>
        <w:keepNext/>
        <w:keepLines/>
        <w:widowControl/>
        <w:spacing w:before="120" w:after="120" w:line="240" w:lineRule="auto"/>
        <w:jc w:val="center"/>
        <w:rPr>
          <w:color w:val="000000"/>
          <w:sz w:val="20"/>
          <w:szCs w:val="20"/>
        </w:rPr>
      </w:pPr>
      <w:r>
        <w:rPr>
          <w:b/>
          <w:bCs/>
          <w:color w:val="000000"/>
          <w:sz w:val="20"/>
          <w:szCs w:val="20"/>
        </w:rPr>
        <w:t>Splošne določbe</w:t>
      </w:r>
    </w:p>
    <w:p w:rsidR="001B208E" w:rsidRDefault="001B208E" w:rsidP="007D7D7B">
      <w:pPr>
        <w:pStyle w:val="Default"/>
        <w:keepNext/>
        <w:keepLines/>
        <w:widowControl/>
        <w:spacing w:before="120" w:after="120"/>
        <w:ind w:firstLine="720"/>
        <w:rPr>
          <w:sz w:val="20"/>
          <w:szCs w:val="20"/>
        </w:rPr>
      </w:pPr>
      <w:r>
        <w:rPr>
          <w:sz w:val="20"/>
          <w:szCs w:val="20"/>
        </w:rPr>
        <w:t>Člen 1.</w:t>
      </w:r>
      <w:r>
        <w:rPr>
          <w:sz w:val="20"/>
          <w:szCs w:val="20"/>
        </w:rPr>
        <w:t> </w:t>
      </w:r>
      <w:r>
        <w:rPr>
          <w:i/>
          <w:iCs/>
          <w:sz w:val="20"/>
          <w:szCs w:val="20"/>
        </w:rPr>
        <w:t>Predmet in cilj</w:t>
      </w:r>
    </w:p>
    <w:p w:rsidR="001B208E" w:rsidRDefault="001B208E" w:rsidP="007D7D7B">
      <w:pPr>
        <w:pStyle w:val="Default"/>
        <w:widowControl/>
        <w:spacing w:before="120" w:after="120"/>
        <w:ind w:firstLine="720"/>
        <w:rPr>
          <w:sz w:val="20"/>
          <w:szCs w:val="20"/>
        </w:rPr>
      </w:pPr>
      <w:r>
        <w:rPr>
          <w:sz w:val="20"/>
          <w:szCs w:val="20"/>
        </w:rPr>
        <w:t>1.</w:t>
      </w:r>
      <w:r>
        <w:rPr>
          <w:sz w:val="20"/>
          <w:szCs w:val="20"/>
        </w:rPr>
        <w:t> </w:t>
      </w:r>
      <w:r>
        <w:rPr>
          <w:sz w:val="20"/>
          <w:szCs w:val="20"/>
        </w:rPr>
        <w:t>Cilj te kraljeve uredbe je sprejeti ukrepe za zmanjšanje potrošnje plastičnih nosilnih vrečk z namenom preprečevanja in zmanjševanja škodljivih vplivov odpadkov, ki jih imajo te plastične nosilne vrečke na okolje, s posebnim poudarkom na škodi v vodnih ekosistemih in nekaterih gospodarskih dejavnostih, kot sta med drugim ribolov ali turizem. Prav tako je njen cilj preprečiti izgubo materialnih in ekonomskih virov zaradi zavrženih plastičnih nosilnih vrečk in smetenja z njimi v okolju.</w:t>
      </w:r>
    </w:p>
    <w:p w:rsidR="001B208E" w:rsidRDefault="001B208E" w:rsidP="007D7D7B">
      <w:pPr>
        <w:pStyle w:val="Default"/>
        <w:widowControl/>
        <w:spacing w:before="120" w:after="120"/>
        <w:ind w:firstLine="720"/>
        <w:rPr>
          <w:sz w:val="20"/>
          <w:szCs w:val="20"/>
        </w:rPr>
      </w:pPr>
      <w:r>
        <w:rPr>
          <w:sz w:val="20"/>
          <w:szCs w:val="20"/>
        </w:rPr>
        <w:lastRenderedPageBreak/>
        <w:t>2.</w:t>
      </w:r>
      <w:r>
        <w:rPr>
          <w:sz w:val="20"/>
          <w:szCs w:val="20"/>
        </w:rPr>
        <w:t> </w:t>
      </w:r>
      <w:r>
        <w:rPr>
          <w:sz w:val="20"/>
          <w:szCs w:val="20"/>
        </w:rPr>
        <w:t>Cilj te kraljeve uredbe je tudi vzpostavitev Registra proizvajalcev proizvodov, ki je upravne in deklarativne narave in sodi v okvir Generalnega direktorata za okoljsko kakovost in presojo ter naravno okolje Ministrstva za kmetijstvo in ribolov, prehrano in okolje.</w:t>
      </w:r>
    </w:p>
    <w:p w:rsidR="001B208E" w:rsidRDefault="001B208E" w:rsidP="007D7D7B">
      <w:pPr>
        <w:pStyle w:val="Default"/>
        <w:keepNext/>
        <w:keepLines/>
        <w:widowControl/>
        <w:spacing w:before="120" w:after="120"/>
        <w:ind w:firstLine="720"/>
        <w:rPr>
          <w:sz w:val="20"/>
          <w:szCs w:val="20"/>
        </w:rPr>
      </w:pPr>
      <w:r>
        <w:rPr>
          <w:sz w:val="20"/>
          <w:szCs w:val="20"/>
        </w:rPr>
        <w:t>Člen 2.</w:t>
      </w:r>
      <w:r>
        <w:rPr>
          <w:i/>
          <w:iCs/>
          <w:sz w:val="20"/>
          <w:szCs w:val="20"/>
        </w:rPr>
        <w:t> </w:t>
      </w:r>
      <w:r>
        <w:rPr>
          <w:i/>
          <w:iCs/>
          <w:sz w:val="20"/>
          <w:szCs w:val="20"/>
        </w:rPr>
        <w:t>Področje uporabe</w:t>
      </w:r>
    </w:p>
    <w:p w:rsidR="001B208E" w:rsidRDefault="001B208E" w:rsidP="007D7D7B">
      <w:pPr>
        <w:pStyle w:val="Default"/>
        <w:widowControl/>
        <w:spacing w:before="120" w:after="120"/>
        <w:ind w:firstLine="720"/>
        <w:rPr>
          <w:sz w:val="20"/>
          <w:szCs w:val="20"/>
        </w:rPr>
      </w:pPr>
      <w:r>
        <w:rPr>
          <w:sz w:val="20"/>
          <w:szCs w:val="20"/>
        </w:rPr>
        <w:t>Ta kraljeva uredba se uporablja za vse plastične nosilne vrečke, dane na trg na ozemlju države, kakor tudi odpadke, ki nastanejo zaradi teh vrečk.</w:t>
      </w:r>
    </w:p>
    <w:p w:rsidR="001B208E" w:rsidRDefault="001B208E" w:rsidP="007D7D7B">
      <w:pPr>
        <w:pStyle w:val="Default"/>
        <w:keepNext/>
        <w:keepLines/>
        <w:widowControl/>
        <w:spacing w:before="120" w:after="120"/>
        <w:ind w:firstLine="720"/>
        <w:rPr>
          <w:sz w:val="20"/>
          <w:szCs w:val="20"/>
        </w:rPr>
      </w:pPr>
      <w:r>
        <w:rPr>
          <w:sz w:val="20"/>
          <w:szCs w:val="20"/>
        </w:rPr>
        <w:t>Člen 3.</w:t>
      </w:r>
      <w:r>
        <w:rPr>
          <w:sz w:val="20"/>
          <w:szCs w:val="20"/>
        </w:rPr>
        <w:t> </w:t>
      </w:r>
      <w:r>
        <w:rPr>
          <w:i/>
          <w:iCs/>
          <w:sz w:val="20"/>
          <w:szCs w:val="20"/>
        </w:rPr>
        <w:t>Opredelitev pojmov</w:t>
      </w:r>
    </w:p>
    <w:p w:rsidR="001B208E" w:rsidRDefault="001B208E" w:rsidP="007D7D7B">
      <w:pPr>
        <w:pStyle w:val="Default"/>
        <w:widowControl/>
        <w:spacing w:before="120" w:after="120"/>
        <w:ind w:firstLine="720"/>
        <w:rPr>
          <w:sz w:val="20"/>
          <w:szCs w:val="20"/>
        </w:rPr>
      </w:pPr>
      <w:r>
        <w:rPr>
          <w:sz w:val="20"/>
          <w:szCs w:val="20"/>
        </w:rPr>
        <w:t>Poleg opredelitev pojmov iz Zakona 22/2011 z dne 28. julija 2011 o odpadkih in kontaminiranih tleh, Zakona 11/1997 z dne 24. aprila 1997 o embalaži in odpadni embalaži in Kraljeve uredbe 782/1998 z dne 30. aprila 1998 o uredbi za vzpostavitev in izvajanje Zakona 11/1997 z dne 24. aprila 1997 se za namene te kraljeve uredbe uporabljajo naslednje opredelitve pojmov:</w:t>
      </w:r>
    </w:p>
    <w:p w:rsidR="00694AFB" w:rsidRDefault="001B208E" w:rsidP="007D7D7B">
      <w:pPr>
        <w:pStyle w:val="Default"/>
        <w:widowControl/>
        <w:spacing w:before="120" w:after="120"/>
        <w:ind w:firstLine="720"/>
        <w:rPr>
          <w:sz w:val="20"/>
          <w:szCs w:val="20"/>
        </w:rPr>
      </w:pPr>
      <w:r>
        <w:rPr>
          <w:sz w:val="20"/>
          <w:szCs w:val="20"/>
        </w:rPr>
        <w:t>a) „plastika“: polimer v smislu člena 3(5) Uredbe (ES) št. 1907/2006 Evropskega parlamenta in Sveta z dne 18. decembra 2006, ki so mu lahko dodani aditivi ali druge snovi ter se lahko uporabi kot glavna strukturna komponenta nosilnih vrečk;</w:t>
      </w:r>
    </w:p>
    <w:p w:rsidR="001B208E" w:rsidRDefault="001B208E" w:rsidP="007D7D7B">
      <w:pPr>
        <w:pStyle w:val="Default"/>
        <w:widowControl/>
        <w:spacing w:before="120" w:after="120"/>
        <w:ind w:firstLine="720"/>
        <w:rPr>
          <w:sz w:val="20"/>
          <w:szCs w:val="20"/>
        </w:rPr>
      </w:pPr>
      <w:r>
        <w:rPr>
          <w:sz w:val="20"/>
          <w:szCs w:val="20"/>
        </w:rPr>
        <w:t>b) „plastične nosilne vrečke“: nosilne vrečke, z ročaji ali brez, iz plastike, ki so na voljo potrošnikom na prodajnem mestu blaga ali izdelkov, vključno s spletno prodajo in dostavo na dom;</w:t>
      </w:r>
    </w:p>
    <w:p w:rsidR="001B208E" w:rsidRDefault="001B208E" w:rsidP="007D7D7B">
      <w:pPr>
        <w:pStyle w:val="Default"/>
        <w:widowControl/>
        <w:spacing w:before="120" w:after="120"/>
        <w:ind w:firstLine="720"/>
        <w:rPr>
          <w:sz w:val="20"/>
          <w:szCs w:val="20"/>
        </w:rPr>
      </w:pPr>
      <w:r>
        <w:rPr>
          <w:sz w:val="20"/>
          <w:szCs w:val="20"/>
        </w:rPr>
        <w:t>c) „lahke plastične nosilne vrečke“: plastične nosilne vrečke z debelino stene manj kot 50 mikronov;</w:t>
      </w:r>
    </w:p>
    <w:p w:rsidR="001B208E" w:rsidRDefault="001B208E" w:rsidP="007D7D7B">
      <w:pPr>
        <w:pStyle w:val="Default"/>
        <w:widowControl/>
        <w:spacing w:before="120" w:after="120"/>
        <w:ind w:firstLine="720"/>
        <w:rPr>
          <w:sz w:val="20"/>
          <w:szCs w:val="20"/>
        </w:rPr>
      </w:pPr>
      <w:r>
        <w:rPr>
          <w:sz w:val="20"/>
          <w:szCs w:val="20"/>
        </w:rPr>
        <w:t xml:space="preserve">d) „zelo lahke plastične nosilne vrečke“: plastične nosilne vrečke z debelino stene manj kot 15 mikronov, ki so potrebne iz higienskih razlogov ali namenjene za primarno embalažo </w:t>
      </w:r>
      <w:proofErr w:type="spellStart"/>
      <w:r>
        <w:rPr>
          <w:sz w:val="20"/>
          <w:szCs w:val="20"/>
        </w:rPr>
        <w:t>nepredpakiranih</w:t>
      </w:r>
      <w:proofErr w:type="spellEnd"/>
      <w:r>
        <w:rPr>
          <w:sz w:val="20"/>
          <w:szCs w:val="20"/>
        </w:rPr>
        <w:t xml:space="preserve"> živil, če to prispeva k temu, da se zavrže manj hrane;</w:t>
      </w:r>
    </w:p>
    <w:p w:rsidR="001B208E" w:rsidRDefault="001B208E" w:rsidP="007D7D7B">
      <w:pPr>
        <w:pStyle w:val="Default"/>
        <w:widowControl/>
        <w:spacing w:before="120" w:after="120"/>
        <w:ind w:firstLine="720"/>
        <w:rPr>
          <w:sz w:val="20"/>
          <w:szCs w:val="20"/>
        </w:rPr>
      </w:pPr>
      <w:r>
        <w:rPr>
          <w:sz w:val="20"/>
          <w:szCs w:val="20"/>
        </w:rPr>
        <w:t xml:space="preserve">e) „nosilne vrečke iz </w:t>
      </w:r>
      <w:proofErr w:type="spellStart"/>
      <w:r>
        <w:rPr>
          <w:sz w:val="20"/>
          <w:szCs w:val="20"/>
        </w:rPr>
        <w:t>razdrobljive</w:t>
      </w:r>
      <w:proofErr w:type="spellEnd"/>
      <w:r>
        <w:rPr>
          <w:sz w:val="20"/>
          <w:szCs w:val="20"/>
        </w:rPr>
        <w:t xml:space="preserve"> plastike“: plastične nosilne vrečke iz plastičnih materialov, ki vsebujejo aditive, ki sprožijo razgradnjo plastičnega materiala v mikrodelce. Koncept </w:t>
      </w:r>
      <w:proofErr w:type="spellStart"/>
      <w:r>
        <w:rPr>
          <w:sz w:val="20"/>
          <w:szCs w:val="20"/>
        </w:rPr>
        <w:t>razdrobljive</w:t>
      </w:r>
      <w:proofErr w:type="spellEnd"/>
      <w:r>
        <w:rPr>
          <w:sz w:val="20"/>
          <w:szCs w:val="20"/>
        </w:rPr>
        <w:t xml:space="preserve"> plastike vključuje tako </w:t>
      </w:r>
      <w:proofErr w:type="spellStart"/>
      <w:r>
        <w:rPr>
          <w:sz w:val="20"/>
          <w:szCs w:val="20"/>
        </w:rPr>
        <w:t>okso</w:t>
      </w:r>
      <w:proofErr w:type="spellEnd"/>
      <w:r>
        <w:rPr>
          <w:sz w:val="20"/>
          <w:szCs w:val="20"/>
        </w:rPr>
        <w:t>-</w:t>
      </w:r>
      <w:proofErr w:type="spellStart"/>
      <w:r>
        <w:rPr>
          <w:sz w:val="20"/>
          <w:szCs w:val="20"/>
        </w:rPr>
        <w:t>razdrobljivo</w:t>
      </w:r>
      <w:proofErr w:type="spellEnd"/>
      <w:r>
        <w:rPr>
          <w:sz w:val="20"/>
          <w:szCs w:val="20"/>
        </w:rPr>
        <w:t xml:space="preserve"> plastiko kot tudi foto-</w:t>
      </w:r>
      <w:proofErr w:type="spellStart"/>
      <w:r>
        <w:rPr>
          <w:sz w:val="20"/>
          <w:szCs w:val="20"/>
        </w:rPr>
        <w:t>razdrobljivo</w:t>
      </w:r>
      <w:proofErr w:type="spellEnd"/>
      <w:r>
        <w:rPr>
          <w:sz w:val="20"/>
          <w:szCs w:val="20"/>
        </w:rPr>
        <w:t>, termo-</w:t>
      </w:r>
      <w:proofErr w:type="spellStart"/>
      <w:r>
        <w:rPr>
          <w:sz w:val="20"/>
          <w:szCs w:val="20"/>
        </w:rPr>
        <w:t>razdrobljivo</w:t>
      </w:r>
      <w:proofErr w:type="spellEnd"/>
      <w:r>
        <w:rPr>
          <w:sz w:val="20"/>
          <w:szCs w:val="20"/>
        </w:rPr>
        <w:t xml:space="preserve"> in hidro-</w:t>
      </w:r>
      <w:proofErr w:type="spellStart"/>
      <w:r>
        <w:rPr>
          <w:sz w:val="20"/>
          <w:szCs w:val="20"/>
        </w:rPr>
        <w:t>razdrobljivo</w:t>
      </w:r>
      <w:proofErr w:type="spellEnd"/>
      <w:r>
        <w:rPr>
          <w:sz w:val="20"/>
          <w:szCs w:val="20"/>
        </w:rPr>
        <w:t xml:space="preserve"> plastiko;</w:t>
      </w:r>
    </w:p>
    <w:p w:rsidR="001B208E" w:rsidRDefault="001B208E" w:rsidP="007D7D7B">
      <w:pPr>
        <w:pStyle w:val="Default"/>
        <w:widowControl/>
        <w:spacing w:before="120" w:after="120"/>
        <w:ind w:firstLine="720"/>
        <w:rPr>
          <w:sz w:val="20"/>
          <w:szCs w:val="20"/>
        </w:rPr>
      </w:pPr>
      <w:r>
        <w:rPr>
          <w:sz w:val="20"/>
          <w:szCs w:val="20"/>
        </w:rPr>
        <w:t xml:space="preserve">f) „plastične nosilne vrečke, primerne za kompostiranje“: plastične nosilne vrečke,, ki izpolnjujejo zahteve veljavnega evropskega standarda EN 13432:2000 „Embalaža. Zahteve za embalažo, primerno za kompostiranje in </w:t>
      </w:r>
      <w:proofErr w:type="spellStart"/>
      <w:r>
        <w:rPr>
          <w:sz w:val="20"/>
          <w:szCs w:val="20"/>
        </w:rPr>
        <w:t>biorazgradnjo</w:t>
      </w:r>
      <w:proofErr w:type="spellEnd"/>
      <w:r>
        <w:rPr>
          <w:sz w:val="20"/>
          <w:szCs w:val="20"/>
        </w:rPr>
        <w:t xml:space="preserve">. Preskusna shema in ovrednotenje meril za sprejemljivost embalaže“ in njegovih naknadnih posodobitev, kakor tudi plastične nosilne vrečke, ki izpolnjujejo evropske ali nacionalne standarde glede </w:t>
      </w:r>
      <w:proofErr w:type="spellStart"/>
      <w:r>
        <w:rPr>
          <w:sz w:val="20"/>
          <w:szCs w:val="20"/>
        </w:rPr>
        <w:t>biorazgradnje</w:t>
      </w:r>
      <w:proofErr w:type="spellEnd"/>
      <w:r>
        <w:rPr>
          <w:sz w:val="20"/>
          <w:szCs w:val="20"/>
        </w:rPr>
        <w:t xml:space="preserve"> z domačim kompostiranjem;</w:t>
      </w:r>
    </w:p>
    <w:p w:rsidR="001B208E" w:rsidRDefault="001B208E" w:rsidP="007D7D7B">
      <w:pPr>
        <w:pStyle w:val="Default"/>
        <w:widowControl/>
        <w:spacing w:before="120" w:after="120"/>
        <w:ind w:firstLine="720"/>
        <w:rPr>
          <w:sz w:val="20"/>
          <w:szCs w:val="20"/>
        </w:rPr>
      </w:pPr>
      <w:r>
        <w:rPr>
          <w:sz w:val="20"/>
          <w:szCs w:val="20"/>
        </w:rPr>
        <w:t>g) „proizvajalec plastičnih nosilnih vrečk“: kdor daje na trg končane plastične nosilne vrečke. Za proizvajalce štejejo tudi uvozniki končanih plastičnih nosilnih vrečk.</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t>POGLAVJE II</w:t>
      </w:r>
    </w:p>
    <w:p w:rsidR="001B208E" w:rsidRDefault="001B208E" w:rsidP="007D7D7B">
      <w:pPr>
        <w:pStyle w:val="Pa1"/>
        <w:keepNext/>
        <w:keepLines/>
        <w:widowControl/>
        <w:spacing w:before="120" w:after="120" w:line="240" w:lineRule="auto"/>
        <w:jc w:val="center"/>
        <w:rPr>
          <w:sz w:val="20"/>
          <w:szCs w:val="20"/>
        </w:rPr>
      </w:pPr>
      <w:r>
        <w:rPr>
          <w:b/>
          <w:bCs/>
          <w:sz w:val="20"/>
          <w:szCs w:val="20"/>
        </w:rPr>
        <w:t>Ukrepi, obveznosti in kampanje za zmanjšanje potrošnje plastičnih nosilnih vrečk</w:t>
      </w:r>
    </w:p>
    <w:p w:rsidR="001B208E" w:rsidRDefault="001B208E" w:rsidP="007D7D7B">
      <w:pPr>
        <w:pStyle w:val="Default"/>
        <w:keepNext/>
        <w:keepLines/>
        <w:widowControl/>
        <w:spacing w:before="120" w:after="120"/>
        <w:ind w:firstLine="720"/>
        <w:rPr>
          <w:sz w:val="20"/>
          <w:szCs w:val="20"/>
        </w:rPr>
      </w:pPr>
      <w:r>
        <w:rPr>
          <w:sz w:val="20"/>
          <w:szCs w:val="20"/>
        </w:rPr>
        <w:t>Člen 4.</w:t>
      </w:r>
      <w:r>
        <w:rPr>
          <w:sz w:val="20"/>
          <w:szCs w:val="20"/>
        </w:rPr>
        <w:t> </w:t>
      </w:r>
      <w:r>
        <w:rPr>
          <w:i/>
          <w:iCs/>
          <w:sz w:val="20"/>
          <w:szCs w:val="20"/>
        </w:rPr>
        <w:t>Ukrepi za zmanjšanje potrošnje plastičnih nosilnih vrečk</w:t>
      </w:r>
    </w:p>
    <w:p w:rsidR="001B208E" w:rsidRDefault="001B208E" w:rsidP="007D7D7B">
      <w:pPr>
        <w:pStyle w:val="Default"/>
        <w:widowControl/>
        <w:spacing w:before="120" w:after="120"/>
        <w:ind w:firstLine="720"/>
        <w:rPr>
          <w:sz w:val="20"/>
          <w:szCs w:val="20"/>
        </w:rPr>
      </w:pPr>
      <w:r>
        <w:rPr>
          <w:sz w:val="20"/>
          <w:szCs w:val="20"/>
        </w:rPr>
        <w:t>Sprejemajo se naslednji ukrepi za zmanjšanje porabe plastičnih nosilnih vrečk, našteti po datumih začetka njihove veljavnosti:</w:t>
      </w:r>
    </w:p>
    <w:p w:rsidR="001B208E" w:rsidRDefault="001B208E" w:rsidP="007D7D7B">
      <w:pPr>
        <w:pStyle w:val="Default"/>
        <w:keepNext/>
        <w:keepLines/>
        <w:widowControl/>
        <w:spacing w:before="120" w:after="120"/>
        <w:ind w:firstLine="720"/>
        <w:rPr>
          <w:sz w:val="20"/>
          <w:szCs w:val="20"/>
        </w:rPr>
      </w:pPr>
      <w:r>
        <w:rPr>
          <w:sz w:val="20"/>
          <w:szCs w:val="20"/>
        </w:rPr>
        <w:t>1.</w:t>
      </w:r>
      <w:r>
        <w:rPr>
          <w:sz w:val="20"/>
          <w:szCs w:val="20"/>
        </w:rPr>
        <w:t> </w:t>
      </w:r>
      <w:r>
        <w:rPr>
          <w:sz w:val="20"/>
          <w:szCs w:val="20"/>
        </w:rPr>
        <w:t>Od 1. julija 2018:</w:t>
      </w:r>
    </w:p>
    <w:p w:rsidR="001B208E" w:rsidRDefault="001B208E" w:rsidP="007D7D7B">
      <w:pPr>
        <w:pStyle w:val="Default"/>
        <w:widowControl/>
        <w:spacing w:before="120" w:after="120"/>
        <w:ind w:firstLine="720"/>
        <w:rPr>
          <w:sz w:val="20"/>
          <w:szCs w:val="20"/>
        </w:rPr>
      </w:pPr>
      <w:r>
        <w:rPr>
          <w:sz w:val="20"/>
          <w:szCs w:val="20"/>
        </w:rPr>
        <w:t>a) Plastične nosilne vrečke je potrošnikom prepovedano brezplačno izročati na prodajnih mestih blaga ali proizvodov, razen zelo lahkih plastičnih nosilnih vrečk in plastičnih nosilnih vrečk z debelino stene 50 mikronov ali več, ki vsebujejo vsaj 70 % reciklirane plastike.</w:t>
      </w:r>
    </w:p>
    <w:p w:rsidR="001B208E" w:rsidRDefault="001B208E" w:rsidP="007D7D7B">
      <w:pPr>
        <w:pStyle w:val="Default"/>
        <w:widowControl/>
        <w:spacing w:before="120" w:after="120"/>
        <w:ind w:firstLine="720"/>
        <w:rPr>
          <w:sz w:val="20"/>
          <w:szCs w:val="20"/>
        </w:rPr>
      </w:pPr>
      <w:r>
        <w:rPr>
          <w:sz w:val="20"/>
          <w:szCs w:val="20"/>
        </w:rPr>
        <w:t>b) V primeru izvzetja za plastične nosilne vrečke z debelino stene 50 mikronov ali več, kot predvideva prejšnji odstavek, morajo trgovci razpolagati z dokumentacijo, ki dokazuje zadevni delež.</w:t>
      </w:r>
    </w:p>
    <w:p w:rsidR="001B208E" w:rsidRDefault="001B208E" w:rsidP="007D7D7B">
      <w:pPr>
        <w:pStyle w:val="Default"/>
        <w:widowControl/>
        <w:spacing w:before="120" w:after="120"/>
        <w:ind w:firstLine="720"/>
        <w:rPr>
          <w:sz w:val="20"/>
          <w:szCs w:val="20"/>
        </w:rPr>
      </w:pPr>
      <w:r>
        <w:rPr>
          <w:sz w:val="20"/>
          <w:szCs w:val="20"/>
        </w:rPr>
        <w:t>c) Trgovci zaračunajo določen znesek za vsako vrečko, ko jo izročijo potrošniku. Pri določitvi cene plastičnih nosilnih vrečk lahko trgovci upoštevajo referenčne okvirne cene, določene v Prilogi I.</w:t>
      </w:r>
    </w:p>
    <w:p w:rsidR="001B208E" w:rsidRDefault="001B208E" w:rsidP="007D7D7B">
      <w:pPr>
        <w:pStyle w:val="Default"/>
        <w:widowControl/>
        <w:spacing w:before="120" w:after="120"/>
        <w:ind w:firstLine="720"/>
        <w:rPr>
          <w:sz w:val="20"/>
          <w:szCs w:val="20"/>
        </w:rPr>
      </w:pPr>
      <w:r>
        <w:rPr>
          <w:sz w:val="20"/>
          <w:szCs w:val="20"/>
        </w:rPr>
        <w:t>d) Trgovci potrošnike tudi obveščajo o določenih cenah z objavo cen na vidnem mestu in z navedbo o izpolnjevanju obveznosti iz prejšnjih odstavkov.</w:t>
      </w:r>
    </w:p>
    <w:p w:rsidR="001B208E" w:rsidRDefault="001B208E" w:rsidP="007D7D7B">
      <w:pPr>
        <w:pStyle w:val="Default"/>
        <w:keepNext/>
        <w:keepLines/>
        <w:widowControl/>
        <w:spacing w:before="120" w:after="120"/>
        <w:ind w:firstLine="720"/>
        <w:rPr>
          <w:sz w:val="20"/>
          <w:szCs w:val="20"/>
        </w:rPr>
      </w:pPr>
      <w:r>
        <w:rPr>
          <w:sz w:val="20"/>
          <w:szCs w:val="20"/>
        </w:rPr>
        <w:lastRenderedPageBreak/>
        <w:t>2.</w:t>
      </w:r>
      <w:r>
        <w:rPr>
          <w:sz w:val="20"/>
          <w:szCs w:val="20"/>
        </w:rPr>
        <w:t> </w:t>
      </w:r>
      <w:r>
        <w:rPr>
          <w:sz w:val="20"/>
          <w:szCs w:val="20"/>
        </w:rPr>
        <w:t>Od 1. januarja 2020 dalje:</w:t>
      </w:r>
    </w:p>
    <w:p w:rsidR="001B208E" w:rsidRDefault="001B208E" w:rsidP="007D7D7B">
      <w:pPr>
        <w:pStyle w:val="Default"/>
        <w:widowControl/>
        <w:spacing w:before="120" w:after="120"/>
        <w:ind w:firstLine="720"/>
        <w:rPr>
          <w:sz w:val="20"/>
          <w:szCs w:val="20"/>
        </w:rPr>
      </w:pPr>
      <w:r>
        <w:rPr>
          <w:sz w:val="20"/>
          <w:szCs w:val="20"/>
        </w:rPr>
        <w:t xml:space="preserve">a) Nosilne vrečke iz </w:t>
      </w:r>
      <w:proofErr w:type="spellStart"/>
      <w:r>
        <w:rPr>
          <w:sz w:val="20"/>
          <w:szCs w:val="20"/>
        </w:rPr>
        <w:t>razdrobljive</w:t>
      </w:r>
      <w:proofErr w:type="spellEnd"/>
      <w:r>
        <w:rPr>
          <w:sz w:val="20"/>
          <w:szCs w:val="20"/>
        </w:rPr>
        <w:t xml:space="preserve"> plastike je potrošnikom prepovedano dajati na prodajnih mestih blaga ali proizvodov.</w:t>
      </w:r>
    </w:p>
    <w:p w:rsidR="00694AFB" w:rsidRDefault="001B208E" w:rsidP="007D7D7B">
      <w:pPr>
        <w:pStyle w:val="Default"/>
        <w:widowControl/>
        <w:spacing w:before="120" w:after="120"/>
        <w:ind w:firstLine="720"/>
        <w:rPr>
          <w:sz w:val="20"/>
          <w:szCs w:val="20"/>
        </w:rPr>
      </w:pPr>
      <w:r>
        <w:rPr>
          <w:sz w:val="20"/>
          <w:szCs w:val="20"/>
        </w:rPr>
        <w:t>b) Plastične nosilne vrečke z debelino stene 50 mikronov ali več vsebujejo vsaj 50 % reciklirane plastike.</w:t>
      </w:r>
    </w:p>
    <w:p w:rsidR="001B208E" w:rsidRDefault="001B208E" w:rsidP="007D7D7B">
      <w:pPr>
        <w:pStyle w:val="Default"/>
        <w:widowControl/>
        <w:spacing w:before="120" w:after="120"/>
        <w:ind w:firstLine="720"/>
        <w:rPr>
          <w:sz w:val="20"/>
          <w:szCs w:val="20"/>
        </w:rPr>
      </w:pPr>
      <w:r>
        <w:rPr>
          <w:sz w:val="20"/>
          <w:szCs w:val="20"/>
        </w:rPr>
        <w:t>3.</w:t>
      </w:r>
      <w:r>
        <w:rPr>
          <w:sz w:val="20"/>
          <w:szCs w:val="20"/>
        </w:rPr>
        <w:t> </w:t>
      </w:r>
      <w:r>
        <w:rPr>
          <w:sz w:val="20"/>
          <w:szCs w:val="20"/>
        </w:rPr>
        <w:t>Od 1. januarja 2021 je potrošnikom na prodajnih mestih blaga ali proizvodov prepovedano izročati lahke in zelo lahke plastične nosilne vrečke, razen če so izdelane iz plastike, primerne za kompostiranje. Trgovci se lahko odločijo tudi za drugo obliko embalaže, da bi nadomestili plastične nosilne vrečke.</w:t>
      </w:r>
    </w:p>
    <w:p w:rsidR="001B208E" w:rsidRDefault="001B208E" w:rsidP="007D7D7B">
      <w:pPr>
        <w:pStyle w:val="Default"/>
        <w:widowControl/>
        <w:spacing w:before="120" w:after="120"/>
        <w:ind w:firstLine="720"/>
        <w:rPr>
          <w:sz w:val="20"/>
          <w:szCs w:val="20"/>
        </w:rPr>
      </w:pPr>
      <w:r>
        <w:rPr>
          <w:sz w:val="20"/>
          <w:szCs w:val="20"/>
        </w:rPr>
        <w:t>4.</w:t>
      </w:r>
      <w:r>
        <w:rPr>
          <w:sz w:val="20"/>
          <w:szCs w:val="20"/>
        </w:rPr>
        <w:t> </w:t>
      </w:r>
      <w:r>
        <w:rPr>
          <w:sz w:val="20"/>
          <w:szCs w:val="20"/>
        </w:rPr>
        <w:t>Vsi ukrepi, vključeni v tem členu, se nanašajo tako na plastične nosilne vrečke, ki se izročajo na prodajnih mestih blaga ali proizvodov, kakor tudi na tiste, ki se lahko uporabljajo pri spletni prodaji ali dostavi na dom. Niso vključeni plastični ovoji, ki se uporabljajo za prodajo na daljavo, čeprav jih je treba obravnavati kot embalažo, če so v skladu z opredelitvijo embalaže iz Zakona 11/1997 z dne 24. aprila 1997.</w:t>
      </w:r>
    </w:p>
    <w:p w:rsidR="001B208E" w:rsidRDefault="001B208E" w:rsidP="007D7D7B">
      <w:pPr>
        <w:pStyle w:val="Default"/>
        <w:keepNext/>
        <w:keepLines/>
        <w:widowControl/>
        <w:spacing w:before="120" w:after="120"/>
        <w:ind w:firstLine="720"/>
        <w:rPr>
          <w:sz w:val="20"/>
          <w:szCs w:val="20"/>
        </w:rPr>
      </w:pPr>
      <w:r>
        <w:rPr>
          <w:sz w:val="20"/>
          <w:szCs w:val="20"/>
        </w:rPr>
        <w:t>Člen 5.</w:t>
      </w:r>
      <w:r>
        <w:rPr>
          <w:sz w:val="20"/>
          <w:szCs w:val="20"/>
        </w:rPr>
        <w:t> </w:t>
      </w:r>
      <w:r>
        <w:rPr>
          <w:i/>
          <w:iCs/>
          <w:sz w:val="20"/>
          <w:szCs w:val="20"/>
        </w:rPr>
        <w:t>Obveznosti trga plastičnih nosilnih vrečk</w:t>
      </w:r>
    </w:p>
    <w:p w:rsidR="001B208E" w:rsidRDefault="001B208E" w:rsidP="007D7D7B">
      <w:pPr>
        <w:pStyle w:val="Default"/>
        <w:widowControl/>
        <w:spacing w:before="120" w:after="120"/>
        <w:ind w:firstLine="720"/>
        <w:rPr>
          <w:sz w:val="20"/>
          <w:szCs w:val="20"/>
        </w:rPr>
      </w:pPr>
      <w:r>
        <w:rPr>
          <w:sz w:val="20"/>
          <w:szCs w:val="20"/>
        </w:rPr>
        <w:t>V roku osemnajstih mesecev po sprejetju evropskih predpisov, kot je predvideno v členu 8a Direktive Evropskega Parlamenta in Sveta 94/62/ES z dne 20. decembra 1994 o embalaži in odpadni embalaži, ki se nanaša na določitev specifikacij za etikete ali oznake, da se po vsej Evropski uniji zagotovi prepoznavanje za kompostiranje primernih plastičnih nosilnih vrečk, morajo biti plastične nosilne vrečke, ki se dajejo na trg znotraj države, označene skladno s predpisi Skupnosti, ki se sprejmejo.</w:t>
      </w:r>
    </w:p>
    <w:p w:rsidR="001B208E" w:rsidRDefault="001B208E" w:rsidP="007D7D7B">
      <w:pPr>
        <w:pStyle w:val="Default"/>
        <w:keepNext/>
        <w:keepLines/>
        <w:widowControl/>
        <w:spacing w:before="120" w:after="120"/>
        <w:ind w:firstLine="720"/>
        <w:rPr>
          <w:sz w:val="20"/>
          <w:szCs w:val="20"/>
        </w:rPr>
      </w:pPr>
      <w:r>
        <w:rPr>
          <w:sz w:val="20"/>
          <w:szCs w:val="20"/>
        </w:rPr>
        <w:t>Člen 6.</w:t>
      </w:r>
      <w:r>
        <w:rPr>
          <w:sz w:val="20"/>
          <w:szCs w:val="20"/>
        </w:rPr>
        <w:t> </w:t>
      </w:r>
      <w:r>
        <w:rPr>
          <w:i/>
          <w:iCs/>
          <w:sz w:val="20"/>
          <w:szCs w:val="20"/>
        </w:rPr>
        <w:t>Kampanje osveščanja in obveščanja</w:t>
      </w:r>
    </w:p>
    <w:p w:rsidR="001B208E" w:rsidRDefault="001B208E" w:rsidP="007D7D7B">
      <w:pPr>
        <w:pStyle w:val="Default"/>
        <w:widowControl/>
        <w:spacing w:before="120" w:after="120"/>
        <w:ind w:firstLine="720"/>
        <w:rPr>
          <w:sz w:val="20"/>
          <w:szCs w:val="20"/>
        </w:rPr>
      </w:pPr>
      <w:r>
        <w:rPr>
          <w:sz w:val="20"/>
          <w:szCs w:val="20"/>
        </w:rPr>
        <w:t>1.</w:t>
      </w:r>
      <w:r>
        <w:rPr>
          <w:sz w:val="20"/>
          <w:szCs w:val="20"/>
        </w:rPr>
        <w:t> </w:t>
      </w:r>
      <w:r>
        <w:rPr>
          <w:sz w:val="20"/>
          <w:szCs w:val="20"/>
        </w:rPr>
        <w:t>Ministrstvo za kmetijstvo in ribolov, prehrano in okolje in avtonomne skupnosti kot pristojni organi izvajajo kampanje obveščanja javnosti o ukrepih, sprejetih s to kraljevo uredbo, kakor tudi kampanje osveščanja glede negativnih posledic pretirane potrošnje vseh vrst plastičnih nosilnih vrečk na okolje in vpliva smetenja z njimi, in spodbujajo načelo hierarhije ravnanja z odpadki. Te kampanje morajo vsebovati informacije o zabojniku, v katerega je treba odložiti plastične nosilne vrečke, primerne za kompostiranje, in tiste, ki niso primerne za kompostiranje, ko postanejo odpadek.</w:t>
      </w:r>
    </w:p>
    <w:p w:rsidR="001B208E" w:rsidRDefault="001B208E" w:rsidP="007D7D7B">
      <w:pPr>
        <w:pStyle w:val="Default"/>
        <w:widowControl/>
        <w:spacing w:before="120" w:after="120"/>
        <w:ind w:firstLine="720"/>
        <w:rPr>
          <w:sz w:val="20"/>
          <w:szCs w:val="20"/>
        </w:rPr>
      </w:pPr>
      <w:r>
        <w:rPr>
          <w:sz w:val="20"/>
          <w:szCs w:val="20"/>
        </w:rPr>
        <w:t>Te kampanje potekajo vsaj prvo leto po sprejetju te kraljeve uredbe, lahko pa se ohranijo tudi pozneje, če se oceni, da je to potrebno za dosego zastavljenih ciljev.</w:t>
      </w:r>
    </w:p>
    <w:p w:rsidR="001B208E" w:rsidRDefault="001B208E" w:rsidP="007D7D7B">
      <w:pPr>
        <w:pStyle w:val="Default"/>
        <w:widowControl/>
        <w:spacing w:before="120" w:after="120"/>
        <w:ind w:firstLine="720"/>
        <w:rPr>
          <w:sz w:val="20"/>
          <w:szCs w:val="20"/>
        </w:rPr>
      </w:pPr>
      <w:r>
        <w:rPr>
          <w:sz w:val="20"/>
          <w:szCs w:val="20"/>
        </w:rPr>
        <w:t>2.</w:t>
      </w:r>
      <w:r>
        <w:rPr>
          <w:sz w:val="20"/>
          <w:szCs w:val="20"/>
        </w:rPr>
        <w:t> </w:t>
      </w:r>
      <w:r>
        <w:rPr>
          <w:sz w:val="20"/>
          <w:szCs w:val="20"/>
        </w:rPr>
        <w:t>Lokalni subjekti in trgovci lahko prav tako izvedejo kampanje obveščanja in osveščanja v skladu s kampanjami pristojnih organov.</w:t>
      </w:r>
    </w:p>
    <w:p w:rsidR="001B208E" w:rsidRDefault="001B208E" w:rsidP="007D7D7B">
      <w:pPr>
        <w:pStyle w:val="Default"/>
        <w:widowControl/>
        <w:spacing w:before="120" w:after="120"/>
        <w:ind w:firstLine="720"/>
        <w:rPr>
          <w:sz w:val="20"/>
          <w:szCs w:val="20"/>
        </w:rPr>
      </w:pPr>
      <w:r>
        <w:rPr>
          <w:sz w:val="20"/>
          <w:szCs w:val="20"/>
        </w:rPr>
        <w:t>3.</w:t>
      </w:r>
      <w:r>
        <w:rPr>
          <w:sz w:val="20"/>
          <w:szCs w:val="20"/>
        </w:rPr>
        <w:t> </w:t>
      </w:r>
      <w:r>
        <w:rPr>
          <w:sz w:val="20"/>
          <w:szCs w:val="20"/>
        </w:rPr>
        <w:t>Kampanje, ki jih izvajajo pristojni organi, se lahko financirajo iz sredstev kolektivnih sistemov razširjene odgovornosti v okviru sporazumov o financiranju, sklenjenih med temi sistemi in avtonomnimi skupnostmi ali, če je primerno, lokalnimi subjekti.</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t>POGLAVJE III</w:t>
      </w:r>
    </w:p>
    <w:p w:rsidR="001B208E" w:rsidRDefault="001B208E" w:rsidP="007D7D7B">
      <w:pPr>
        <w:pStyle w:val="Pa1"/>
        <w:keepNext/>
        <w:keepLines/>
        <w:widowControl/>
        <w:spacing w:before="120" w:after="120" w:line="240" w:lineRule="auto"/>
        <w:jc w:val="center"/>
        <w:rPr>
          <w:color w:val="000000"/>
          <w:sz w:val="20"/>
          <w:szCs w:val="20"/>
        </w:rPr>
      </w:pPr>
      <w:r>
        <w:rPr>
          <w:b/>
          <w:bCs/>
          <w:color w:val="000000"/>
          <w:sz w:val="20"/>
          <w:szCs w:val="20"/>
        </w:rPr>
        <w:t>Register proizvajalcev proizvodov</w:t>
      </w:r>
    </w:p>
    <w:p w:rsidR="001B208E" w:rsidRDefault="001B208E" w:rsidP="007D7D7B">
      <w:pPr>
        <w:pStyle w:val="Default"/>
        <w:keepNext/>
        <w:keepLines/>
        <w:widowControl/>
        <w:spacing w:before="120" w:after="120"/>
        <w:ind w:firstLine="720"/>
        <w:rPr>
          <w:sz w:val="20"/>
          <w:szCs w:val="20"/>
        </w:rPr>
      </w:pPr>
      <w:r>
        <w:rPr>
          <w:sz w:val="20"/>
          <w:szCs w:val="20"/>
        </w:rPr>
        <w:t>Člen 7.</w:t>
      </w:r>
      <w:r>
        <w:rPr>
          <w:sz w:val="20"/>
          <w:szCs w:val="20"/>
        </w:rPr>
        <w:t> </w:t>
      </w:r>
      <w:r>
        <w:rPr>
          <w:i/>
          <w:iCs/>
          <w:sz w:val="20"/>
          <w:szCs w:val="20"/>
        </w:rPr>
        <w:t>Vzpostavitev Registra proizvajalcev proizvodov</w:t>
      </w:r>
    </w:p>
    <w:p w:rsidR="001B208E" w:rsidRDefault="001B208E" w:rsidP="007D7D7B">
      <w:pPr>
        <w:pStyle w:val="Default"/>
        <w:widowControl/>
        <w:spacing w:before="120" w:after="120"/>
        <w:ind w:firstLine="720"/>
        <w:rPr>
          <w:sz w:val="20"/>
          <w:szCs w:val="20"/>
        </w:rPr>
      </w:pPr>
      <w:r>
        <w:rPr>
          <w:sz w:val="20"/>
          <w:szCs w:val="20"/>
        </w:rPr>
        <w:t>1.</w:t>
      </w:r>
      <w:r>
        <w:rPr>
          <w:sz w:val="20"/>
          <w:szCs w:val="20"/>
        </w:rPr>
        <w:t> </w:t>
      </w:r>
      <w:r>
        <w:rPr>
          <w:sz w:val="20"/>
          <w:szCs w:val="20"/>
        </w:rPr>
        <w:t>Vzpostavi se Register proizvajalcev proizvodov, ki je upravne in deklarativne narave in sodi v okvir Generalnega direktorata za okoljsko kakovost in presojo ter naravno okolje Ministrstva za kmetijstvo in ribolov, prehrano in okolje.</w:t>
      </w:r>
    </w:p>
    <w:p w:rsidR="001B208E" w:rsidRDefault="001B208E" w:rsidP="007D7D7B">
      <w:pPr>
        <w:pStyle w:val="Default"/>
        <w:widowControl/>
        <w:spacing w:before="120" w:after="120"/>
        <w:ind w:firstLine="720"/>
        <w:rPr>
          <w:sz w:val="20"/>
          <w:szCs w:val="20"/>
        </w:rPr>
      </w:pPr>
      <w:r>
        <w:rPr>
          <w:sz w:val="20"/>
          <w:szCs w:val="20"/>
        </w:rPr>
        <w:t>2.</w:t>
      </w:r>
      <w:r>
        <w:rPr>
          <w:sz w:val="20"/>
          <w:szCs w:val="20"/>
        </w:rPr>
        <w:t> </w:t>
      </w:r>
      <w:r>
        <w:rPr>
          <w:sz w:val="20"/>
          <w:szCs w:val="20"/>
        </w:rPr>
        <w:t>Register proizvajalcev proizvodov je razdeljen na oddelke proizvajalcev in vsebuje informacije o dajanju proizvodov na trg z namenom izpolnjevanja obveznosti glede obveščanja na področju ravnanja z odpadki. Register proizvajalcev proizvodov vsebuje vsaj oddelek proizvajalcev plastičnih nosilnih vrečk.</w:t>
      </w:r>
    </w:p>
    <w:p w:rsidR="00694AFB" w:rsidRDefault="001B208E" w:rsidP="007D7D7B">
      <w:pPr>
        <w:pStyle w:val="Default"/>
        <w:widowControl/>
        <w:spacing w:before="120" w:after="120"/>
        <w:ind w:firstLine="720"/>
        <w:rPr>
          <w:sz w:val="20"/>
          <w:szCs w:val="20"/>
        </w:rPr>
      </w:pPr>
      <w:r>
        <w:rPr>
          <w:sz w:val="20"/>
          <w:szCs w:val="20"/>
        </w:rPr>
        <w:t xml:space="preserve">Z ustreznimi </w:t>
      </w:r>
      <w:proofErr w:type="spellStart"/>
      <w:r>
        <w:rPr>
          <w:sz w:val="20"/>
          <w:szCs w:val="20"/>
        </w:rPr>
        <w:t>regulativnimi</w:t>
      </w:r>
      <w:proofErr w:type="spellEnd"/>
      <w:r>
        <w:rPr>
          <w:sz w:val="20"/>
          <w:szCs w:val="20"/>
        </w:rPr>
        <w:t xml:space="preserve"> predpisi o odpadkih se lahko oblikujejo novi oddelki Registra proizvajalcev proizvodov z vsebino, določeno v teh predpisih.</w:t>
      </w:r>
    </w:p>
    <w:p w:rsidR="001B208E" w:rsidRDefault="001B208E" w:rsidP="007D7D7B">
      <w:pPr>
        <w:pStyle w:val="Default"/>
        <w:keepNext/>
        <w:keepLines/>
        <w:widowControl/>
        <w:spacing w:before="120" w:after="120"/>
        <w:ind w:firstLine="720"/>
        <w:rPr>
          <w:sz w:val="20"/>
          <w:szCs w:val="20"/>
        </w:rPr>
      </w:pPr>
      <w:r>
        <w:rPr>
          <w:sz w:val="20"/>
          <w:szCs w:val="20"/>
        </w:rPr>
        <w:t>Člen 8.</w:t>
      </w:r>
      <w:r>
        <w:rPr>
          <w:sz w:val="20"/>
          <w:szCs w:val="20"/>
        </w:rPr>
        <w:t> </w:t>
      </w:r>
      <w:r>
        <w:rPr>
          <w:i/>
          <w:iCs/>
          <w:sz w:val="20"/>
          <w:szCs w:val="20"/>
        </w:rPr>
        <w:t>Vpis proizvajalcev plastičnih nosilnih vrečk v register proizvajalcev proizvodov</w:t>
      </w:r>
    </w:p>
    <w:p w:rsidR="001B208E" w:rsidRDefault="001B208E" w:rsidP="007D7D7B">
      <w:pPr>
        <w:pStyle w:val="Default"/>
        <w:widowControl/>
        <w:spacing w:before="120" w:after="120"/>
        <w:ind w:firstLine="720"/>
        <w:rPr>
          <w:sz w:val="20"/>
          <w:szCs w:val="20"/>
        </w:rPr>
      </w:pPr>
      <w:r>
        <w:rPr>
          <w:sz w:val="20"/>
          <w:szCs w:val="20"/>
        </w:rPr>
        <w:t>Proizvajalci plastičnih nosilnih vrečk se vpišejo v oddelek proizvajalcev plastičnih nosilnih vrečk Registra proizvajalcev proizvodov Ministrstva za kmetijstvo in ribolov, prehrano in okolje v roku treh mesecev od datuma začetka veljavnosti te kraljeve uredbe. Ob vpisu posredujejo informacije, določene v odstavku 1 Priloge II, ki bodo javne. Osebne podatke ščitijo veljavni državni predpisi o varstvu osebnih podatkov.</w:t>
      </w:r>
    </w:p>
    <w:p w:rsidR="001B208E" w:rsidRDefault="001B208E" w:rsidP="007D7D7B">
      <w:pPr>
        <w:pStyle w:val="Default"/>
        <w:keepNext/>
        <w:keepLines/>
        <w:widowControl/>
        <w:spacing w:before="120" w:after="120"/>
        <w:ind w:firstLine="720"/>
        <w:rPr>
          <w:sz w:val="20"/>
          <w:szCs w:val="20"/>
        </w:rPr>
      </w:pPr>
      <w:r>
        <w:rPr>
          <w:sz w:val="20"/>
          <w:szCs w:val="20"/>
        </w:rPr>
        <w:lastRenderedPageBreak/>
        <w:t>Člen 9.</w:t>
      </w:r>
      <w:r>
        <w:rPr>
          <w:sz w:val="20"/>
          <w:szCs w:val="20"/>
        </w:rPr>
        <w:t> </w:t>
      </w:r>
      <w:r>
        <w:rPr>
          <w:i/>
          <w:iCs/>
          <w:sz w:val="20"/>
          <w:szCs w:val="20"/>
        </w:rPr>
        <w:t>Obveznost obveščanja na področju plastičnih nosilnih vrečk</w:t>
      </w:r>
    </w:p>
    <w:p w:rsidR="001B208E" w:rsidRDefault="001B208E" w:rsidP="007D7D7B">
      <w:pPr>
        <w:pStyle w:val="Default"/>
        <w:widowControl/>
        <w:spacing w:before="120" w:after="120"/>
        <w:ind w:firstLine="720"/>
        <w:rPr>
          <w:sz w:val="20"/>
          <w:szCs w:val="20"/>
        </w:rPr>
      </w:pPr>
      <w:r>
        <w:rPr>
          <w:sz w:val="20"/>
          <w:szCs w:val="20"/>
        </w:rPr>
        <w:t>Proizvajalci plastičnih nosilnih vrečk zberejo informacije iz odstavka 2 Priloge II, ki se nanašajo na nosilne vrečke, dane na nacionalni trg v vsakem posameznem koledarskem letu. Te informacije se posredujejo Ministrstvu za kmetijstvo in ribolov, prehrano in okolje do 31. marca leta, ki sledi letu, na katerega se informacije nanašajo, da se pripravijo informacije o plastičnih nosilnih vrečkah, ki jih je treba posredovati Evropski komisiji v skladu z veljavnimi predpisi in ki se objavijo vsako leto.</w:t>
      </w:r>
    </w:p>
    <w:p w:rsidR="001B208E" w:rsidRDefault="001B208E" w:rsidP="007D7D7B">
      <w:pPr>
        <w:pStyle w:val="Default"/>
        <w:widowControl/>
        <w:spacing w:before="120" w:after="120"/>
        <w:ind w:firstLine="720"/>
        <w:rPr>
          <w:sz w:val="20"/>
          <w:szCs w:val="20"/>
        </w:rPr>
      </w:pPr>
      <w:r>
        <w:rPr>
          <w:sz w:val="20"/>
          <w:szCs w:val="20"/>
        </w:rPr>
        <w:t>Informacije, ki jih posredujejo proizvajalci nosilnih vrečk, bodo na voljo pristojnim organom za inšpekcijske in nadzorne namene.</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t>POGLAVJE IV</w:t>
      </w:r>
    </w:p>
    <w:p w:rsidR="001B208E" w:rsidRDefault="001B208E" w:rsidP="007D7D7B">
      <w:pPr>
        <w:pStyle w:val="Pa1"/>
        <w:keepNext/>
        <w:keepLines/>
        <w:widowControl/>
        <w:spacing w:before="120" w:after="120" w:line="240" w:lineRule="auto"/>
        <w:jc w:val="center"/>
        <w:rPr>
          <w:color w:val="000000"/>
          <w:sz w:val="20"/>
          <w:szCs w:val="20"/>
        </w:rPr>
      </w:pPr>
      <w:r>
        <w:rPr>
          <w:b/>
          <w:bCs/>
          <w:color w:val="000000"/>
          <w:sz w:val="20"/>
          <w:szCs w:val="20"/>
        </w:rPr>
        <w:t>Kazni</w:t>
      </w:r>
    </w:p>
    <w:p w:rsidR="001B208E" w:rsidRDefault="001B208E" w:rsidP="007D7D7B">
      <w:pPr>
        <w:pStyle w:val="Default"/>
        <w:keepNext/>
        <w:keepLines/>
        <w:widowControl/>
        <w:spacing w:before="120" w:after="120"/>
        <w:ind w:firstLine="720"/>
        <w:rPr>
          <w:sz w:val="20"/>
          <w:szCs w:val="20"/>
        </w:rPr>
      </w:pPr>
      <w:r>
        <w:rPr>
          <w:sz w:val="20"/>
          <w:szCs w:val="20"/>
        </w:rPr>
        <w:t>Člen 10.</w:t>
      </w:r>
      <w:r>
        <w:rPr>
          <w:sz w:val="20"/>
          <w:szCs w:val="20"/>
        </w:rPr>
        <w:t> </w:t>
      </w:r>
      <w:r>
        <w:rPr>
          <w:i/>
          <w:iCs/>
          <w:sz w:val="20"/>
          <w:szCs w:val="20"/>
        </w:rPr>
        <w:t>Sistem kazni</w:t>
      </w:r>
    </w:p>
    <w:p w:rsidR="001B208E" w:rsidRDefault="001B208E" w:rsidP="007D7D7B">
      <w:pPr>
        <w:pStyle w:val="Default"/>
        <w:widowControl/>
        <w:spacing w:before="120" w:after="120"/>
        <w:ind w:firstLine="720"/>
        <w:rPr>
          <w:sz w:val="20"/>
          <w:szCs w:val="20"/>
        </w:rPr>
      </w:pPr>
      <w:r>
        <w:rPr>
          <w:sz w:val="20"/>
          <w:szCs w:val="20"/>
        </w:rPr>
        <w:t>Nespoštovanje določb te kraljeve uredbe se kaznuje v skladu z določbami Zakona 22/2011 z dne 28. julija 2011 o odpadkih in kontaminiranih tleh.</w:t>
      </w:r>
    </w:p>
    <w:p w:rsidR="001B208E" w:rsidRDefault="001B208E" w:rsidP="007D7D7B">
      <w:pPr>
        <w:pStyle w:val="Default"/>
        <w:keepNext/>
        <w:keepLines/>
        <w:widowControl/>
        <w:spacing w:before="120" w:after="120"/>
        <w:ind w:firstLine="720"/>
        <w:rPr>
          <w:sz w:val="20"/>
          <w:szCs w:val="20"/>
        </w:rPr>
      </w:pPr>
      <w:r>
        <w:rPr>
          <w:sz w:val="20"/>
          <w:szCs w:val="20"/>
        </w:rPr>
        <w:t>Prva dodatna določba.</w:t>
      </w:r>
      <w:r>
        <w:rPr>
          <w:sz w:val="20"/>
          <w:szCs w:val="20"/>
        </w:rPr>
        <w:t> </w:t>
      </w:r>
      <w:r>
        <w:rPr>
          <w:i/>
          <w:iCs/>
          <w:sz w:val="20"/>
          <w:szCs w:val="20"/>
        </w:rPr>
        <w:t>Poročilo o izvajanju kraljeve uredbe in pregled predlaganih ukrepov</w:t>
      </w:r>
    </w:p>
    <w:p w:rsidR="001B208E" w:rsidRDefault="001B208E" w:rsidP="007D7D7B">
      <w:pPr>
        <w:pStyle w:val="Default"/>
        <w:widowControl/>
        <w:spacing w:before="120" w:after="120"/>
        <w:ind w:firstLine="720"/>
        <w:rPr>
          <w:sz w:val="20"/>
          <w:szCs w:val="20"/>
        </w:rPr>
      </w:pPr>
      <w:r>
        <w:rPr>
          <w:sz w:val="20"/>
          <w:szCs w:val="20"/>
        </w:rPr>
        <w:t>Ministrstvo za kmetijstvo in ribolov, prehrano in okolje pred 1. januarjem 2023 pripravil poročilo, v katerem ovrednoti učinkovitost ukrepov za zmanjšanje potrošnje plastičnih nosilnih vrečk iz te kraljeve uredbe, spremembo obnašanja potrošnikov in spodbujanje preprečevanja nastajanja odpadkov. Če poročilo pokaže, da sprejeti ukrepi niso učinkoviti, Ministrstvo za kmetijstvo in ribolov, prehrano in okolje prouči druge možne poti za zmanjšanje potrošnje plastičnih nosilnih vrečk in po potrebi predstavi nov predlog predpisov.</w:t>
      </w:r>
    </w:p>
    <w:p w:rsidR="001B208E" w:rsidRDefault="001B208E" w:rsidP="007D7D7B">
      <w:pPr>
        <w:pStyle w:val="Default"/>
        <w:keepNext/>
        <w:keepLines/>
        <w:widowControl/>
        <w:spacing w:before="120" w:after="120"/>
        <w:ind w:firstLine="720"/>
        <w:rPr>
          <w:sz w:val="20"/>
          <w:szCs w:val="20"/>
        </w:rPr>
      </w:pPr>
      <w:r>
        <w:rPr>
          <w:sz w:val="20"/>
          <w:szCs w:val="20"/>
        </w:rPr>
        <w:t>Druga dodatna določba.</w:t>
      </w:r>
      <w:r>
        <w:rPr>
          <w:sz w:val="20"/>
          <w:szCs w:val="20"/>
        </w:rPr>
        <w:t> </w:t>
      </w:r>
      <w:r>
        <w:rPr>
          <w:i/>
          <w:iCs/>
          <w:sz w:val="20"/>
          <w:szCs w:val="20"/>
        </w:rPr>
        <w:t>Izpolnjevanje druge dodatne določbe Zakona 22/2011 z dne 28. julija 2011</w:t>
      </w:r>
    </w:p>
    <w:p w:rsidR="001B208E" w:rsidRDefault="001B208E" w:rsidP="007D7D7B">
      <w:pPr>
        <w:pStyle w:val="Default"/>
        <w:widowControl/>
        <w:spacing w:before="120" w:after="120"/>
        <w:ind w:firstLine="720"/>
        <w:rPr>
          <w:sz w:val="20"/>
          <w:szCs w:val="20"/>
        </w:rPr>
      </w:pPr>
      <w:r>
        <w:rPr>
          <w:sz w:val="20"/>
          <w:szCs w:val="20"/>
        </w:rPr>
        <w:t>Ukrepi, predvideni v tej kraljevi uredbi za lahke plastične nosilne vrečke, omogočajo izpolnjevanje druge dodatne določbe Zakona 22/2011 z dne 28. julija 2011, zlasti kar zadeva uvedbo koledarja, omenjenega v oddelku 3.</w:t>
      </w:r>
    </w:p>
    <w:p w:rsidR="00694AFB" w:rsidRDefault="001B208E" w:rsidP="007D7D7B">
      <w:pPr>
        <w:pStyle w:val="Default"/>
        <w:widowControl/>
        <w:spacing w:before="120" w:after="120"/>
        <w:ind w:firstLine="720"/>
        <w:rPr>
          <w:sz w:val="20"/>
          <w:szCs w:val="20"/>
        </w:rPr>
      </w:pPr>
      <w:r>
        <w:rPr>
          <w:sz w:val="20"/>
          <w:szCs w:val="20"/>
        </w:rPr>
        <w:t>Delovna skupina, omenjena v oddelku 4 druge dodatne določbe Zakona 22/2011 z dne 28. julija 2011, je delovna skupina za embalažo in odpadno embalažo Komisije za usklajevanje na področju odpadkov, ki je podrejena Generalnemu direktoratu za okoljsko kakovost in presojo ter naravno okolje.</w:t>
      </w:r>
    </w:p>
    <w:p w:rsidR="001B208E" w:rsidRDefault="001B208E" w:rsidP="007D7D7B">
      <w:pPr>
        <w:pStyle w:val="Default"/>
        <w:keepNext/>
        <w:keepLines/>
        <w:widowControl/>
        <w:spacing w:before="120" w:after="120"/>
        <w:ind w:firstLine="720"/>
        <w:rPr>
          <w:sz w:val="20"/>
          <w:szCs w:val="20"/>
        </w:rPr>
      </w:pPr>
      <w:r>
        <w:rPr>
          <w:sz w:val="20"/>
          <w:szCs w:val="20"/>
        </w:rPr>
        <w:t>Tretja dodatna določba.</w:t>
      </w:r>
      <w:r>
        <w:rPr>
          <w:sz w:val="20"/>
          <w:szCs w:val="20"/>
        </w:rPr>
        <w:t> </w:t>
      </w:r>
      <w:r>
        <w:rPr>
          <w:i/>
          <w:iCs/>
          <w:sz w:val="20"/>
          <w:szCs w:val="20"/>
        </w:rPr>
        <w:t>Informacije o plastičnih nosilnih vrečkah za leto 2017</w:t>
      </w:r>
    </w:p>
    <w:p w:rsidR="001B208E" w:rsidRDefault="001B208E" w:rsidP="007D7D7B">
      <w:pPr>
        <w:pStyle w:val="Default"/>
        <w:widowControl/>
        <w:spacing w:before="120" w:after="120"/>
        <w:ind w:firstLine="720"/>
        <w:rPr>
          <w:sz w:val="20"/>
          <w:szCs w:val="20"/>
        </w:rPr>
      </w:pPr>
      <w:r>
        <w:rPr>
          <w:sz w:val="20"/>
          <w:szCs w:val="20"/>
        </w:rPr>
        <w:t>Informacije o plastičnih nosilnih vrečkah, danih na nacionalni trg v letu 2017, proizvajalci nosilnih vrečk posredujejo v roku treh mesecev po njihovem vpisu v register proizvajalcev proizvodov.</w:t>
      </w:r>
    </w:p>
    <w:p w:rsidR="001B208E" w:rsidRDefault="001B208E" w:rsidP="007D7D7B">
      <w:pPr>
        <w:pStyle w:val="Default"/>
        <w:keepNext/>
        <w:keepLines/>
        <w:widowControl/>
        <w:spacing w:before="120" w:after="120"/>
        <w:ind w:firstLine="720"/>
        <w:rPr>
          <w:sz w:val="20"/>
          <w:szCs w:val="20"/>
        </w:rPr>
      </w:pPr>
      <w:r>
        <w:rPr>
          <w:sz w:val="20"/>
          <w:szCs w:val="20"/>
        </w:rPr>
        <w:t>Četrta dodatna določba.</w:t>
      </w:r>
      <w:r>
        <w:rPr>
          <w:sz w:val="20"/>
          <w:szCs w:val="20"/>
        </w:rPr>
        <w:t> </w:t>
      </w:r>
      <w:r>
        <w:rPr>
          <w:i/>
          <w:iCs/>
          <w:sz w:val="20"/>
          <w:szCs w:val="20"/>
        </w:rPr>
        <w:t>Odsotnost povečanja javnih stroškov</w:t>
      </w:r>
    </w:p>
    <w:p w:rsidR="001B208E" w:rsidRDefault="001B208E" w:rsidP="007D7D7B">
      <w:pPr>
        <w:pStyle w:val="Default"/>
        <w:widowControl/>
        <w:spacing w:before="120" w:after="120"/>
        <w:ind w:firstLine="720"/>
        <w:rPr>
          <w:sz w:val="20"/>
          <w:szCs w:val="20"/>
        </w:rPr>
      </w:pPr>
      <w:r>
        <w:rPr>
          <w:sz w:val="20"/>
          <w:szCs w:val="20"/>
        </w:rPr>
        <w:t>Ukrepi iz te kraljeve uredbe se izvedejo s pomočjo osebnih in materialnih sredstev, ki so na voljo v splošni državni upravi. V nobenem primeru se zaradi teh ukrepov javni izdatki ne smejo povišati.</w:t>
      </w:r>
    </w:p>
    <w:p w:rsidR="001B208E" w:rsidRDefault="001B208E" w:rsidP="007D7D7B">
      <w:pPr>
        <w:pStyle w:val="Default"/>
        <w:keepNext/>
        <w:keepLines/>
        <w:widowControl/>
        <w:spacing w:before="120" w:after="120"/>
        <w:ind w:firstLine="720"/>
        <w:rPr>
          <w:sz w:val="20"/>
          <w:szCs w:val="20"/>
        </w:rPr>
      </w:pPr>
      <w:r>
        <w:rPr>
          <w:sz w:val="20"/>
          <w:szCs w:val="20"/>
        </w:rPr>
        <w:t>Edina določba o razveljavitvi.</w:t>
      </w:r>
      <w:r>
        <w:rPr>
          <w:sz w:val="20"/>
          <w:szCs w:val="20"/>
        </w:rPr>
        <w:t> </w:t>
      </w:r>
      <w:r>
        <w:rPr>
          <w:i/>
          <w:iCs/>
          <w:sz w:val="20"/>
          <w:szCs w:val="20"/>
        </w:rPr>
        <w:t>Standardna razveljavitev</w:t>
      </w:r>
    </w:p>
    <w:p w:rsidR="001B208E" w:rsidRDefault="001B208E" w:rsidP="007D7D7B">
      <w:pPr>
        <w:pStyle w:val="Default"/>
        <w:widowControl/>
        <w:spacing w:before="120" w:after="120"/>
        <w:ind w:firstLine="720"/>
        <w:rPr>
          <w:sz w:val="20"/>
          <w:szCs w:val="20"/>
        </w:rPr>
      </w:pPr>
      <w:r>
        <w:rPr>
          <w:sz w:val="20"/>
          <w:szCs w:val="20"/>
        </w:rPr>
        <w:t>Razveljavijo se vse tiste določbe, ki nasprotujejo določbam te kraljeve uredbe ali so z njimi nezdružljive.</w:t>
      </w:r>
    </w:p>
    <w:p w:rsidR="001B208E" w:rsidRDefault="001B208E" w:rsidP="007D7D7B">
      <w:pPr>
        <w:pStyle w:val="Default"/>
        <w:keepNext/>
        <w:keepLines/>
        <w:widowControl/>
        <w:spacing w:before="120" w:after="120"/>
        <w:ind w:firstLine="720"/>
        <w:rPr>
          <w:sz w:val="20"/>
          <w:szCs w:val="20"/>
        </w:rPr>
      </w:pPr>
      <w:r>
        <w:rPr>
          <w:sz w:val="20"/>
          <w:szCs w:val="20"/>
        </w:rPr>
        <w:t>Prva končna določba.</w:t>
      </w:r>
      <w:r>
        <w:rPr>
          <w:sz w:val="20"/>
          <w:szCs w:val="20"/>
        </w:rPr>
        <w:t> </w:t>
      </w:r>
      <w:r>
        <w:rPr>
          <w:i/>
          <w:iCs/>
          <w:sz w:val="20"/>
          <w:szCs w:val="20"/>
        </w:rPr>
        <w:t>Pristojnost</w:t>
      </w:r>
    </w:p>
    <w:p w:rsidR="001B208E" w:rsidRDefault="001B208E" w:rsidP="007D7D7B">
      <w:pPr>
        <w:pStyle w:val="Default"/>
        <w:widowControl/>
        <w:spacing w:before="120" w:after="120"/>
        <w:ind w:firstLine="720"/>
        <w:rPr>
          <w:sz w:val="20"/>
          <w:szCs w:val="20"/>
        </w:rPr>
      </w:pPr>
      <w:r>
        <w:rPr>
          <w:sz w:val="20"/>
          <w:szCs w:val="20"/>
        </w:rPr>
        <w:t>Ta kraljeva uredba je osnovna in se opira na določbe člena 149(1)(13) in (23) Ustave, ki državi podeljuje izključno pristojnost na področju osnov in usklajevanja splošnega načrtovanja gospodarske dejavnosti oziroma na področju osnovne zakonodaje o zaščiti okolja.</w:t>
      </w:r>
    </w:p>
    <w:p w:rsidR="001B208E" w:rsidRDefault="001B208E" w:rsidP="007D7D7B">
      <w:pPr>
        <w:pStyle w:val="Default"/>
        <w:keepNext/>
        <w:keepLines/>
        <w:widowControl/>
        <w:spacing w:before="120" w:after="120"/>
        <w:ind w:firstLine="720"/>
        <w:rPr>
          <w:sz w:val="20"/>
          <w:szCs w:val="20"/>
        </w:rPr>
      </w:pPr>
      <w:r>
        <w:rPr>
          <w:sz w:val="20"/>
          <w:szCs w:val="20"/>
        </w:rPr>
        <w:t>Druga končna določba.</w:t>
      </w:r>
      <w:r>
        <w:rPr>
          <w:sz w:val="20"/>
          <w:szCs w:val="20"/>
        </w:rPr>
        <w:t> </w:t>
      </w:r>
      <w:r>
        <w:rPr>
          <w:i/>
          <w:iCs/>
          <w:sz w:val="20"/>
          <w:szCs w:val="20"/>
        </w:rPr>
        <w:t>Vključitev prava Evropske unije</w:t>
      </w:r>
    </w:p>
    <w:p w:rsidR="001B208E" w:rsidRDefault="001B208E" w:rsidP="007D7D7B">
      <w:pPr>
        <w:pStyle w:val="Default"/>
        <w:widowControl/>
        <w:spacing w:before="120" w:after="120"/>
        <w:ind w:firstLine="720"/>
        <w:rPr>
          <w:sz w:val="20"/>
          <w:szCs w:val="20"/>
        </w:rPr>
      </w:pPr>
      <w:r>
        <w:rPr>
          <w:sz w:val="20"/>
          <w:szCs w:val="20"/>
        </w:rPr>
        <w:t>S to uredbo se v španski pravni red prenese Direktiva (EU) 2015/720 Evropskega parlamenta in Sveta z dne 29. aprila 2015 o spremembi Direktive 94/62/ES glede zmanjšanja potrošnje lahkih plastičnih nosilnih vrečk.</w:t>
      </w:r>
    </w:p>
    <w:p w:rsidR="001B208E" w:rsidRDefault="001B208E" w:rsidP="007D7D7B">
      <w:pPr>
        <w:pStyle w:val="Default"/>
        <w:keepNext/>
        <w:keepLines/>
        <w:widowControl/>
        <w:spacing w:before="120" w:after="120"/>
        <w:ind w:firstLine="720"/>
        <w:rPr>
          <w:sz w:val="20"/>
          <w:szCs w:val="20"/>
        </w:rPr>
      </w:pPr>
      <w:r>
        <w:rPr>
          <w:sz w:val="20"/>
          <w:szCs w:val="20"/>
        </w:rPr>
        <w:lastRenderedPageBreak/>
        <w:t>Tretja končna določba.</w:t>
      </w:r>
      <w:r>
        <w:rPr>
          <w:sz w:val="20"/>
          <w:szCs w:val="20"/>
        </w:rPr>
        <w:t> </w:t>
      </w:r>
      <w:r>
        <w:rPr>
          <w:i/>
          <w:iCs/>
          <w:sz w:val="20"/>
          <w:szCs w:val="20"/>
        </w:rPr>
        <w:t>Pooblastilo za izvedbo</w:t>
      </w:r>
    </w:p>
    <w:p w:rsidR="001B208E" w:rsidRDefault="001B208E" w:rsidP="007D7D7B">
      <w:pPr>
        <w:pStyle w:val="Default"/>
        <w:widowControl/>
        <w:spacing w:before="120" w:after="120"/>
        <w:ind w:firstLine="720"/>
        <w:rPr>
          <w:sz w:val="20"/>
          <w:szCs w:val="20"/>
        </w:rPr>
      </w:pPr>
      <w:r>
        <w:rPr>
          <w:sz w:val="20"/>
          <w:szCs w:val="20"/>
        </w:rPr>
        <w:t>Osebo z Ministrstva za kmetijstvo in ribolov, prehrano in okolje se pooblasti, da v okviru svojih pristojnosti pripravi določbe, potrebne za izvajanje in uporabo določb iz te kraljeve uredbe, in zlasti da prilagodi priloge določbam in spremembam, ki jih določajo mednarodni predpisi in pravo Evropske unije ter, če je primerno, zaključkom poročil iz prve dodatne določbe.</w:t>
      </w:r>
    </w:p>
    <w:p w:rsidR="001B208E" w:rsidRDefault="001B208E" w:rsidP="007D7D7B">
      <w:pPr>
        <w:pStyle w:val="Default"/>
        <w:keepNext/>
        <w:keepLines/>
        <w:widowControl/>
        <w:spacing w:before="120" w:after="120"/>
        <w:ind w:firstLine="720"/>
        <w:rPr>
          <w:sz w:val="20"/>
          <w:szCs w:val="20"/>
        </w:rPr>
      </w:pPr>
      <w:r>
        <w:rPr>
          <w:sz w:val="20"/>
          <w:szCs w:val="20"/>
        </w:rPr>
        <w:t>Četrta končna določba</w:t>
      </w:r>
      <w:r>
        <w:rPr>
          <w:sz w:val="20"/>
          <w:szCs w:val="20"/>
        </w:rPr>
        <w:t> </w:t>
      </w:r>
      <w:r>
        <w:rPr>
          <w:i/>
          <w:iCs/>
          <w:sz w:val="20"/>
          <w:szCs w:val="20"/>
        </w:rPr>
        <w:t>Začetek veljavnosti</w:t>
      </w:r>
    </w:p>
    <w:p w:rsidR="001B208E" w:rsidRDefault="001B208E" w:rsidP="007D7D7B">
      <w:pPr>
        <w:pStyle w:val="Default"/>
        <w:widowControl/>
        <w:spacing w:before="120" w:after="120"/>
        <w:ind w:firstLine="720"/>
        <w:rPr>
          <w:sz w:val="20"/>
          <w:szCs w:val="20"/>
        </w:rPr>
      </w:pPr>
      <w:r>
        <w:rPr>
          <w:sz w:val="20"/>
          <w:szCs w:val="20"/>
        </w:rPr>
        <w:t>Ta kraljevi odlok začne veljati dan po njegovi objavi v „Državnem uradnem listu“.</w:t>
      </w:r>
    </w:p>
    <w:p w:rsidR="001B208E" w:rsidRDefault="001B208E" w:rsidP="007D7D7B">
      <w:pPr>
        <w:pStyle w:val="Default"/>
        <w:widowControl/>
        <w:spacing w:before="120" w:after="120"/>
        <w:ind w:firstLine="720"/>
        <w:rPr>
          <w:sz w:val="20"/>
          <w:szCs w:val="20"/>
        </w:rPr>
      </w:pPr>
      <w:r>
        <w:rPr>
          <w:sz w:val="20"/>
          <w:szCs w:val="20"/>
        </w:rPr>
        <w:t>V Madridu, 18. maja 2018.</w:t>
      </w:r>
    </w:p>
    <w:p w:rsidR="001B208E" w:rsidRDefault="001B208E" w:rsidP="007D7D7B">
      <w:pPr>
        <w:pStyle w:val="Default"/>
        <w:widowControl/>
        <w:spacing w:before="120" w:after="120"/>
        <w:ind w:firstLine="720"/>
        <w:jc w:val="right"/>
        <w:rPr>
          <w:sz w:val="20"/>
          <w:szCs w:val="20"/>
        </w:rPr>
      </w:pPr>
      <w:r>
        <w:rPr>
          <w:sz w:val="20"/>
          <w:szCs w:val="20"/>
        </w:rPr>
        <w:t>FELIPE R.</w:t>
      </w:r>
    </w:p>
    <w:p w:rsidR="001B208E" w:rsidRDefault="001B208E" w:rsidP="007D7D7B">
      <w:pPr>
        <w:pStyle w:val="Pa1"/>
        <w:widowControl/>
        <w:spacing w:before="120" w:after="120" w:line="240" w:lineRule="auto"/>
        <w:jc w:val="center"/>
        <w:rPr>
          <w:color w:val="000000"/>
          <w:sz w:val="16"/>
          <w:szCs w:val="16"/>
        </w:rPr>
      </w:pPr>
      <w:r>
        <w:rPr>
          <w:color w:val="000000"/>
          <w:sz w:val="16"/>
          <w:szCs w:val="16"/>
        </w:rPr>
        <w:t>Ministrica za kmetijstvo in ribolov, prehrano in okolje,</w:t>
      </w:r>
    </w:p>
    <w:p w:rsidR="001B208E" w:rsidRDefault="001B208E" w:rsidP="007D7D7B">
      <w:pPr>
        <w:pStyle w:val="Pa1"/>
        <w:widowControl/>
        <w:spacing w:before="120" w:after="120" w:line="240" w:lineRule="auto"/>
        <w:jc w:val="center"/>
        <w:rPr>
          <w:color w:val="000000"/>
          <w:sz w:val="16"/>
          <w:szCs w:val="16"/>
        </w:rPr>
      </w:pPr>
      <w:r>
        <w:rPr>
          <w:color w:val="000000"/>
          <w:sz w:val="16"/>
          <w:szCs w:val="16"/>
        </w:rPr>
        <w:t>ISABEL GARCÍA TEJERINA</w:t>
      </w:r>
    </w:p>
    <w:p w:rsidR="001B208E" w:rsidRDefault="001B208E" w:rsidP="007D7D7B">
      <w:pPr>
        <w:pStyle w:val="Pa1"/>
        <w:keepNext/>
        <w:keepLines/>
        <w:widowControl/>
        <w:spacing w:before="120" w:after="120" w:line="240" w:lineRule="auto"/>
        <w:jc w:val="center"/>
        <w:rPr>
          <w:color w:val="000000"/>
          <w:sz w:val="20"/>
          <w:szCs w:val="20"/>
        </w:rPr>
      </w:pPr>
      <w:r>
        <w:rPr>
          <w:b/>
          <w:bCs/>
          <w:color w:val="000000"/>
          <w:sz w:val="20"/>
          <w:szCs w:val="20"/>
        </w:rPr>
        <w:t>PRILOGA I</w:t>
      </w:r>
    </w:p>
    <w:p w:rsidR="001B208E" w:rsidRDefault="001B208E" w:rsidP="007D7D7B">
      <w:pPr>
        <w:pStyle w:val="Pa1"/>
        <w:keepNext/>
        <w:keepLines/>
        <w:widowControl/>
        <w:spacing w:before="120" w:after="120" w:line="240" w:lineRule="auto"/>
        <w:jc w:val="center"/>
        <w:rPr>
          <w:color w:val="000000"/>
          <w:sz w:val="20"/>
          <w:szCs w:val="20"/>
        </w:rPr>
      </w:pPr>
      <w:r>
        <w:rPr>
          <w:b/>
          <w:bCs/>
          <w:color w:val="000000"/>
          <w:sz w:val="20"/>
          <w:szCs w:val="20"/>
        </w:rPr>
        <w:t>Okvirne cene plastičnih nosilnih vrečk</w:t>
      </w:r>
    </w:p>
    <w:p w:rsidR="001B208E" w:rsidRDefault="001B208E" w:rsidP="007D7D7B">
      <w:pPr>
        <w:pStyle w:val="Pa1"/>
        <w:keepNext/>
        <w:keepLines/>
        <w:widowControl/>
        <w:spacing w:before="120" w:after="120" w:line="240" w:lineRule="auto"/>
        <w:jc w:val="center"/>
        <w:rPr>
          <w:color w:val="000000"/>
          <w:sz w:val="20"/>
          <w:szCs w:val="20"/>
        </w:rPr>
      </w:pPr>
      <w:r>
        <w:rPr>
          <w:i/>
          <w:iCs/>
          <w:color w:val="000000"/>
          <w:sz w:val="20"/>
          <w:szCs w:val="20"/>
        </w:rPr>
        <w:t>Okvirne cene plastičnih nosilnih vrečk glede na debelino njihove stene</w:t>
      </w:r>
    </w:p>
    <w:p w:rsidR="001B208E" w:rsidRDefault="001B208E" w:rsidP="007D7D7B">
      <w:pPr>
        <w:pStyle w:val="Default"/>
        <w:widowControl/>
        <w:spacing w:before="120" w:after="120"/>
        <w:ind w:firstLine="720"/>
        <w:rPr>
          <w:sz w:val="20"/>
          <w:szCs w:val="20"/>
        </w:rPr>
      </w:pPr>
      <w:r>
        <w:rPr>
          <w:sz w:val="20"/>
          <w:szCs w:val="20"/>
        </w:rPr>
        <w:t>Vrečke z debelino stene manj kot 15 mikronov, namenjene uporabi, ki ne sodi v opredelitev zelo lahkih plastičnih nosilnih vrečk iz člena 3(d): 0,05 EUR/vrečko.</w:t>
      </w:r>
    </w:p>
    <w:p w:rsidR="001B208E" w:rsidRDefault="001B208E" w:rsidP="007D7D7B">
      <w:pPr>
        <w:pStyle w:val="Default"/>
        <w:widowControl/>
        <w:spacing w:before="120" w:after="120"/>
        <w:ind w:firstLine="720"/>
        <w:rPr>
          <w:sz w:val="20"/>
          <w:szCs w:val="20"/>
        </w:rPr>
      </w:pPr>
      <w:r>
        <w:rPr>
          <w:sz w:val="20"/>
          <w:szCs w:val="20"/>
        </w:rPr>
        <w:t>Vrečke z debelino stene med 15 in 49 mikronov: 0,15 EUR/vrečko.</w:t>
      </w:r>
    </w:p>
    <w:p w:rsidR="001B208E" w:rsidRDefault="001B208E" w:rsidP="007D7D7B">
      <w:pPr>
        <w:pStyle w:val="Default"/>
        <w:widowControl/>
        <w:spacing w:before="120" w:after="120"/>
        <w:ind w:firstLine="720"/>
        <w:rPr>
          <w:sz w:val="20"/>
          <w:szCs w:val="20"/>
        </w:rPr>
      </w:pPr>
      <w:r>
        <w:rPr>
          <w:sz w:val="20"/>
          <w:szCs w:val="20"/>
        </w:rPr>
        <w:t>Vrečke z debelino stene 50 mikronov ali več: 0,15 EUR/vrečko.</w:t>
      </w:r>
    </w:p>
    <w:p w:rsidR="001B208E" w:rsidRDefault="001B208E" w:rsidP="007D7D7B">
      <w:pPr>
        <w:pStyle w:val="Default"/>
        <w:widowControl/>
        <w:spacing w:before="120" w:after="120"/>
        <w:ind w:firstLine="720"/>
        <w:rPr>
          <w:sz w:val="20"/>
          <w:szCs w:val="20"/>
        </w:rPr>
      </w:pPr>
      <w:r>
        <w:rPr>
          <w:sz w:val="20"/>
          <w:szCs w:val="20"/>
        </w:rPr>
        <w:t>Vrečke z debelino stene 50 mikronov ali več in vsebnostjo reciklirane plastike vsaj 50 %, ampak manj kot 70 %. 0,10 EUR/vrečko.</w:t>
      </w:r>
    </w:p>
    <w:p w:rsidR="001B208E" w:rsidRDefault="001B208E" w:rsidP="007D7D7B">
      <w:pPr>
        <w:pStyle w:val="Pa1"/>
        <w:keepNext/>
        <w:keepLines/>
        <w:widowControl/>
        <w:spacing w:before="120" w:after="120" w:line="240" w:lineRule="auto"/>
        <w:jc w:val="center"/>
        <w:rPr>
          <w:color w:val="000000"/>
          <w:sz w:val="20"/>
          <w:szCs w:val="20"/>
        </w:rPr>
      </w:pPr>
      <w:r>
        <w:rPr>
          <w:b/>
          <w:bCs/>
          <w:color w:val="000000"/>
          <w:sz w:val="20"/>
          <w:szCs w:val="20"/>
        </w:rPr>
        <w:t>PRILOGA II</w:t>
      </w:r>
    </w:p>
    <w:p w:rsidR="001B208E" w:rsidRDefault="001B208E" w:rsidP="007D7D7B">
      <w:pPr>
        <w:pStyle w:val="Pa1"/>
        <w:keepNext/>
        <w:keepLines/>
        <w:widowControl/>
        <w:spacing w:before="120" w:after="120" w:line="240" w:lineRule="auto"/>
        <w:jc w:val="center"/>
        <w:rPr>
          <w:color w:val="000000"/>
          <w:sz w:val="20"/>
          <w:szCs w:val="20"/>
        </w:rPr>
      </w:pPr>
      <w:r>
        <w:rPr>
          <w:b/>
          <w:bCs/>
          <w:color w:val="000000"/>
          <w:sz w:val="20"/>
          <w:szCs w:val="20"/>
        </w:rPr>
        <w:t>Vpis in letne informacije, ki se posredujejo v Register proizvajalcev proizvodov v zvezi s plastičnimi nosilnimi vrečkami</w:t>
      </w:r>
    </w:p>
    <w:p w:rsidR="001B208E" w:rsidRDefault="001B208E" w:rsidP="007D7D7B">
      <w:pPr>
        <w:pStyle w:val="Default"/>
        <w:widowControl/>
        <w:spacing w:before="120" w:after="120"/>
        <w:ind w:firstLine="720"/>
        <w:rPr>
          <w:sz w:val="20"/>
          <w:szCs w:val="20"/>
        </w:rPr>
      </w:pPr>
      <w:r>
        <w:rPr>
          <w:sz w:val="20"/>
          <w:szCs w:val="20"/>
        </w:rPr>
        <w:t>1.</w:t>
      </w:r>
      <w:r>
        <w:rPr>
          <w:sz w:val="20"/>
          <w:szCs w:val="20"/>
        </w:rPr>
        <w:t> </w:t>
      </w:r>
      <w:r>
        <w:rPr>
          <w:sz w:val="20"/>
          <w:szCs w:val="20"/>
        </w:rPr>
        <w:t>Informacije za vpis v register proizvajalcev proizvodov.</w:t>
      </w:r>
    </w:p>
    <w:p w:rsidR="001B208E" w:rsidRDefault="001B208E" w:rsidP="007D7D7B">
      <w:pPr>
        <w:pStyle w:val="Default"/>
        <w:widowControl/>
        <w:spacing w:before="120" w:after="120"/>
        <w:ind w:firstLine="720"/>
        <w:rPr>
          <w:sz w:val="20"/>
          <w:szCs w:val="20"/>
        </w:rPr>
      </w:pPr>
      <w:r>
        <w:rPr>
          <w:sz w:val="20"/>
          <w:szCs w:val="20"/>
        </w:rPr>
        <w:t>Proizvajalci plastičnih nosilnih vrečk morajo ob vpisu v register posredovati in posodobiti naslednje informacije:</w:t>
      </w:r>
    </w:p>
    <w:p w:rsidR="001B208E" w:rsidRDefault="001B208E" w:rsidP="007D7D7B">
      <w:pPr>
        <w:pStyle w:val="Default"/>
        <w:widowControl/>
        <w:spacing w:before="120" w:after="120"/>
        <w:ind w:firstLine="720"/>
        <w:rPr>
          <w:sz w:val="20"/>
          <w:szCs w:val="20"/>
        </w:rPr>
      </w:pPr>
      <w:r>
        <w:rPr>
          <w:sz w:val="20"/>
          <w:szCs w:val="20"/>
        </w:rPr>
        <w:t>a) ime in naslov proizvajalca ali njegovega pooblaščenega zastopnika, vključno s poštno številko, krajem, ulico in hišno številko, državo, telefonsko številko, številko faksa, naslovom e-pošte in kontaktno osebo. Če gre za pooblaščenega zastopnika, se posredujejo tudi kontaktni podatki proizvajalca, ki ga zastopa;</w:t>
      </w:r>
    </w:p>
    <w:p w:rsidR="001B208E" w:rsidRDefault="001B208E" w:rsidP="007D7D7B">
      <w:pPr>
        <w:pStyle w:val="Default"/>
        <w:widowControl/>
        <w:spacing w:before="120" w:after="120"/>
        <w:ind w:firstLine="720"/>
        <w:rPr>
          <w:sz w:val="20"/>
          <w:szCs w:val="20"/>
        </w:rPr>
      </w:pPr>
      <w:r>
        <w:rPr>
          <w:sz w:val="20"/>
          <w:szCs w:val="20"/>
        </w:rPr>
        <w:t>b) evropsko identifikacijsko davčno številko ali nacionalno identifikacijsko davčno številko;</w:t>
      </w:r>
    </w:p>
    <w:p w:rsidR="001B208E" w:rsidRDefault="001B208E" w:rsidP="007D7D7B">
      <w:pPr>
        <w:pStyle w:val="Default"/>
        <w:widowControl/>
        <w:spacing w:before="120" w:after="120"/>
        <w:ind w:firstLine="720"/>
        <w:rPr>
          <w:sz w:val="20"/>
          <w:szCs w:val="20"/>
        </w:rPr>
      </w:pPr>
      <w:r>
        <w:rPr>
          <w:sz w:val="20"/>
          <w:szCs w:val="20"/>
        </w:rPr>
        <w:t>c) izjavo o resničnosti posredovanih informacij.</w:t>
      </w:r>
    </w:p>
    <w:p w:rsidR="001B208E" w:rsidRDefault="001B208E" w:rsidP="007D7D7B">
      <w:pPr>
        <w:pStyle w:val="Default"/>
        <w:widowControl/>
        <w:spacing w:before="120" w:after="120"/>
        <w:ind w:firstLine="720"/>
        <w:rPr>
          <w:sz w:val="20"/>
          <w:szCs w:val="20"/>
        </w:rPr>
      </w:pPr>
      <w:r>
        <w:rPr>
          <w:sz w:val="20"/>
          <w:szCs w:val="20"/>
        </w:rPr>
        <w:t>2.</w:t>
      </w:r>
      <w:r>
        <w:rPr>
          <w:sz w:val="20"/>
          <w:szCs w:val="20"/>
        </w:rPr>
        <w:t> </w:t>
      </w:r>
      <w:r>
        <w:rPr>
          <w:sz w:val="20"/>
          <w:szCs w:val="20"/>
        </w:rPr>
        <w:t>Letne informacije o plastičnih nosilnih vrečkah, danih na nacionalni trg, ki jih morajo posredovati proizvajalci</w:t>
      </w:r>
    </w:p>
    <w:tbl>
      <w:tblPr>
        <w:tblW w:w="5000" w:type="pct"/>
        <w:tblCellMar>
          <w:left w:w="29" w:type="dxa"/>
          <w:right w:w="29" w:type="dxa"/>
        </w:tblCellMar>
        <w:tblLook w:val="0000" w:firstRow="0" w:lastRow="0" w:firstColumn="0" w:lastColumn="0" w:noHBand="0" w:noVBand="0"/>
      </w:tblPr>
      <w:tblGrid>
        <w:gridCol w:w="841"/>
        <w:gridCol w:w="635"/>
        <w:gridCol w:w="770"/>
        <w:gridCol w:w="635"/>
        <w:gridCol w:w="788"/>
        <w:gridCol w:w="627"/>
        <w:gridCol w:w="770"/>
        <w:gridCol w:w="627"/>
        <w:gridCol w:w="788"/>
        <w:gridCol w:w="707"/>
        <w:gridCol w:w="770"/>
        <w:gridCol w:w="707"/>
        <w:gridCol w:w="688"/>
        <w:gridCol w:w="770"/>
        <w:gridCol w:w="688"/>
      </w:tblGrid>
      <w:tr w:rsidR="007D7D7B" w:rsidRPr="007D7D7B" w:rsidTr="00700587">
        <w:trPr>
          <w:cantSplit/>
        </w:trPr>
        <w:tc>
          <w:tcPr>
            <w:tcW w:w="365" w:type="pct"/>
            <w:vMerge w:val="restar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Debelina</w:t>
            </w:r>
          </w:p>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(mikronov)</w:t>
            </w:r>
          </w:p>
        </w:tc>
        <w:tc>
          <w:tcPr>
            <w:tcW w:w="1279" w:type="pct"/>
            <w:gridSpan w:val="4"/>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Nosilne vrečke iz polietilenske plastike z visoko gostoto</w:t>
            </w:r>
          </w:p>
        </w:tc>
        <w:tc>
          <w:tcPr>
            <w:tcW w:w="1264" w:type="pct"/>
            <w:gridSpan w:val="4"/>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Nosilne vrečke iz polietilenske plastike z nizko gostoto</w:t>
            </w:r>
          </w:p>
        </w:tc>
        <w:tc>
          <w:tcPr>
            <w:tcW w:w="1059" w:type="pct"/>
            <w:gridSpan w:val="3"/>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Plastične nosilne vrečke, primerne za kompostiranje</w:t>
            </w:r>
          </w:p>
        </w:tc>
        <w:tc>
          <w:tcPr>
            <w:tcW w:w="1032" w:type="pct"/>
            <w:gridSpan w:val="3"/>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Nosilne vrečke iz druge vrste plastike</w:t>
            </w:r>
          </w:p>
        </w:tc>
      </w:tr>
      <w:tr w:rsidR="007D7D7B" w:rsidRPr="007D7D7B" w:rsidTr="00700587">
        <w:trPr>
          <w:cantSplit/>
        </w:trPr>
        <w:tc>
          <w:tcPr>
            <w:tcW w:w="365" w:type="pct"/>
            <w:vMerge/>
          </w:tcPr>
          <w:p w:rsidR="007D7D7B" w:rsidRPr="007D7D7B" w:rsidRDefault="007D7D7B" w:rsidP="00F84860">
            <w:pPr>
              <w:pStyle w:val="Default"/>
              <w:keepNext/>
              <w:keepLines/>
              <w:widowControl/>
              <w:rPr>
                <w:color w:val="auto"/>
                <w:sz w:val="16"/>
                <w:szCs w:val="16"/>
              </w:rPr>
            </w:pP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Število enot</w:t>
            </w: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Masa enote (g/vrečko)</w:t>
            </w: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Masa (tone)</w:t>
            </w: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Vsebnost reciklirane plastike (%)</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Število enot</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Masa enote (g/vrečko)</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Masa (tone)</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Vsebnost reciklirane plastike (%)</w:t>
            </w:r>
          </w:p>
        </w:tc>
        <w:tc>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Število enot</w:t>
            </w:r>
          </w:p>
        </w:tc>
        <w:tc>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Masa enote (g/vrečko)</w:t>
            </w:r>
          </w:p>
        </w:tc>
        <w:tc>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Masa (tone)</w:t>
            </w:r>
          </w:p>
        </w:tc>
        <w:tc>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Število enot</w:t>
            </w:r>
          </w:p>
        </w:tc>
        <w:tc>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Masa enote (g/vrečko)</w:t>
            </w:r>
          </w:p>
        </w:tc>
        <w:tc>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Masa (tone)</w:t>
            </w: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szCs w:val="16"/>
              </w:rPr>
              <w:t>Manj kot 15 in brezplačna distribucija</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szCs w:val="16"/>
              </w:rPr>
              <w:t>Manj kot 15 in plačljiva distribucija</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szCs w:val="16"/>
              </w:rPr>
              <w:lastRenderedPageBreak/>
              <w:t>Od 15 do 49</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szCs w:val="16"/>
              </w:rPr>
              <w:t>50 ali več</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bl>
    <w:p w:rsidR="007D7D7B" w:rsidRDefault="007D7D7B" w:rsidP="007D7D7B">
      <w:pPr>
        <w:pStyle w:val="Default"/>
        <w:widowControl/>
        <w:spacing w:before="120" w:after="120"/>
        <w:ind w:firstLine="720"/>
        <w:rPr>
          <w:sz w:val="20"/>
          <w:szCs w:val="20"/>
        </w:rPr>
      </w:pPr>
    </w:p>
    <w:sectPr w:rsidR="007D7D7B" w:rsidSect="007D7D7B">
      <w:pgSz w:w="11905" w:h="17337"/>
      <w:pgMar w:top="1008" w:right="576" w:bottom="1008" w:left="5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96D" w:rsidRDefault="003B096D" w:rsidP="00751786">
      <w:pPr>
        <w:spacing w:after="0" w:line="240" w:lineRule="auto"/>
      </w:pPr>
      <w:r>
        <w:separator/>
      </w:r>
    </w:p>
  </w:endnote>
  <w:endnote w:type="continuationSeparator" w:id="0">
    <w:p w:rsidR="003B096D" w:rsidRDefault="003B096D" w:rsidP="0075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96D" w:rsidRDefault="003B096D" w:rsidP="00751786">
      <w:pPr>
        <w:spacing w:after="0" w:line="240" w:lineRule="auto"/>
      </w:pPr>
      <w:r>
        <w:separator/>
      </w:r>
    </w:p>
  </w:footnote>
  <w:footnote w:type="continuationSeparator" w:id="0">
    <w:p w:rsidR="003B096D" w:rsidRDefault="003B096D" w:rsidP="007517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AFB"/>
    <w:rsid w:val="000910DF"/>
    <w:rsid w:val="00095C3A"/>
    <w:rsid w:val="00147EEC"/>
    <w:rsid w:val="00197636"/>
    <w:rsid w:val="001B208E"/>
    <w:rsid w:val="003B096D"/>
    <w:rsid w:val="003C24A4"/>
    <w:rsid w:val="00651F5D"/>
    <w:rsid w:val="00694AFB"/>
    <w:rsid w:val="00700587"/>
    <w:rsid w:val="00751786"/>
    <w:rsid w:val="007D2CBC"/>
    <w:rsid w:val="007D7D7B"/>
    <w:rsid w:val="008E1C8A"/>
    <w:rsid w:val="00C1192B"/>
    <w:rsid w:val="00E22FFA"/>
    <w:rsid w:val="00F848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sl-SI"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lang w:eastAsia="es-ES"/>
    </w:rPr>
  </w:style>
  <w:style w:type="paragraph" w:customStyle="1" w:styleId="Pa3">
    <w:name w:val="Pa3"/>
    <w:basedOn w:val="Default"/>
    <w:next w:val="Default"/>
    <w:uiPriority w:val="99"/>
    <w:pPr>
      <w:spacing w:line="361" w:lineRule="atLeast"/>
    </w:pPr>
    <w:rPr>
      <w:color w:val="auto"/>
    </w:rPr>
  </w:style>
  <w:style w:type="paragraph" w:customStyle="1" w:styleId="Pa0">
    <w:name w:val="Pa0"/>
    <w:basedOn w:val="Default"/>
    <w:next w:val="Default"/>
    <w:uiPriority w:val="99"/>
    <w:pPr>
      <w:spacing w:line="401" w:lineRule="atLeast"/>
    </w:pPr>
    <w:rPr>
      <w:color w:val="auto"/>
    </w:rPr>
  </w:style>
  <w:style w:type="paragraph" w:customStyle="1" w:styleId="Pa1">
    <w:name w:val="Pa1"/>
    <w:basedOn w:val="Default"/>
    <w:next w:val="Default"/>
    <w:uiPriority w:val="99"/>
    <w:pPr>
      <w:spacing w:line="201" w:lineRule="atLeast"/>
    </w:pPr>
    <w:rPr>
      <w:color w:val="auto"/>
    </w:rPr>
  </w:style>
  <w:style w:type="paragraph" w:customStyle="1" w:styleId="Pa9">
    <w:name w:val="Pa9"/>
    <w:basedOn w:val="Default"/>
    <w:next w:val="Default"/>
    <w:uiPriority w:val="99"/>
    <w:pPr>
      <w:spacing w:line="141" w:lineRule="atLeast"/>
    </w:pPr>
    <w:rPr>
      <w:color w:val="auto"/>
    </w:rPr>
  </w:style>
  <w:style w:type="character" w:customStyle="1" w:styleId="A6">
    <w:name w:val="A6"/>
    <w:uiPriority w:val="99"/>
    <w:rPr>
      <w:b/>
      <w:color w:val="FFFFFF"/>
      <w:sz w:val="16"/>
    </w:rPr>
  </w:style>
  <w:style w:type="paragraph" w:customStyle="1" w:styleId="Pa6">
    <w:name w:val="Pa6"/>
    <w:basedOn w:val="Default"/>
    <w:next w:val="Default"/>
    <w:uiPriority w:val="99"/>
    <w:pPr>
      <w:spacing w:line="201" w:lineRule="atLeast"/>
    </w:pPr>
    <w:rPr>
      <w:color w:val="auto"/>
    </w:rPr>
  </w:style>
  <w:style w:type="paragraph" w:customStyle="1" w:styleId="Pa7">
    <w:name w:val="Pa7"/>
    <w:basedOn w:val="Default"/>
    <w:next w:val="Default"/>
    <w:uiPriority w:val="99"/>
    <w:pPr>
      <w:spacing w:line="201" w:lineRule="atLeast"/>
    </w:pPr>
    <w:rPr>
      <w:color w:val="auto"/>
    </w:rPr>
  </w:style>
  <w:style w:type="paragraph" w:customStyle="1" w:styleId="Pa8">
    <w:name w:val="Pa8"/>
    <w:basedOn w:val="Default"/>
    <w:next w:val="Default"/>
    <w:uiPriority w:val="99"/>
    <w:pPr>
      <w:spacing w:line="201" w:lineRule="atLeast"/>
    </w:pPr>
    <w:rPr>
      <w:color w:val="auto"/>
    </w:rPr>
  </w:style>
  <w:style w:type="paragraph" w:customStyle="1" w:styleId="Pa10">
    <w:name w:val="Pa10"/>
    <w:basedOn w:val="Default"/>
    <w:next w:val="Default"/>
    <w:uiPriority w:val="99"/>
    <w:pPr>
      <w:spacing w:line="201" w:lineRule="atLeast"/>
    </w:pPr>
    <w:rPr>
      <w:color w:val="auto"/>
    </w:rPr>
  </w:style>
  <w:style w:type="paragraph" w:customStyle="1" w:styleId="Pa11">
    <w:name w:val="Pa11"/>
    <w:basedOn w:val="Default"/>
    <w:next w:val="Default"/>
    <w:uiPriority w:val="99"/>
    <w:pPr>
      <w:spacing w:line="201" w:lineRule="atLeast"/>
    </w:pPr>
    <w:rPr>
      <w:color w:val="auto"/>
    </w:rPr>
  </w:style>
  <w:style w:type="paragraph" w:customStyle="1" w:styleId="Pa14">
    <w:name w:val="Pa14"/>
    <w:basedOn w:val="Default"/>
    <w:next w:val="Default"/>
    <w:uiPriority w:val="99"/>
    <w:pPr>
      <w:spacing w:line="161" w:lineRule="atLeast"/>
    </w:pPr>
    <w:rPr>
      <w:color w:val="auto"/>
    </w:rPr>
  </w:style>
  <w:style w:type="paragraph" w:customStyle="1" w:styleId="Pa16">
    <w:name w:val="Pa16"/>
    <w:basedOn w:val="Default"/>
    <w:next w:val="Default"/>
    <w:uiPriority w:val="99"/>
    <w:pPr>
      <w:spacing w:line="161" w:lineRule="atLeast"/>
    </w:pPr>
    <w:rPr>
      <w:color w:val="auto"/>
    </w:rPr>
  </w:style>
  <w:style w:type="paragraph" w:customStyle="1" w:styleId="Pa17">
    <w:name w:val="Pa17"/>
    <w:basedOn w:val="Default"/>
    <w:next w:val="Default"/>
    <w:uiPriority w:val="99"/>
    <w:pPr>
      <w:spacing w:line="181" w:lineRule="atLeast"/>
    </w:pPr>
    <w:rPr>
      <w:color w:val="auto"/>
    </w:rPr>
  </w:style>
  <w:style w:type="paragraph" w:styleId="Header">
    <w:name w:val="header"/>
    <w:basedOn w:val="Normal"/>
    <w:link w:val="HeaderChar"/>
    <w:uiPriority w:val="99"/>
    <w:rsid w:val="0075178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51786"/>
    <w:rPr>
      <w:lang w:val="sl-SI" w:eastAsia="es-ES"/>
    </w:rPr>
  </w:style>
  <w:style w:type="paragraph" w:styleId="Footer">
    <w:name w:val="footer"/>
    <w:basedOn w:val="Normal"/>
    <w:link w:val="FooterChar"/>
    <w:uiPriority w:val="99"/>
    <w:rsid w:val="0075178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51786"/>
    <w:rPr>
      <w:lang w:val="sl-SI" w:eastAsia="es-ES"/>
    </w:rPr>
  </w:style>
  <w:style w:type="paragraph" w:styleId="PlainText">
    <w:name w:val="Plain Text"/>
    <w:basedOn w:val="Normal"/>
    <w:link w:val="PlainTextChar"/>
    <w:uiPriority w:val="99"/>
    <w:unhideWhenUsed/>
    <w:rsid w:val="007D2CBC"/>
    <w:pPr>
      <w:spacing w:after="0" w:line="240" w:lineRule="auto"/>
    </w:pPr>
    <w:rPr>
      <w:rFonts w:ascii="Consolas" w:eastAsia="Times New Roman" w:hAnsi="Consolas"/>
      <w:sz w:val="21"/>
      <w:szCs w:val="21"/>
      <w:lang w:eastAsia="en-US"/>
    </w:rPr>
  </w:style>
  <w:style w:type="character" w:customStyle="1" w:styleId="PlainTextChar">
    <w:name w:val="Plain Text Char"/>
    <w:basedOn w:val="DefaultParagraphFont"/>
    <w:link w:val="PlainText"/>
    <w:uiPriority w:val="99"/>
    <w:rsid w:val="007D2CBC"/>
    <w:rPr>
      <w:rFonts w:ascii="Consolas" w:eastAsia="Times New Roman" w:hAnsi="Consolas"/>
      <w:sz w:val="21"/>
      <w:szCs w:val="21"/>
      <w:lang w:val="sl-SI"/>
    </w:rPr>
  </w:style>
  <w:style w:type="paragraph" w:styleId="BalloonText">
    <w:name w:val="Balloon Text"/>
    <w:basedOn w:val="Normal"/>
    <w:link w:val="BalloonTextChar"/>
    <w:uiPriority w:val="99"/>
    <w:rsid w:val="00197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97636"/>
    <w:rPr>
      <w:rFonts w:ascii="Tahoma"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sl-SI"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lang w:eastAsia="es-ES"/>
    </w:rPr>
  </w:style>
  <w:style w:type="paragraph" w:customStyle="1" w:styleId="Pa3">
    <w:name w:val="Pa3"/>
    <w:basedOn w:val="Default"/>
    <w:next w:val="Default"/>
    <w:uiPriority w:val="99"/>
    <w:pPr>
      <w:spacing w:line="361" w:lineRule="atLeast"/>
    </w:pPr>
    <w:rPr>
      <w:color w:val="auto"/>
    </w:rPr>
  </w:style>
  <w:style w:type="paragraph" w:customStyle="1" w:styleId="Pa0">
    <w:name w:val="Pa0"/>
    <w:basedOn w:val="Default"/>
    <w:next w:val="Default"/>
    <w:uiPriority w:val="99"/>
    <w:pPr>
      <w:spacing w:line="401" w:lineRule="atLeast"/>
    </w:pPr>
    <w:rPr>
      <w:color w:val="auto"/>
    </w:rPr>
  </w:style>
  <w:style w:type="paragraph" w:customStyle="1" w:styleId="Pa1">
    <w:name w:val="Pa1"/>
    <w:basedOn w:val="Default"/>
    <w:next w:val="Default"/>
    <w:uiPriority w:val="99"/>
    <w:pPr>
      <w:spacing w:line="201" w:lineRule="atLeast"/>
    </w:pPr>
    <w:rPr>
      <w:color w:val="auto"/>
    </w:rPr>
  </w:style>
  <w:style w:type="paragraph" w:customStyle="1" w:styleId="Pa9">
    <w:name w:val="Pa9"/>
    <w:basedOn w:val="Default"/>
    <w:next w:val="Default"/>
    <w:uiPriority w:val="99"/>
    <w:pPr>
      <w:spacing w:line="141" w:lineRule="atLeast"/>
    </w:pPr>
    <w:rPr>
      <w:color w:val="auto"/>
    </w:rPr>
  </w:style>
  <w:style w:type="character" w:customStyle="1" w:styleId="A6">
    <w:name w:val="A6"/>
    <w:uiPriority w:val="99"/>
    <w:rPr>
      <w:b/>
      <w:color w:val="FFFFFF"/>
      <w:sz w:val="16"/>
    </w:rPr>
  </w:style>
  <w:style w:type="paragraph" w:customStyle="1" w:styleId="Pa6">
    <w:name w:val="Pa6"/>
    <w:basedOn w:val="Default"/>
    <w:next w:val="Default"/>
    <w:uiPriority w:val="99"/>
    <w:pPr>
      <w:spacing w:line="201" w:lineRule="atLeast"/>
    </w:pPr>
    <w:rPr>
      <w:color w:val="auto"/>
    </w:rPr>
  </w:style>
  <w:style w:type="paragraph" w:customStyle="1" w:styleId="Pa7">
    <w:name w:val="Pa7"/>
    <w:basedOn w:val="Default"/>
    <w:next w:val="Default"/>
    <w:uiPriority w:val="99"/>
    <w:pPr>
      <w:spacing w:line="201" w:lineRule="atLeast"/>
    </w:pPr>
    <w:rPr>
      <w:color w:val="auto"/>
    </w:rPr>
  </w:style>
  <w:style w:type="paragraph" w:customStyle="1" w:styleId="Pa8">
    <w:name w:val="Pa8"/>
    <w:basedOn w:val="Default"/>
    <w:next w:val="Default"/>
    <w:uiPriority w:val="99"/>
    <w:pPr>
      <w:spacing w:line="201" w:lineRule="atLeast"/>
    </w:pPr>
    <w:rPr>
      <w:color w:val="auto"/>
    </w:rPr>
  </w:style>
  <w:style w:type="paragraph" w:customStyle="1" w:styleId="Pa10">
    <w:name w:val="Pa10"/>
    <w:basedOn w:val="Default"/>
    <w:next w:val="Default"/>
    <w:uiPriority w:val="99"/>
    <w:pPr>
      <w:spacing w:line="201" w:lineRule="atLeast"/>
    </w:pPr>
    <w:rPr>
      <w:color w:val="auto"/>
    </w:rPr>
  </w:style>
  <w:style w:type="paragraph" w:customStyle="1" w:styleId="Pa11">
    <w:name w:val="Pa11"/>
    <w:basedOn w:val="Default"/>
    <w:next w:val="Default"/>
    <w:uiPriority w:val="99"/>
    <w:pPr>
      <w:spacing w:line="201" w:lineRule="atLeast"/>
    </w:pPr>
    <w:rPr>
      <w:color w:val="auto"/>
    </w:rPr>
  </w:style>
  <w:style w:type="paragraph" w:customStyle="1" w:styleId="Pa14">
    <w:name w:val="Pa14"/>
    <w:basedOn w:val="Default"/>
    <w:next w:val="Default"/>
    <w:uiPriority w:val="99"/>
    <w:pPr>
      <w:spacing w:line="161" w:lineRule="atLeast"/>
    </w:pPr>
    <w:rPr>
      <w:color w:val="auto"/>
    </w:rPr>
  </w:style>
  <w:style w:type="paragraph" w:customStyle="1" w:styleId="Pa16">
    <w:name w:val="Pa16"/>
    <w:basedOn w:val="Default"/>
    <w:next w:val="Default"/>
    <w:uiPriority w:val="99"/>
    <w:pPr>
      <w:spacing w:line="161" w:lineRule="atLeast"/>
    </w:pPr>
    <w:rPr>
      <w:color w:val="auto"/>
    </w:rPr>
  </w:style>
  <w:style w:type="paragraph" w:customStyle="1" w:styleId="Pa17">
    <w:name w:val="Pa17"/>
    <w:basedOn w:val="Default"/>
    <w:next w:val="Default"/>
    <w:uiPriority w:val="99"/>
    <w:pPr>
      <w:spacing w:line="181" w:lineRule="atLeast"/>
    </w:pPr>
    <w:rPr>
      <w:color w:val="auto"/>
    </w:rPr>
  </w:style>
  <w:style w:type="paragraph" w:styleId="Header">
    <w:name w:val="header"/>
    <w:basedOn w:val="Normal"/>
    <w:link w:val="HeaderChar"/>
    <w:uiPriority w:val="99"/>
    <w:rsid w:val="0075178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51786"/>
    <w:rPr>
      <w:lang w:val="sl-SI" w:eastAsia="es-ES"/>
    </w:rPr>
  </w:style>
  <w:style w:type="paragraph" w:styleId="Footer">
    <w:name w:val="footer"/>
    <w:basedOn w:val="Normal"/>
    <w:link w:val="FooterChar"/>
    <w:uiPriority w:val="99"/>
    <w:rsid w:val="0075178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51786"/>
    <w:rPr>
      <w:lang w:val="sl-SI" w:eastAsia="es-ES"/>
    </w:rPr>
  </w:style>
  <w:style w:type="paragraph" w:styleId="PlainText">
    <w:name w:val="Plain Text"/>
    <w:basedOn w:val="Normal"/>
    <w:link w:val="PlainTextChar"/>
    <w:uiPriority w:val="99"/>
    <w:unhideWhenUsed/>
    <w:rsid w:val="007D2CBC"/>
    <w:pPr>
      <w:spacing w:after="0" w:line="240" w:lineRule="auto"/>
    </w:pPr>
    <w:rPr>
      <w:rFonts w:ascii="Consolas" w:eastAsia="Times New Roman" w:hAnsi="Consolas"/>
      <w:sz w:val="21"/>
      <w:szCs w:val="21"/>
      <w:lang w:eastAsia="en-US"/>
    </w:rPr>
  </w:style>
  <w:style w:type="character" w:customStyle="1" w:styleId="PlainTextChar">
    <w:name w:val="Plain Text Char"/>
    <w:basedOn w:val="DefaultParagraphFont"/>
    <w:link w:val="PlainText"/>
    <w:uiPriority w:val="99"/>
    <w:rsid w:val="007D2CBC"/>
    <w:rPr>
      <w:rFonts w:ascii="Consolas" w:eastAsia="Times New Roman" w:hAnsi="Consolas"/>
      <w:sz w:val="21"/>
      <w:szCs w:val="21"/>
      <w:lang w:val="sl-SI"/>
    </w:rPr>
  </w:style>
  <w:style w:type="paragraph" w:styleId="BalloonText">
    <w:name w:val="Balloon Text"/>
    <w:basedOn w:val="Normal"/>
    <w:link w:val="BalloonTextChar"/>
    <w:uiPriority w:val="99"/>
    <w:rsid w:val="00197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97636"/>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A629B-8451-4463-88DB-05A6C50F7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4948</Words>
  <Characters>29531</Characters>
  <Application>Microsoft Office Word</Application>
  <DocSecurity>0</DocSecurity>
  <Lines>246</Lines>
  <Paragraphs>68</Paragraphs>
  <ScaleCrop>false</ScaleCrop>
  <HeadingPairs>
    <vt:vector size="2" baseType="variant">
      <vt:variant>
        <vt:lpstr>Title</vt:lpstr>
      </vt:variant>
      <vt:variant>
        <vt:i4>1</vt:i4>
      </vt:variant>
    </vt:vector>
  </HeadingPairs>
  <TitlesOfParts>
    <vt:vector size="1" baseType="lpstr">
      <vt:lpstr>Disposición 6651 del BOE núm. 122 de 2018</vt:lpstr>
    </vt:vector>
  </TitlesOfParts>
  <Company/>
  <LinksUpToDate>false</LinksUpToDate>
  <CharactersWithSpaces>34411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6651 del BOE núm. 122 de 2018</dc:title>
  <dc:subject>BOE-A-2018-6651</dc:subject>
  <dc:creator>MINISTERIO DE AGRICULTURA Y PESCA, ALIMENTACIÓN Y MEDIO AMBIENTE</dc:creator>
  <cp:keywords>DECRETO 293/2018 de 18/05/2018;"MINISTERIO DE AGRICULTURA Y PESCA, ALIMENTACIÓN Y MEDIO AMBIENTE";BOE-A-2018-6651;BOE 122 de 2018;6651;19/05/2018</cp:keywords>
  <dc:description/>
  <cp:lastModifiedBy>BENKO, Agnes</cp:lastModifiedBy>
  <cp:revision>5</cp:revision>
  <dcterms:created xsi:type="dcterms:W3CDTF">2018-05-23T01:31:00Z</dcterms:created>
  <dcterms:modified xsi:type="dcterms:W3CDTF">2018-10-03T14:22:00Z</dcterms:modified>
</cp:coreProperties>
</file>