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D1" w:rsidRPr="00C928F9" w:rsidRDefault="00A138D1" w:rsidP="00A138D1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------IND- 2019 0567 RO- LT- ------ 20191125 --- --- PROJET</w:t>
      </w:r>
    </w:p>
    <w:p w:rsidR="00A05052" w:rsidRPr="00C852BE" w:rsidRDefault="00A05052" w:rsidP="00A05052">
      <w:pPr>
        <w:jc w:val="center"/>
        <w:rPr>
          <w:rFonts w:ascii="Tahoma" w:hAnsi="Tahoma" w:cs="Tahoma"/>
          <w:b/>
        </w:rPr>
      </w:pPr>
      <w:r>
        <w:rPr>
          <w:rFonts w:ascii="Tahoma" w:hAnsi="Tahoma"/>
          <w:b/>
        </w:rPr>
        <w:t>Įsakymas dėl reikalavimo ekonominės veiklos vykdytojams užtikrinti, kad vartotojai būtų informuojami apie žuvies šviežumą</w:t>
      </w:r>
    </w:p>
    <w:p w:rsidR="00A05052" w:rsidRPr="00A05052" w:rsidRDefault="00A05052" w:rsidP="00A05052">
      <w:pPr>
        <w:rPr>
          <w:rFonts w:ascii="Tahoma" w:hAnsi="Tahoma" w:cs="Tahoma"/>
        </w:rPr>
      </w:pPr>
    </w:p>
    <w:p w:rsidR="00A05052" w:rsidRPr="00A05052" w:rsidRDefault="00A05052" w:rsidP="007F3971">
      <w:pPr>
        <w:tabs>
          <w:tab w:val="left" w:pos="270"/>
        </w:tabs>
        <w:ind w:firstLine="270"/>
        <w:jc w:val="both"/>
        <w:rPr>
          <w:rStyle w:val="preambul1"/>
          <w:rFonts w:ascii="Tahoma" w:hAnsi="Tahoma" w:cs="Tahoma"/>
          <w:i w:val="0"/>
        </w:rPr>
      </w:pPr>
      <w:r>
        <w:rPr>
          <w:rStyle w:val="preambul1"/>
          <w:rFonts w:ascii="Tahoma" w:hAnsi="Tahoma"/>
          <w:i w:val="0"/>
        </w:rPr>
        <w:t>Atsižvelgdamas į: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- Vyriausybės įsakymo </w:t>
      </w:r>
      <w:hyperlink r:id="rId8" w:tooltip="Rumunijos vyriausybės įsakymas Nr. 21/1992">
        <w:r>
          <w:rPr>
            <w:rFonts w:ascii="Tahoma" w:hAnsi="Tahoma"/>
          </w:rPr>
          <w:t>Nr. 21/1992</w:t>
        </w:r>
      </w:hyperlink>
      <w:r>
        <w:rPr>
          <w:rFonts w:ascii="Tahoma" w:hAnsi="Tahoma"/>
        </w:rPr>
        <w:t xml:space="preserve"> dėl vartotojų apsaugos, pakartotinai paskelbto su vėlesniais pakeitimais ir papildymais, 1 straipsnį, 8 straipsn</w:t>
      </w:r>
      <w:r w:rsidR="00BF3233">
        <w:rPr>
          <w:rFonts w:ascii="Tahoma" w:hAnsi="Tahoma"/>
        </w:rPr>
        <w:t>į, 9 straipsnį ir 18 straipsnį;</w:t>
      </w:r>
      <w:bookmarkStart w:id="0" w:name="_GoBack"/>
      <w:bookmarkEnd w:id="0"/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– Vyriausybės sprendimą </w:t>
      </w:r>
      <w:hyperlink r:id="rId9">
        <w:r>
          <w:rPr>
            <w:rFonts w:ascii="Tahoma" w:hAnsi="Tahoma"/>
          </w:rPr>
          <w:t>Nr. 700/201</w:t>
        </w:r>
      </w:hyperlink>
      <w:r>
        <w:rPr>
          <w:rFonts w:ascii="Tahoma" w:hAnsi="Tahoma"/>
        </w:rPr>
        <w:t xml:space="preserve">2 dėl Nacionalinės vartotojų apsaugos </w:t>
      </w:r>
      <w:r w:rsidR="00432E34">
        <w:rPr>
          <w:rFonts w:ascii="Tahoma" w:hAnsi="Tahoma"/>
        </w:rPr>
        <w:t>tarnybos struktūros ir veikimo</w:t>
      </w:r>
      <w:r>
        <w:rPr>
          <w:rFonts w:ascii="Tahoma" w:hAnsi="Tahoma"/>
        </w:rPr>
        <w:t xml:space="preserve"> (su vėlesniais pakeitimais ir papildymais);</w:t>
      </w:r>
    </w:p>
    <w:p w:rsidR="00A05052" w:rsidRPr="00A05052" w:rsidRDefault="00432E34" w:rsidP="007F397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>ataskaitą</w:t>
      </w:r>
      <w:r w:rsidR="00A05052">
        <w:rPr>
          <w:rFonts w:ascii="Tahoma" w:hAnsi="Tahoma"/>
        </w:rPr>
        <w:t>, kurią parengė Rinkos priežiūros ir patikros bei suderinamumo Europos lygiu generalinis direktoratas;</w:t>
      </w:r>
    </w:p>
    <w:p w:rsidR="00A05052" w:rsidRPr="00A05052" w:rsidRDefault="00A05052" w:rsidP="00A05052">
      <w:pPr>
        <w:jc w:val="both"/>
        <w:rPr>
          <w:rFonts w:ascii="Tahoma" w:hAnsi="Tahoma" w:cs="Tahoma"/>
        </w:rPr>
      </w:pPr>
    </w:p>
    <w:p w:rsidR="00A05052" w:rsidRPr="00A05052" w:rsidRDefault="00A05052" w:rsidP="007F3971">
      <w:pPr>
        <w:ind w:firstLine="270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Nacionalinės vartotojų apsaugos tarnybos pirmininkas skelbia šį įsakymą: 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Style w:val="articol1"/>
          <w:rFonts w:ascii="Tahoma" w:hAnsi="Tahoma"/>
          <w:color w:val="auto"/>
        </w:rPr>
        <w:t>1 straipsnis.</w:t>
      </w:r>
      <w:r>
        <w:rPr>
          <w:rFonts w:ascii="Tahoma" w:hAnsi="Tahoma"/>
        </w:rPr>
        <w:t xml:space="preserve"> Šiuo įsakymu nustatomos sąlygos, kad ekonominės veiklos vykdytojai turi užtikrinti, jog vartotojai būtų informuojami apie žuvies šviežumą.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/>
          <w:b/>
        </w:rPr>
        <w:t>2 straipsnis.</w:t>
      </w:r>
      <w:r>
        <w:rPr>
          <w:rFonts w:ascii="Tahoma" w:hAnsi="Tahoma"/>
        </w:rPr>
        <w:t xml:space="preserve"> Ekonominės veiklos vykdytojai turės informuoti vartotojus pateikdami toliau nurodytą informaciją greta produkto, kad vartotojai galėtų pasirinkti remdamiesi teisinga informacija: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ši žuvis buvo sugauta prieš 0–2 dienas;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ši žuvis buvo sugauta prieš 2–3 dienas;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ši žuvis buvo sugauta prieš 3–4 dienas;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ši žuvis buvo sugauta daugiau kaip prieš 5 dienas.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  <w:color w:val="000000"/>
        </w:rPr>
      </w:pPr>
      <w:r>
        <w:rPr>
          <w:rStyle w:val="Strong"/>
          <w:rFonts w:ascii="Tahoma" w:hAnsi="Tahoma"/>
          <w:color w:val="181818"/>
          <w:shd w:val="clear" w:color="auto" w:fill="FFFFFF"/>
        </w:rPr>
        <w:t>3 straipsnis.</w:t>
      </w:r>
      <w:r>
        <w:rPr>
          <w:rFonts w:ascii="Tahoma" w:hAnsi="Tahoma"/>
          <w:color w:val="000000"/>
        </w:rPr>
        <w:t xml:space="preserve"> </w:t>
      </w:r>
      <w:r w:rsidR="00432E34">
        <w:rPr>
          <w:rFonts w:ascii="Tahoma" w:hAnsi="Tahoma"/>
          <w:color w:val="000000"/>
        </w:rPr>
        <w:t>1. Vykdytojai teikia</w:t>
      </w:r>
      <w:r>
        <w:rPr>
          <w:rFonts w:ascii="Tahoma" w:hAnsi="Tahoma"/>
          <w:color w:val="000000"/>
        </w:rPr>
        <w:t xml:space="preserve"> šią vartotojų informaciją pateikdami 2 straipsnyje nurodytą informaciją, priklausomai nuo žuvies sugavimo dienos, greta produktų patalpose, kuriose jie yra teikiami rinkai. 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2. Informacija apie sugavimo datą turi būti parašyta tokio pat dydžio šriftu kaip žuvies rūšies pavadinimas.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Style w:val="articol1"/>
          <w:rFonts w:ascii="Tahoma" w:hAnsi="Tahoma"/>
          <w:color w:val="auto"/>
        </w:rPr>
        <w:t>4 straipsnis.</w:t>
      </w:r>
      <w:r>
        <w:rPr>
          <w:rFonts w:ascii="Tahoma" w:hAnsi="Tahoma"/>
        </w:rPr>
        <w:t xml:space="preserve"> Šis įsakymas įsigalioja po 30 dienų nuo jo paskelbimo Rumunijos oficialiojo leidinio I dalyje.</w:t>
      </w:r>
    </w:p>
    <w:p w:rsidR="00A05052" w:rsidRPr="00A05052" w:rsidRDefault="00A05052" w:rsidP="00A05052">
      <w:pPr>
        <w:rPr>
          <w:rFonts w:ascii="Tahoma" w:hAnsi="Tahoma" w:cs="Tahoma"/>
        </w:rPr>
      </w:pPr>
    </w:p>
    <w:p w:rsidR="00403E21" w:rsidRPr="00C24575" w:rsidRDefault="00403E21" w:rsidP="00403E21">
      <w:pPr>
        <w:jc w:val="both"/>
        <w:rPr>
          <w:rFonts w:ascii="Tahoma" w:hAnsi="Tahoma" w:cs="Tahoma"/>
          <w:i/>
          <w:iCs/>
        </w:rPr>
      </w:pPr>
      <w:r>
        <w:rPr>
          <w:rFonts w:ascii="Tahoma" w:hAnsi="Tahoma"/>
          <w:i/>
        </w:rPr>
        <w:t>Šis įsakymas priimtas vadovaujantis pranešimo procedūra pagal Direktyvą (ES) 2015/1535, kuria nustatoma informacijos apie techninius reglamentus ir informacinės visuomenės paslaugų taisykles teikimo tvarka.</w:t>
      </w:r>
    </w:p>
    <w:sectPr w:rsidR="00403E21" w:rsidRPr="00C24575" w:rsidSect="00780DF1">
      <w:headerReference w:type="default" r:id="rId10"/>
      <w:footerReference w:type="default" r:id="rId11"/>
      <w:pgSz w:w="11907" w:h="16840" w:code="9"/>
      <w:pgMar w:top="851" w:right="1134" w:bottom="284" w:left="1418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82" w:rsidRDefault="007A1E82">
      <w:r>
        <w:separator/>
      </w:r>
    </w:p>
  </w:endnote>
  <w:endnote w:type="continuationSeparator" w:id="0">
    <w:p w:rsidR="007A1E82" w:rsidRDefault="007A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F1" w:rsidRPr="006D13CA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>Ministro kanceliarija</w:t>
    </w:r>
  </w:p>
  <w:p w:rsidR="00780DF1" w:rsidRPr="006D13CA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>Blvd Aviatorilor 72, pašto kodas: 011865, Sector 1, Bucharest</w:t>
    </w:r>
  </w:p>
  <w:p w:rsidR="00780DF1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 xml:space="preserve">Tel.: +40 213 121275, faks.: +40 213 143462, el. p. </w:t>
    </w:r>
    <w:r>
      <w:rPr>
        <w:rFonts w:ascii="Tahoma" w:hAnsi="Tahoma"/>
        <w:color w:val="404040"/>
        <w:sz w:val="20"/>
        <w:u w:val="single"/>
      </w:rPr>
      <w:t>cabinet@anpc.ro</w:t>
    </w:r>
    <w:r>
      <w:rPr>
        <w:rFonts w:ascii="Tahoma" w:hAnsi="Tahoma"/>
        <w:color w:val="404040"/>
        <w:sz w:val="20"/>
      </w:rPr>
      <w:t xml:space="preserve">, www.anpc.gov.ro </w:t>
    </w:r>
  </w:p>
  <w:p w:rsidR="00780DF1" w:rsidRDefault="00780DF1" w:rsidP="007F3971">
    <w:pPr>
      <w:pStyle w:val="Footer"/>
      <w:jc w:val="right"/>
    </w:pPr>
    <w:r>
      <w:rPr>
        <w:rFonts w:ascii="Tahoma" w:hAnsi="Tahoma"/>
        <w:sz w:val="14"/>
      </w:rPr>
      <w:t>p. </w:t>
    </w:r>
    <w:r w:rsidRPr="00364CFF">
      <w:rPr>
        <w:rFonts w:ascii="Tahoma" w:hAnsi="Tahoma" w:cs="Tahoma"/>
        <w:b/>
        <w:bCs/>
        <w:sz w:val="14"/>
        <w:szCs w:val="14"/>
      </w:rPr>
      <w:fldChar w:fldCharType="begin"/>
    </w:r>
    <w:r w:rsidRPr="00364CFF">
      <w:rPr>
        <w:rFonts w:ascii="Tahoma" w:hAnsi="Tahoma" w:cs="Tahoma"/>
        <w:b/>
        <w:bCs/>
        <w:sz w:val="14"/>
        <w:szCs w:val="14"/>
      </w:rPr>
      <w:instrText xml:space="preserve"> PAGE </w:instrText>
    </w:r>
    <w:r w:rsidRPr="00364CFF">
      <w:rPr>
        <w:rFonts w:ascii="Tahoma" w:hAnsi="Tahoma" w:cs="Tahoma"/>
        <w:b/>
        <w:bCs/>
        <w:sz w:val="14"/>
        <w:szCs w:val="14"/>
      </w:rPr>
      <w:fldChar w:fldCharType="separate"/>
    </w:r>
    <w:r w:rsidR="00BF3233">
      <w:rPr>
        <w:rFonts w:ascii="Tahoma" w:hAnsi="Tahoma" w:cs="Tahoma"/>
        <w:b/>
        <w:bCs/>
        <w:noProof/>
        <w:sz w:val="14"/>
        <w:szCs w:val="14"/>
      </w:rPr>
      <w:t>1</w:t>
    </w:r>
    <w:r w:rsidRPr="00364CFF">
      <w:rPr>
        <w:rFonts w:ascii="Tahoma" w:hAnsi="Tahoma" w:cs="Tahoma"/>
        <w:b/>
        <w:bCs/>
        <w:sz w:val="14"/>
        <w:szCs w:val="14"/>
      </w:rPr>
      <w:fldChar w:fldCharType="end"/>
    </w:r>
    <w:r>
      <w:rPr>
        <w:rFonts w:ascii="Tahoma" w:hAnsi="Tahoma"/>
        <w:sz w:val="14"/>
      </w:rPr>
      <w:t xml:space="preserve"> iš </w:t>
    </w:r>
    <w:r w:rsidRPr="00364CFF">
      <w:rPr>
        <w:rFonts w:ascii="Tahoma" w:hAnsi="Tahoma" w:cs="Tahoma"/>
        <w:b/>
        <w:bCs/>
        <w:sz w:val="14"/>
        <w:szCs w:val="14"/>
      </w:rPr>
      <w:fldChar w:fldCharType="begin"/>
    </w:r>
    <w:r w:rsidRPr="00364CFF">
      <w:rPr>
        <w:rFonts w:ascii="Tahoma" w:hAnsi="Tahoma" w:cs="Tahoma"/>
        <w:b/>
        <w:bCs/>
        <w:sz w:val="14"/>
        <w:szCs w:val="14"/>
      </w:rPr>
      <w:instrText xml:space="preserve"> NUMPAGES  </w:instrText>
    </w:r>
    <w:r w:rsidRPr="00364CFF">
      <w:rPr>
        <w:rFonts w:ascii="Tahoma" w:hAnsi="Tahoma" w:cs="Tahoma"/>
        <w:b/>
        <w:bCs/>
        <w:sz w:val="14"/>
        <w:szCs w:val="14"/>
      </w:rPr>
      <w:fldChar w:fldCharType="separate"/>
    </w:r>
    <w:r w:rsidR="00BF3233">
      <w:rPr>
        <w:rFonts w:ascii="Tahoma" w:hAnsi="Tahoma" w:cs="Tahoma"/>
        <w:b/>
        <w:bCs/>
        <w:noProof/>
        <w:sz w:val="14"/>
        <w:szCs w:val="14"/>
      </w:rPr>
      <w:t>1</w:t>
    </w:r>
    <w:r w:rsidRPr="00364CFF">
      <w:rPr>
        <w:rFonts w:ascii="Tahoma" w:hAnsi="Tahoma" w:cs="Tahom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82" w:rsidRDefault="007A1E82">
      <w:r>
        <w:separator/>
      </w:r>
    </w:p>
  </w:footnote>
  <w:footnote w:type="continuationSeparator" w:id="0">
    <w:p w:rsidR="007A1E82" w:rsidRDefault="007A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F1" w:rsidRDefault="009F3E0B" w:rsidP="007F3971">
    <w:pPr>
      <w:tabs>
        <w:tab w:val="right" w:pos="9355"/>
      </w:tabs>
      <w:rPr>
        <w:rFonts w:ascii="Arial" w:hAnsi="Arial" w:cs="Arial"/>
        <w:b/>
        <w:bCs/>
        <w:color w:val="365F91"/>
      </w:rPr>
    </w:pPr>
    <w:r>
      <w:rPr>
        <w:noProof/>
        <w:lang w:val="en-US" w:eastAsia="en-US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177165</wp:posOffset>
              </wp:positionV>
              <wp:extent cx="1717040" cy="1316355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040" cy="1316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A3E81"/>
                              <w:sz w:val="7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3E81"/>
                              <w:sz w:val="72"/>
                            </w:rPr>
                            <w:t>ANPC</w:t>
                          </w:r>
                        </w:p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A3E81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3E81"/>
                              <w:sz w:val="14"/>
                            </w:rPr>
                            <w:t>NACIONALINĖ VARTOTOJŲ APSAUGOS TARNYBA</w:t>
                          </w:r>
                        </w:p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color w:val="2A3E81"/>
                              <w:sz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A3E81"/>
                              <w:sz w:val="44"/>
                            </w:rPr>
                            <w:t>Susiję su jumis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75pt;margin-top:13.95pt;width:135.2pt;height:103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FtewIAAAA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" stroked="f">
              <v:textbox inset="0,0,0,0">
                <w:txbxContent>
                  <w:p w:rsidR="00426521" w:rsidRPr="00426521" w:rsidRDefault="00426521" w:rsidP="00426521">
                    <w:pPr>
                      <w:jc w:val="center"/>
                      <w:rPr>
                        <w:rFonts w:ascii="Arial" w:hAnsi="Arial" w:cs="Arial"/>
                        <w:b/>
                        <w:color w:val="2A3E81"/>
                        <w:sz w:val="72"/>
                      </w:rPr>
                    </w:pPr>
                    <w:r>
                      <w:rPr>
                        <w:rFonts w:ascii="Arial" w:hAnsi="Arial"/>
                        <w:b/>
                        <w:color w:val="2A3E81"/>
                        <w:sz w:val="72"/>
                      </w:rPr>
                      <w:t>ANPC</w:t>
                    </w:r>
                  </w:p>
                  <w:p w:rsidR="00426521" w:rsidRPr="00426521" w:rsidRDefault="00426521" w:rsidP="00426521">
                    <w:pPr>
                      <w:jc w:val="center"/>
                      <w:rPr>
                        <w:rFonts w:ascii="Arial" w:hAnsi="Arial" w:cs="Arial"/>
                        <w:b/>
                        <w:color w:val="2A3E81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A3E81"/>
                        <w:sz w:val="14"/>
                      </w:rPr>
                      <w:t>NACIONALINĖ VARTOTOJŲ APSAUGOS TARNYBA</w:t>
                    </w:r>
                  </w:p>
                  <w:p w:rsidR="00426521" w:rsidRPr="00426521" w:rsidRDefault="00426521" w:rsidP="00426521">
                    <w:pPr>
                      <w:jc w:val="center"/>
                      <w:rPr>
                        <w:rFonts w:ascii="Calibri" w:hAnsi="Calibri" w:cs="Arial"/>
                        <w:b/>
                        <w:color w:val="2A3E81"/>
                        <w:sz w:val="44"/>
                      </w:rPr>
                    </w:pPr>
                    <w:r>
                      <w:rPr>
                        <w:rFonts w:ascii="Calibri" w:hAnsi="Calibri"/>
                        <w:b/>
                        <w:color w:val="2A3E81"/>
                        <w:sz w:val="44"/>
                      </w:rPr>
                      <w:t>Susiję su jumis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1500505</wp:posOffset>
              </wp:positionV>
              <wp:extent cx="6038215" cy="0"/>
              <wp:effectExtent l="11430" t="14605" r="8255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21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xmlns:o="urn:schemas-microsoft-com:office:office" xmlns:w14="http://schemas.microsoft.com/office/word/2010/wordml" xmlns:v="urn:schemas-microsoft-com:vml" w14:anchorId="1C4414B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18.15pt" to="474.8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" strokecolor="#36f" strokeweight="1.25pt"/>
          </w:pict>
        </mc:Fallback>
      </mc:AlternateContent>
    </w:r>
    <w:r>
      <w:rPr>
        <w:noProof/>
        <w:lang w:val="en-US" w:eastAsia="en-US" w:bidi="ar-SA"/>
      </w:rPr>
      <w:drawing>
        <wp:inline distT="0" distB="0" distL="0" distR="0">
          <wp:extent cx="2800350" cy="1466850"/>
          <wp:effectExtent l="0" t="0" r="0" b="0"/>
          <wp:docPr id="1" name="Picture 1" descr="Sigla ANPC noua - FINAL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ANPC noua - FINAL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/>
    <w:r>
      <w:tab/>
    </w:r>
    <w:r>
      <w:rPr>
        <w:rFonts w:ascii="Tahoma" w:hAnsi="Tahoma"/>
        <w:b/>
        <w:color w:val="365F91"/>
      </w:rPr>
      <w:t>Neįslaptinta</w:t>
    </w:r>
  </w:p>
  <w:p w:rsidR="00780DF1" w:rsidRPr="00914BA9" w:rsidRDefault="00780DF1" w:rsidP="00780DF1">
    <w:pPr>
      <w:rPr>
        <w:rFonts w:ascii="Tahoma" w:hAnsi="Tahoma" w:cs="Tahoma"/>
        <w:sz w:val="20"/>
        <w:szCs w:val="20"/>
      </w:rPr>
    </w:pPr>
    <w:r>
      <w:rPr>
        <w:rFonts w:ascii="Tahoma" w:hAnsi="Tahoma"/>
        <w:sz w:val="20"/>
      </w:rPr>
      <w:t>Asmens duomenų valdytojas Nr. 31753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BD6"/>
    <w:multiLevelType w:val="hybridMultilevel"/>
    <w:tmpl w:val="7488100E"/>
    <w:lvl w:ilvl="0" w:tplc="29C6D42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BE43AF0"/>
    <w:multiLevelType w:val="hybridMultilevel"/>
    <w:tmpl w:val="7488100E"/>
    <w:lvl w:ilvl="0" w:tplc="29C6D42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doNotHyphenateCap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52"/>
    <w:rsid w:val="001734D2"/>
    <w:rsid w:val="00176FF6"/>
    <w:rsid w:val="0023197F"/>
    <w:rsid w:val="0025717A"/>
    <w:rsid w:val="002B4A79"/>
    <w:rsid w:val="003157E3"/>
    <w:rsid w:val="003415B6"/>
    <w:rsid w:val="00365244"/>
    <w:rsid w:val="003761F8"/>
    <w:rsid w:val="003973B9"/>
    <w:rsid w:val="00403E21"/>
    <w:rsid w:val="00426521"/>
    <w:rsid w:val="00432E34"/>
    <w:rsid w:val="00472905"/>
    <w:rsid w:val="004A284A"/>
    <w:rsid w:val="004B6184"/>
    <w:rsid w:val="004E3DB0"/>
    <w:rsid w:val="005D0D28"/>
    <w:rsid w:val="005F49B7"/>
    <w:rsid w:val="006D1C39"/>
    <w:rsid w:val="00702662"/>
    <w:rsid w:val="0071306D"/>
    <w:rsid w:val="0071557E"/>
    <w:rsid w:val="00780DF1"/>
    <w:rsid w:val="007A1E82"/>
    <w:rsid w:val="007E0FE9"/>
    <w:rsid w:val="007E6DA4"/>
    <w:rsid w:val="007F3971"/>
    <w:rsid w:val="0082248E"/>
    <w:rsid w:val="0090175D"/>
    <w:rsid w:val="0091693D"/>
    <w:rsid w:val="009412DD"/>
    <w:rsid w:val="009F3E0B"/>
    <w:rsid w:val="00A05052"/>
    <w:rsid w:val="00A138D1"/>
    <w:rsid w:val="00A33E47"/>
    <w:rsid w:val="00B16C77"/>
    <w:rsid w:val="00B30C91"/>
    <w:rsid w:val="00BF3233"/>
    <w:rsid w:val="00C112A4"/>
    <w:rsid w:val="00C852BE"/>
    <w:rsid w:val="00CF35CC"/>
    <w:rsid w:val="00D16883"/>
    <w:rsid w:val="00DF7D6C"/>
    <w:rsid w:val="00E62507"/>
    <w:rsid w:val="00F01F5F"/>
    <w:rsid w:val="00F24B98"/>
    <w:rsid w:val="00F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050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05052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en-GB"/>
    </w:rPr>
  </w:style>
  <w:style w:type="paragraph" w:styleId="Footer">
    <w:name w:val="footer"/>
    <w:basedOn w:val="Normal"/>
    <w:link w:val="FooterChar"/>
    <w:rsid w:val="00A050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5052"/>
    <w:rPr>
      <w:rFonts w:ascii="Times New Roman" w:eastAsia="Times New Roman" w:hAnsi="Times New Roman" w:cs="Times New Roman"/>
      <w:sz w:val="24"/>
      <w:szCs w:val="24"/>
      <w:lang w:val="lt-LT" w:eastAsia="en-GB"/>
    </w:rPr>
  </w:style>
  <w:style w:type="character" w:styleId="Strong">
    <w:name w:val="Strong"/>
    <w:uiPriority w:val="22"/>
    <w:qFormat/>
    <w:rsid w:val="00A05052"/>
    <w:rPr>
      <w:b/>
      <w:bCs/>
    </w:rPr>
  </w:style>
  <w:style w:type="paragraph" w:styleId="BodyText">
    <w:name w:val="Body Text"/>
    <w:basedOn w:val="Normal"/>
    <w:link w:val="BodyTextChar"/>
    <w:rsid w:val="00A05052"/>
    <w:rPr>
      <w:sz w:val="28"/>
      <w:szCs w:val="20"/>
    </w:rPr>
  </w:style>
  <w:style w:type="character" w:customStyle="1" w:styleId="BodyTextChar">
    <w:name w:val="Body Text Char"/>
    <w:link w:val="BodyText"/>
    <w:rsid w:val="00A05052"/>
    <w:rPr>
      <w:rFonts w:ascii="Times New Roman" w:eastAsia="Times New Roman" w:hAnsi="Times New Roman" w:cs="Times New Roman"/>
      <w:sz w:val="28"/>
      <w:szCs w:val="20"/>
      <w:lang w:val="lt-LT" w:eastAsia="en-GB"/>
    </w:rPr>
  </w:style>
  <w:style w:type="paragraph" w:styleId="Subtitle">
    <w:name w:val="Subtitle"/>
    <w:basedOn w:val="Normal"/>
    <w:link w:val="SubtitleChar"/>
    <w:qFormat/>
    <w:rsid w:val="00A050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A0505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05052"/>
    <w:rPr>
      <w:color w:val="0000FF"/>
      <w:u w:val="single"/>
    </w:rPr>
  </w:style>
  <w:style w:type="character" w:customStyle="1" w:styleId="preambul1">
    <w:name w:val="preambul1"/>
    <w:rsid w:val="00A05052"/>
    <w:rPr>
      <w:i/>
      <w:iCs/>
      <w:color w:val="000000"/>
    </w:rPr>
  </w:style>
  <w:style w:type="character" w:customStyle="1" w:styleId="linie1">
    <w:name w:val="linie1"/>
    <w:rsid w:val="00A05052"/>
    <w:rPr>
      <w:b/>
      <w:bCs/>
      <w:color w:val="000000"/>
    </w:rPr>
  </w:style>
  <w:style w:type="character" w:customStyle="1" w:styleId="paragraf1">
    <w:name w:val="paragraf1"/>
    <w:rsid w:val="00A05052"/>
    <w:rPr>
      <w:shd w:val="clear" w:color="auto" w:fill="auto"/>
    </w:rPr>
  </w:style>
  <w:style w:type="character" w:customStyle="1" w:styleId="articol1">
    <w:name w:val="articol1"/>
    <w:rsid w:val="00A05052"/>
    <w:rPr>
      <w:b/>
      <w:bCs/>
      <w:color w:val="009500"/>
    </w:rPr>
  </w:style>
  <w:style w:type="character" w:customStyle="1" w:styleId="l5def2">
    <w:name w:val="l5def2"/>
    <w:rsid w:val="00A05052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3D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E3DB0"/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050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05052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en-GB"/>
    </w:rPr>
  </w:style>
  <w:style w:type="paragraph" w:styleId="Footer">
    <w:name w:val="footer"/>
    <w:basedOn w:val="Normal"/>
    <w:link w:val="FooterChar"/>
    <w:rsid w:val="00A050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5052"/>
    <w:rPr>
      <w:rFonts w:ascii="Times New Roman" w:eastAsia="Times New Roman" w:hAnsi="Times New Roman" w:cs="Times New Roman"/>
      <w:sz w:val="24"/>
      <w:szCs w:val="24"/>
      <w:lang w:val="lt-LT" w:eastAsia="en-GB"/>
    </w:rPr>
  </w:style>
  <w:style w:type="character" w:styleId="Strong">
    <w:name w:val="Strong"/>
    <w:uiPriority w:val="22"/>
    <w:qFormat/>
    <w:rsid w:val="00A05052"/>
    <w:rPr>
      <w:b/>
      <w:bCs/>
    </w:rPr>
  </w:style>
  <w:style w:type="paragraph" w:styleId="BodyText">
    <w:name w:val="Body Text"/>
    <w:basedOn w:val="Normal"/>
    <w:link w:val="BodyTextChar"/>
    <w:rsid w:val="00A05052"/>
    <w:rPr>
      <w:sz w:val="28"/>
      <w:szCs w:val="20"/>
    </w:rPr>
  </w:style>
  <w:style w:type="character" w:customStyle="1" w:styleId="BodyTextChar">
    <w:name w:val="Body Text Char"/>
    <w:link w:val="BodyText"/>
    <w:rsid w:val="00A05052"/>
    <w:rPr>
      <w:rFonts w:ascii="Times New Roman" w:eastAsia="Times New Roman" w:hAnsi="Times New Roman" w:cs="Times New Roman"/>
      <w:sz w:val="28"/>
      <w:szCs w:val="20"/>
      <w:lang w:val="lt-LT" w:eastAsia="en-GB"/>
    </w:rPr>
  </w:style>
  <w:style w:type="paragraph" w:styleId="Subtitle">
    <w:name w:val="Subtitle"/>
    <w:basedOn w:val="Normal"/>
    <w:link w:val="SubtitleChar"/>
    <w:qFormat/>
    <w:rsid w:val="00A050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A0505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05052"/>
    <w:rPr>
      <w:color w:val="0000FF"/>
      <w:u w:val="single"/>
    </w:rPr>
  </w:style>
  <w:style w:type="character" w:customStyle="1" w:styleId="preambul1">
    <w:name w:val="preambul1"/>
    <w:rsid w:val="00A05052"/>
    <w:rPr>
      <w:i/>
      <w:iCs/>
      <w:color w:val="000000"/>
    </w:rPr>
  </w:style>
  <w:style w:type="character" w:customStyle="1" w:styleId="linie1">
    <w:name w:val="linie1"/>
    <w:rsid w:val="00A05052"/>
    <w:rPr>
      <w:b/>
      <w:bCs/>
      <w:color w:val="000000"/>
    </w:rPr>
  </w:style>
  <w:style w:type="character" w:customStyle="1" w:styleId="paragraf1">
    <w:name w:val="paragraf1"/>
    <w:rsid w:val="00A05052"/>
    <w:rPr>
      <w:shd w:val="clear" w:color="auto" w:fill="auto"/>
    </w:rPr>
  </w:style>
  <w:style w:type="character" w:customStyle="1" w:styleId="articol1">
    <w:name w:val="articol1"/>
    <w:rsid w:val="00A05052"/>
    <w:rPr>
      <w:b/>
      <w:bCs/>
      <w:color w:val="009500"/>
    </w:rPr>
  </w:style>
  <w:style w:type="character" w:customStyle="1" w:styleId="l5def2">
    <w:name w:val="l5def2"/>
    <w:rsid w:val="00A05052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3D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E3DB0"/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nk:ORD%20GUV%2021%201992%2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gestart.ro/Hotararea-755-2003-organizarea-functionarea-Autoritatii-Nationale-Protectia-Consumatorilor-(MjA1Mzg-)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javascript:self.close()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2111</CharactersWithSpaces>
  <SharedDoc>false</SharedDoc>
  <HLinks>
    <vt:vector size="18" baseType="variant">
      <vt:variant>
        <vt:i4>5570588</vt:i4>
      </vt:variant>
      <vt:variant>
        <vt:i4>3</vt:i4>
      </vt:variant>
      <vt:variant>
        <vt:i4>0</vt:i4>
      </vt:variant>
      <vt:variant>
        <vt:i4>5</vt:i4>
      </vt:variant>
      <vt:variant>
        <vt:lpwstr>http://www.legestart.ro/Hotararea-755-2003-organizarea-functionarea-Autoritatii-Nationale-Protectia-Consumatorilor-(MjA1Mzg-).htm</vt:lpwstr>
      </vt:variant>
      <vt:variant>
        <vt:lpwstr/>
      </vt:variant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lnk:ORD GUV 21 1992 0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javascript:self.close()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Diana STOICA</cp:lastModifiedBy>
  <cp:revision>5</cp:revision>
  <cp:lastPrinted>2019-11-01T08:36:00Z</cp:lastPrinted>
  <dcterms:created xsi:type="dcterms:W3CDTF">2019-11-19T09:20:00Z</dcterms:created>
  <dcterms:modified xsi:type="dcterms:W3CDTF">2019-11-25T13:30:00Z</dcterms:modified>
</cp:coreProperties>
</file>