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18098616" w:rsidR="00EA4D8C" w:rsidRDefault="006D355F" w:rsidP="00EA4D8C">
      <w:pPr>
        <w:jc w:val="both"/>
        <w:rPr>
          <w:rFonts w:ascii="Arial" w:hAnsi="Arial" w:cs="Arial"/>
          <w:b/>
        </w:rPr>
      </w:pPr>
      <w:r>
        <w:rPr>
          <w:rFonts w:ascii="Arial" w:hAnsi="Arial"/>
          <w:b/>
        </w:rPr>
        <w:t>ΑΠΟΦΑΣΗ</w:t>
      </w:r>
      <w:r w:rsidR="000C2C0F">
        <w:rPr>
          <w:rFonts w:ascii="Arial" w:hAnsi="Arial"/>
          <w:b/>
          <w:lang w:val="en-US"/>
        </w:rPr>
        <w:t>…</w:t>
      </w:r>
      <w:r>
        <w:rPr>
          <w:rFonts w:ascii="Arial" w:hAnsi="Arial"/>
          <w:b/>
        </w:rPr>
        <w:t xml:space="preserve"> ΤΗΣ ΓΕΝΙΚΗΣ ΔΙΕΥΘΥΝΣΗΣ ΡΥΘΜΙΣΗΣ ΤΥΧΕΡΩΝ ΠΑΙΧΝΙΔΙΩΝ, ΓΙΑ ΤΗΝ ΤΡΟΠΟΠΟΙΗΣΗ ΤΗΣ ΑΠΟΦΑΣΗΣ ΤΗΣ 12ΗΣ ΙΟΥΛΙΟΥ 2012 ΤΗΣ ΓΕΝΙΚΗΣ ΔΙΕΥΘΥΝΣΗΣ ΡΥΘΜΙΣΗΣ ΤΥΧΕΡΩΝ ΠΑΙΧΝΙΔΙΩΝ ΠΟΥ ΕΚΔΟΘΗΚΕ ΓΙΑ ΤΗΝ ΕΓΚΡΙΣΗ ΤΗΣ ΔΙΑΤΑΞΗΣ ΣΧΕΤΙΚΑ ΜΕ ΤΗΝ ΕΦΑΡΜΟΓΗ ΤΩΝ ΑΡΘΡΩΝ 26 ΚΑΙ 27 ΤΟΥ ΒΑΣΙΛΙΚΟΥ ΔΙΑΤΑΓΜΑΤΟΣ 1613/2011 ΤΗΣ 14ΗΣ ΝΟΕΜΒΡΙΟΥ ΣΧΕΤΙΚΑ ΜΕ ΤΗΝ ΤΑΥΤΟΠΟΙΗΣΗ ΤΩΝ ΣΥΜΜΕΤΕΧΟΝΤΩΝ ΣΤΑ ΤΥΧΕΡΑ ΠΑΙΧΝΙΔΙΑ ΚΑΙ ΤΗΝ ΠΑΡΑΚΟΛΟΥΘΗΣΗ ΤΩΝ ΥΠΟΚΕΙΜΕΝΙΚΩΝ ΑΠΑΓΟΡΕΥΣΕΩΝ ΣΥΜΜΕΤΟΧΗΣ ΣΤΑ ΤΥΧΕΡΑ ΠΑΙΧΝΙΔΙΑ ΚΑΙ ΤΗΝ ΑΠΟΦΑΣΗ ΤΗΣ 6ΗΣ ΟΚΤΩΒΡΙΟΥ 2014 ΤΗΣ ΓΕΝΙΚΗΣ ΔΙΕΥΘΥΝΣΗΣ ΡΥΘΜΙΣΗΣ ΤΥΧΕΡΩΝ ΠΑΙΧΝΙΔΙΩΝ ΓΙΑ ΤΗΝ ΕΓΚΡΙΣΗ ΤΟΥ ΜΟΝΤΕΛΟΥ ΔΕΔΟΜΕΝΩΝ ΓΙΑ ΧΡΗΣΗ ΣΤΟ ΣΥΣΤΗΜΑ ΠΑΡΑΚΟΛΟΥΘΗΣΗΣ ΠΛΗΡΟΦΟΡΙΩΝ ΤΩΝ ΑΡΧΕΙΩΝ ΛΕΙΤΟΥΡΓΙΑΣ ΤΥΧΕΡΩΝ ΠΑΙΧΝΙΔΙΩΝ.</w:t>
      </w:r>
    </w:p>
    <w:p w14:paraId="0EA78337" w14:textId="77777777" w:rsidR="00554712" w:rsidRPr="002800C6" w:rsidRDefault="00554712" w:rsidP="00554712">
      <w:pPr>
        <w:jc w:val="both"/>
        <w:rPr>
          <w:rFonts w:ascii="Arial" w:hAnsi="Arial" w:cs="Arial"/>
        </w:rPr>
      </w:pPr>
      <w:r>
        <w:rPr>
          <w:rFonts w:ascii="Arial" w:hAnsi="Arial"/>
        </w:rPr>
        <w:t>Ο νόμος 13/2011 της 27ης Μαΐου, σχετικά με τη ρύθμιση των τυχερών παιχνιδιών θεσπίζει το κανονιστικό πλαίσιο για την δραστηριότητα τυχερών παιχνιδιών σε εθνικό επίπεδο στις διάφορες μορφές του με σκοπό την προστασία της δημόσιας τάξης, την καταπολέμηση της απάτης, την πρόληψη της εθιστικής συμπεριφοράς, την προστασία των δικαιωμάτων των ανηλίκων και τη διαφύλαξη των δικαιωμάτων των συμμετεχόντων στα παιχνίδια.</w:t>
      </w:r>
    </w:p>
    <w:p w14:paraId="480515CE" w14:textId="159D44D5" w:rsidR="00050794" w:rsidRDefault="00E82824" w:rsidP="007B6331">
      <w:pPr>
        <w:jc w:val="both"/>
        <w:rPr>
          <w:rFonts w:ascii="Arial" w:hAnsi="Arial" w:cs="Arial"/>
        </w:rPr>
      </w:pPr>
      <w:r>
        <w:rPr>
          <w:rFonts w:ascii="Arial" w:hAnsi="Arial"/>
        </w:rPr>
        <w:t xml:space="preserve">Το βασιλικό διάταγμα 1613/2011, της 14ης Νοεμβρίου 2011, με το οποίο τέθηκε σε εφαρμογή ο νόμος 13/2011 της 27ης Μαΐου 2011, σχετικά με τη ρύθμιση των τυχερών παιχνιδιών όσον αφορά τις τεχνικές απαιτήσεις των δραστηριοτήτων τυχερών παιχνιδιών, εκδόθηκε κατά την εφαρμογή του νόμου αυτού. Στα άρθρα 26 και 27, ο κανόνας αυτός ρύθμιζε την ταυτοποίηση των συμμετεχόντων, καθώς και τον έλεγχο των υποκειμενικών απαγορεύσεων συμμετοχής σε παιχνίδια, μέσω ενός συστήματος ελέγχου που έπρεπε να διενεργείται από τους φορείς εκμετάλλευσης τυχερών παιχνιδιών. </w:t>
      </w:r>
    </w:p>
    <w:p w14:paraId="69F382CD" w14:textId="76176572" w:rsidR="00E82824" w:rsidRPr="00E82824" w:rsidRDefault="00F117CE" w:rsidP="007B6331">
      <w:pPr>
        <w:jc w:val="both"/>
        <w:rPr>
          <w:rFonts w:ascii="Arial" w:hAnsi="Arial" w:cs="Arial"/>
        </w:rPr>
      </w:pPr>
      <w:r>
        <w:rPr>
          <w:rFonts w:ascii="Arial" w:hAnsi="Arial"/>
        </w:rPr>
        <w:t xml:space="preserve">Κατά την εφαρμογή των διατάξεων αυτών, εκδόθηκε η απόφαση της 12ης Ιουλίου 2012 της Γενικής Διεύθυνσης Ρύθμισης Τυχερών Παιχνιδιών, με την οποία εγκρίθηκε η διάταξη εφαρμογής των άρθρων 26 και 27 του βασιλικού διατάγματος 1613/2011 της 14ης Νοεμβρίου όσον αφορά τον προσδιορισμό των συμμετεχόντων στα τυχερά παιχνίδια και την παρακολούθηση των υποκειμενικών απαγορεύσεων συμμετοχής σε τυχερά παιχνίδια, όπως τροποποιήθηκε, προκειμένου να ενισχυθούν οι διαδικασίες επαλήθευσης ταυτότητας που διενεργούνται από τους φορείς εκμετάλλευσης τυχερών παιχνιδιών σχετικά με τα δεδομένα που παρέχουν οι συμμετέχοντες, με την απόφαση της 31ης Οκτωβρίου 2018, της Γενικής Διεύθυνσης Ρύθμισης Τυχερών Παιχνιδιών, σχετικά με την τροποποίηση ορισμένων αποφάσεων για τις δραστηριότητες τυχερών παιχνιδιών που προβλέπονται στον νόμο 13/2011 της 27ης Μαΐου, σχετικά με τη ρύθμιση τυχερών παιχνιδιών. </w:t>
      </w:r>
    </w:p>
    <w:p w14:paraId="3AC1AA50" w14:textId="76C55535" w:rsidR="008E4897" w:rsidRDefault="008E4897" w:rsidP="008D4EA9">
      <w:pPr>
        <w:jc w:val="both"/>
        <w:rPr>
          <w:rFonts w:ascii="Arial" w:hAnsi="Arial" w:cs="Arial"/>
        </w:rPr>
      </w:pPr>
      <w:r>
        <w:rPr>
          <w:rFonts w:ascii="Arial" w:hAnsi="Arial"/>
        </w:rPr>
        <w:t xml:space="preserve">Τέσσερα έτη μετά την τελευταία τροποποίηση και δέκα έτη από την έγκριση του προαναφερθέντος κανονιστικού πλαισίου, η εμπειρία που αποκτήθηκε κατά τη διάρκεια αυτής της περιόδου καθιστά σκόπιμη την επικαιροποίηση αυτών των διαδικασιών επαλήθευσης ταυτότητας που διενεργούνται από τους φορείς εκμετάλλευσης τυχερών παιχνιδιών μέσω νέας τροποποίησης της απόφασης της 12ης Ιουλίου 2012. </w:t>
      </w:r>
    </w:p>
    <w:p w14:paraId="73AA14DE" w14:textId="621F2406" w:rsidR="00E82824" w:rsidRDefault="00E82824" w:rsidP="008D4EA9">
      <w:pPr>
        <w:jc w:val="both"/>
        <w:rPr>
          <w:rFonts w:ascii="Arial" w:hAnsi="Arial" w:cs="Arial"/>
        </w:rPr>
      </w:pPr>
      <w:r>
        <w:rPr>
          <w:rFonts w:ascii="Arial" w:hAnsi="Arial"/>
        </w:rPr>
        <w:t xml:space="preserve">Ειδικότερα, μέσω της παρούσας απόφασης, επικαιροποιούνται οι υποχρεώσεις των φορέων εκμετάλλευσης όσον αφορά τις ανακοινώσεις που πρέπει να υποβάλλουν στη </w:t>
      </w:r>
      <w:r>
        <w:rPr>
          <w:rFonts w:ascii="Arial" w:hAnsi="Arial"/>
        </w:rPr>
        <w:lastRenderedPageBreak/>
        <w:t xml:space="preserve">Γενική Διεύθυνση Ρύθμισης Τυχερών Παιχνιδιών, αφαιρώντας, αφενός, την υποχρέωση κοινοποίησης ορισμένων εκθέσεων σχετικά με τον αριθμό των ερωτήσεων που υποβάλλονται και εισάγοντας υποχρέωση κοινοποίησης της ακύρωσης των αρχείων χρηστών. Ομοίως, ρυθμίζεται η τηλεματική πρόσβαση στο τμήμα θανάτων του ληξιαρχείου, μέσω της Υπηρεσίας Επαλήθευσης Ταυτότητας, και οι προϋποθέσεις υπό τις οποίες οι φορείς εκμετάλλευσης θα ελέγχουν περιοδικά την ταυτότητα των συμμετεχόντων και θα επαληθεύουν ότι δεν υπόκεινται σε υποκειμενικές απαγορεύσεις συμμετοχής, είτε με δική τους πρωτοβουλία είτε κατόπιν αιτήματος της Γενικής Διεύθυνσης Τυχερών Παιχνιδιών. </w:t>
      </w:r>
    </w:p>
    <w:p w14:paraId="498C1B01" w14:textId="0658F4E7" w:rsidR="00EA4D8C" w:rsidRDefault="00E81705" w:rsidP="00EA4D8C">
      <w:pPr>
        <w:jc w:val="both"/>
        <w:rPr>
          <w:rFonts w:ascii="Arial" w:hAnsi="Arial" w:cs="Arial"/>
        </w:rPr>
      </w:pPr>
      <w:r>
        <w:rPr>
          <w:rFonts w:ascii="Arial" w:hAnsi="Arial"/>
        </w:rPr>
        <w:t xml:space="preserve">Τέλος, τροποποιείται η απόφαση της 6ης Οκτωβρίου 2014 της Γενικής Διεύθυνσης Ρύθμισης Τυχερών Παιχνιδιών, με την οποία εγκρίνεται το μοντέλο δεδομένων προς χρήση στο σύστημα παρακολούθησης πληροφοριών των αρχείων λειτουργίας τυχερών παιχνιδιών, προκειμένου να θεσπιστεί ένα νέο καθεστώς παίκτη.  </w:t>
      </w:r>
    </w:p>
    <w:p w14:paraId="591328C1" w14:textId="77777777" w:rsidR="005D3D4D" w:rsidRPr="008D47DC" w:rsidRDefault="005D3D4D" w:rsidP="009B4DF9">
      <w:pPr>
        <w:jc w:val="both"/>
        <w:rPr>
          <w:rFonts w:ascii="Arial" w:hAnsi="Arial" w:cs="Arial"/>
        </w:rPr>
      </w:pPr>
      <w:r>
        <w:rPr>
          <w:rFonts w:ascii="Arial" w:hAnsi="Arial"/>
        </w:rPr>
        <w:t>Η παρούσα διάταξη υπόκειται στη διαδικασία πληροφόρησης στον τομέα των τεχνικών προτύπων και κανονισμών και κανόνων σχετικά με τις υπηρεσίες της κοινωνίας των πληροφοριών, όπως προβλέπεται στην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4F0F688D" w14:textId="6F01AAE2" w:rsidR="00F116AB" w:rsidRPr="008D47DC" w:rsidRDefault="00B57B31" w:rsidP="00B369ED">
      <w:pPr>
        <w:jc w:val="both"/>
        <w:rPr>
          <w:rFonts w:ascii="Arial" w:hAnsi="Arial" w:cs="Arial"/>
        </w:rPr>
      </w:pPr>
      <w:r>
        <w:rPr>
          <w:rFonts w:ascii="Arial" w:hAnsi="Arial"/>
        </w:rPr>
        <w:t xml:space="preserve">Βάσει των ανωτέρω, και κατόπιν θετικής έκθεσης της Εισαγγελίας του Υπουργείου Καταναλωτών, η Γενική Διεύθυνση αποφασίζει: </w:t>
      </w:r>
    </w:p>
    <w:p w14:paraId="1D2ACD67" w14:textId="3730E816" w:rsidR="00D825A8" w:rsidRPr="00B55FF0" w:rsidRDefault="005B0F06" w:rsidP="00D825A8">
      <w:pPr>
        <w:jc w:val="both"/>
        <w:rPr>
          <w:rFonts w:ascii="Arial" w:hAnsi="Arial" w:cs="Arial"/>
        </w:rPr>
      </w:pPr>
      <w:r>
        <w:rPr>
          <w:rFonts w:ascii="Arial" w:hAnsi="Arial"/>
          <w:b/>
        </w:rPr>
        <w:t>Άρθρο ένα. Τροποποίηση της απόφασης της 12ης Ιουλίου 2012 για την έγκριση της πράξης εφαρμογής των άρθρων 26 και 27 του βασιλικού διατάγματος 1613/2011 της 14ης Νοεμβρίου όσον αφορά την ταυτοποίηση των συμμετεχόντων σε τυχερά παιχνίδια και την παρακολούθηση των υποκειμενικών απαγορεύσεων της συμμετοχής σε τυχερά παιχνίδια, ως εξής:</w:t>
      </w:r>
    </w:p>
    <w:p w14:paraId="3733892D" w14:textId="365CE94D" w:rsidR="00523061" w:rsidRPr="00523061" w:rsidRDefault="005B0F06" w:rsidP="00523061">
      <w:pPr>
        <w:jc w:val="both"/>
        <w:rPr>
          <w:rFonts w:ascii="Arial" w:hAnsi="Arial" w:cs="Arial"/>
        </w:rPr>
      </w:pPr>
      <w:r>
        <w:rPr>
          <w:rFonts w:ascii="Arial" w:hAnsi="Arial"/>
        </w:rPr>
        <w:t>Ένα</w:t>
      </w:r>
      <w:r>
        <w:rPr>
          <w:rFonts w:ascii="Arial" w:hAnsi="Arial"/>
          <w:b/>
        </w:rPr>
        <w:t>.</w:t>
      </w:r>
      <w:r>
        <w:rPr>
          <w:rFonts w:ascii="Arial" w:hAnsi="Arial"/>
        </w:rPr>
        <w:t xml:space="preserve"> Η παράγραφος 7 εδάφιο 6 του παραρτήματος Ι διαγράφεται.</w:t>
      </w:r>
    </w:p>
    <w:p w14:paraId="09434F7D" w14:textId="1FB9E75B" w:rsidR="00EB1D43" w:rsidRPr="00523061" w:rsidRDefault="005B0F06" w:rsidP="00EB1D43">
      <w:pPr>
        <w:jc w:val="both"/>
        <w:rPr>
          <w:rFonts w:ascii="Arial" w:hAnsi="Arial" w:cs="Arial"/>
        </w:rPr>
      </w:pPr>
      <w:r>
        <w:rPr>
          <w:rFonts w:ascii="Arial" w:hAnsi="Arial"/>
        </w:rPr>
        <w:t>Δύο</w:t>
      </w:r>
      <w:r>
        <w:rPr>
          <w:rFonts w:ascii="Arial" w:hAnsi="Arial"/>
          <w:b/>
        </w:rPr>
        <w:t>.</w:t>
      </w:r>
      <w:r>
        <w:rPr>
          <w:rFonts w:ascii="Arial" w:hAnsi="Arial"/>
        </w:rPr>
        <w:t xml:space="preserve"> Η παράγραφος 11 εδάφιο 5 του παραρτήματος Ι διαγράφεται.</w:t>
      </w:r>
    </w:p>
    <w:p w14:paraId="1D47C45E" w14:textId="2ACFA05B" w:rsidR="00523061" w:rsidRDefault="00EB1D43" w:rsidP="00B369ED">
      <w:pPr>
        <w:jc w:val="both"/>
        <w:rPr>
          <w:rFonts w:ascii="Arial" w:hAnsi="Arial" w:cs="Arial"/>
          <w:b/>
        </w:rPr>
      </w:pPr>
      <w:r>
        <w:rPr>
          <w:rFonts w:ascii="Arial" w:hAnsi="Arial"/>
        </w:rPr>
        <w:t>Τρία</w:t>
      </w:r>
      <w:r>
        <w:rPr>
          <w:rFonts w:ascii="Arial" w:hAnsi="Arial"/>
          <w:b/>
        </w:rPr>
        <w:t xml:space="preserve">. </w:t>
      </w:r>
      <w:r>
        <w:rPr>
          <w:rFonts w:ascii="Arial" w:hAnsi="Arial"/>
        </w:rPr>
        <w:t>Στη δέκατη τρίτη παράγραφο του παραρτήματος Ι προστίθεται το νέο εδάφιο 4, το οποίο διατυπώνεται ως εξής:</w:t>
      </w:r>
      <w:r>
        <w:rPr>
          <w:rFonts w:ascii="Arial" w:hAnsi="Arial"/>
          <w:b/>
        </w:rPr>
        <w:t xml:space="preserve"> </w:t>
      </w:r>
    </w:p>
    <w:p w14:paraId="485CBBD7" w14:textId="210D0A2B" w:rsidR="00523061" w:rsidRPr="00523061" w:rsidRDefault="002C716C" w:rsidP="00523061">
      <w:pPr>
        <w:jc w:val="both"/>
        <w:rPr>
          <w:rFonts w:ascii="Arial" w:hAnsi="Arial" w:cs="Arial"/>
          <w:b/>
        </w:rPr>
      </w:pPr>
      <w:r>
        <w:rPr>
          <w:rFonts w:ascii="Arial" w:hAnsi="Arial"/>
        </w:rPr>
        <w:t>«4. Ο φορέας εκμετάλλευσης πρέπει να ενημερώνει τη Γενική Διεύθυνση Ρύθμισης Τυχερών Παιχνιδιών σχετικά με την ακύρωση των εγγραφών των χρηστών. Η κοινοποίηση πρέπει να γίνεται μέσω της Υπηρεσίας Επαλήθευσης Ταυτότητας των συμμετεχόντων της Γενικής Διεύθυνσης Ρύθμισης Τυχερών Παιχνιδιών. Η Γενική Διεύθυνση Ρύθμισης Τυχερών Παιχνιδιών δεν θέτει στη διάθεση των φορέων εκμετάλλευσης πληροφορίες σχετικά με ακυρώσεις εγγραφών χρηστών σύμφωνα με την παράγραφο 11 παράγραφος 3 της παρούσας απόφασης. Το αίτημα προς τον φορέα εκμετάλλευσης για ενεργοποίηση προηγουμένως ακυρωθείσας εγγραφής χρήστη απαιτεί την ταυτοποίηση του συμμετέχοντος και την επαλήθευση ότι δεν υπόκειται σε καμία από τις υποκειμενικές απαγορεύσεις σύμφωνα με τους όρους της παρούσας απόφασης».</w:t>
      </w:r>
    </w:p>
    <w:p w14:paraId="573F59AF" w14:textId="4C454A2D" w:rsidR="00523061" w:rsidRDefault="00EB1D43" w:rsidP="00B369ED">
      <w:pPr>
        <w:jc w:val="both"/>
        <w:rPr>
          <w:rFonts w:ascii="Arial" w:hAnsi="Arial" w:cs="Arial"/>
          <w:b/>
        </w:rPr>
      </w:pPr>
      <w:r>
        <w:rPr>
          <w:rFonts w:ascii="Arial" w:hAnsi="Arial"/>
        </w:rPr>
        <w:lastRenderedPageBreak/>
        <w:t>Τέσσερα.</w:t>
      </w:r>
      <w:r>
        <w:rPr>
          <w:rFonts w:ascii="Arial" w:hAnsi="Arial"/>
          <w:b/>
        </w:rPr>
        <w:t xml:space="preserve"> </w:t>
      </w:r>
      <w:r>
        <w:rPr>
          <w:rFonts w:ascii="Arial" w:hAnsi="Arial"/>
        </w:rPr>
        <w:t>Στο παράρτημα Ι παρεμβάλλεται δέκατη τέταρτη παράγραφος, η οποία διατυπώνεται ως εξής:</w:t>
      </w:r>
    </w:p>
    <w:p w14:paraId="054E2766" w14:textId="0C4BDC28" w:rsidR="00523061" w:rsidRPr="00523061" w:rsidRDefault="009867C7" w:rsidP="00B369ED">
      <w:pPr>
        <w:jc w:val="both"/>
        <w:rPr>
          <w:rFonts w:ascii="Arial" w:hAnsi="Arial" w:cs="Arial"/>
          <w:bCs/>
        </w:rPr>
      </w:pPr>
      <w:r>
        <w:rPr>
          <w:rFonts w:ascii="Arial" w:hAnsi="Arial"/>
        </w:rPr>
        <w:t xml:space="preserve">«Δέκατη τέταρτη. </w:t>
      </w:r>
      <w:r>
        <w:rPr>
          <w:rFonts w:ascii="Arial" w:hAnsi="Arial"/>
          <w:i/>
        </w:rPr>
        <w:t>Έλεγχος των απαγορεύσεων πρόσβασης σε τυχερά παιχνίδια θανόντος.</w:t>
      </w:r>
      <w:r>
        <w:rPr>
          <w:rFonts w:ascii="Arial" w:hAnsi="Arial"/>
        </w:rPr>
        <w:t xml:space="preserve"> </w:t>
      </w:r>
    </w:p>
    <w:p w14:paraId="1D7545B8" w14:textId="77777777" w:rsidR="00523061" w:rsidRPr="00EA4D8C" w:rsidRDefault="00523061" w:rsidP="00523061">
      <w:pPr>
        <w:jc w:val="both"/>
        <w:rPr>
          <w:rFonts w:ascii="Arial" w:hAnsi="Arial" w:cs="Arial"/>
          <w:bCs/>
        </w:rPr>
      </w:pPr>
      <w:r>
        <w:rPr>
          <w:rFonts w:ascii="Arial" w:hAnsi="Arial"/>
        </w:rPr>
        <w:t>1. Η Γενική Διεύθυνση Ρύθμισης Τυχερών Παιχνιδιών θα θέσει στη διάθεση των φορέων εκμετάλλευσης τυχερών παιχνιδιών ένα σύστημα τηλεματικής πρόσβασης στο τμήμα θανάτων του ληξιαρχείου, μέσω της Υπηρεσίας Επαλήθευσης Ταυτότητας των συμμετεχόντων της Γενικής Διεύθυνσης Ρύθμισης Τυχερών Παιχνιδιών, προκειμένου να διευκολυνθεί η επαλήθευση ότι οι συμμετέχοντες δεν έχουν αποβιώσει.</w:t>
      </w:r>
    </w:p>
    <w:p w14:paraId="3700579F" w14:textId="77777777" w:rsidR="00523061" w:rsidRPr="00523061" w:rsidRDefault="00523061" w:rsidP="00523061">
      <w:pPr>
        <w:jc w:val="both"/>
        <w:rPr>
          <w:rFonts w:ascii="Arial" w:hAnsi="Arial" w:cs="Arial"/>
          <w:bCs/>
        </w:rPr>
      </w:pPr>
      <w:r>
        <w:rPr>
          <w:rFonts w:ascii="Arial" w:hAnsi="Arial"/>
        </w:rPr>
        <w:t xml:space="preserve">2. Οι φορείς εκμετάλλευσης παιχνιδιών πρέπει να επαληθεύουν κάθε ημέρα ότι οι συμμετέχοντες με ενεργό εγγραφή χρήστη δεν είναι εγγεγραμμένοι ως θανόντες στην Υπηρεσία Επαλήθευσης Ταυτότητας των συμμετεχόντων της Γενικής Διεύθυνσης Ρύθμισης Τυχερών Παιχνιδιών. Για τον σκοπό αυτό, στα προβλεπόμενα χρονικά διαστήματα, η Γενική Διεύθυνση Ρύθμισης Τυχερών Παιχνιδιών θα δημιουργήσει και θα θέσει στη διάθεση των φορέων εκμετάλλευσης επικαιροποιημένο ηλεκτρονικό αρχείο που θα περιέχει τις αλλαγές που, ως αποτέλεσμα της καταχώρισης των δεδομένων καταχώρισης στο τμήμα θανόντων του ληξιαρχείου, έχουν επέλθει στην Υπηρεσία Επαλήθευσης Ταυτότητας των συμμετεχόντων της Γενικής Διεύθυνσης Ρύθμισης Τυχερών Παιχνιδιών και οι οποίες επηρεάζουν τους συμμετέχοντες που έχουν καταχωριστεί από κάθε φορέα εκμετάλλευσης. Όταν, για τεχνικούς λόγους ή λόγω αστοχιών όσον αφορά τη διαθεσιμότητα της υπηρεσίας, η Γενική Διεύθυνση Ρύθμισης Τυχερών Παιχνιδιών δεν είναι σε θέση να θέσει στη διάθεση των φορέων εκμετάλλευσης την επικαιροποίηση των δεδομένων, η επαλήθευση θα πραγματοποιηθεί με τα δεδομένα που περιέχονται στην τελευταία παρεχόμενη ενημέρωση. </w:t>
      </w:r>
    </w:p>
    <w:p w14:paraId="232E35F2" w14:textId="5549976A" w:rsidR="00523061" w:rsidRPr="00523061" w:rsidRDefault="00523061" w:rsidP="00523061">
      <w:pPr>
        <w:jc w:val="both"/>
        <w:rPr>
          <w:rFonts w:ascii="Arial" w:hAnsi="Arial" w:cs="Arial"/>
          <w:b/>
        </w:rPr>
      </w:pPr>
      <w:r>
        <w:rPr>
          <w:rFonts w:ascii="Arial" w:hAnsi="Arial"/>
        </w:rPr>
        <w:t>Στις περιπτώσεις κατά τις οποίες οι αλλαγές αποκαλύπτουν την εγγραφή στο τμήμα θανάτων του ληξιαρχείου οποιουδήποτε από τους συμμετέχοντες με ενεργό εγγραφή χρήστη, ο φορέας εκμετάλλευσης θα προβεί στην ακύρωσή της. Σε αυτές τις περιπτώσεις, η ακύρωση δεν εμποδίζει την εκκαθάριση του λογαριασμού τυχερών παιχνιδιών και την καταβολή των ποσών που, με κατάθεση ή έπαθλα που έχουν καταβληθεί προηγουμένως, αντιστοιχούν στον νόμιμο κληρονόμο, σύμφωνα με τους ισχύοντες κανονισμούς. Μετά την ακύρωση του λογαριασμού, εφαρμόζονται οι διατάξεις της παραγράφου 13 εδάφιο 4 της παρούσας απόφασης».</w:t>
      </w:r>
    </w:p>
    <w:p w14:paraId="337D8F87" w14:textId="1A0D7223" w:rsidR="00523061" w:rsidRDefault="00EB1D43" w:rsidP="00B369ED">
      <w:pPr>
        <w:jc w:val="both"/>
        <w:rPr>
          <w:rFonts w:ascii="Arial" w:hAnsi="Arial" w:cs="Arial"/>
          <w:b/>
        </w:rPr>
      </w:pPr>
      <w:r>
        <w:rPr>
          <w:rFonts w:ascii="Arial" w:hAnsi="Arial"/>
        </w:rPr>
        <w:t>Πέντε.</w:t>
      </w:r>
      <w:r>
        <w:rPr>
          <w:rFonts w:ascii="Arial" w:hAnsi="Arial"/>
          <w:b/>
        </w:rPr>
        <w:t xml:space="preserve"> </w:t>
      </w:r>
      <w:r>
        <w:rPr>
          <w:rFonts w:ascii="Arial" w:hAnsi="Arial"/>
        </w:rPr>
        <w:t>Στο παράρτημα Ι παρεμβάλλεται δέκατη πέμπτη παράγραφος, η οποία διατυπώνεται ως εξής:</w:t>
      </w:r>
    </w:p>
    <w:p w14:paraId="10C76A7F" w14:textId="03428FC8" w:rsidR="00523061" w:rsidRDefault="00932A74" w:rsidP="00B369ED">
      <w:pPr>
        <w:jc w:val="both"/>
        <w:rPr>
          <w:rFonts w:ascii="Arial" w:hAnsi="Arial" w:cs="Arial"/>
          <w:b/>
        </w:rPr>
      </w:pPr>
      <w:r>
        <w:rPr>
          <w:rFonts w:ascii="Arial" w:hAnsi="Arial"/>
        </w:rPr>
        <w:t xml:space="preserve">«Δέκατη πέμπτη. </w:t>
      </w:r>
      <w:r>
        <w:rPr>
          <w:rFonts w:ascii="Arial" w:hAnsi="Arial"/>
          <w:i/>
        </w:rPr>
        <w:t>Περιοδικοί έλεγχοι</w:t>
      </w:r>
      <w:r>
        <w:rPr>
          <w:rFonts w:ascii="Arial" w:hAnsi="Arial"/>
          <w:b/>
        </w:rPr>
        <w:t xml:space="preserve"> </w:t>
      </w:r>
    </w:p>
    <w:p w14:paraId="412F544E" w14:textId="659D2F45" w:rsidR="00523061" w:rsidRPr="00523061" w:rsidRDefault="00523061" w:rsidP="00523061">
      <w:pPr>
        <w:jc w:val="both"/>
        <w:rPr>
          <w:rFonts w:ascii="Arial" w:hAnsi="Arial" w:cs="Arial"/>
          <w:bCs/>
        </w:rPr>
      </w:pPr>
      <w:r>
        <w:rPr>
          <w:rFonts w:ascii="Arial" w:hAnsi="Arial"/>
        </w:rPr>
        <w:t>1. Οι φορείς εκμετάλλευσης τυχερών παιχνιδιών μπορούν να διενεργούν ειδικούς ελέγχους στους συμμετέχοντες τους σε σχέση με την ταυτοποίηση και τον έλεγχό τους, έτσι ώστε να μην καλύπτονται από καμία από τις υποκειμενικές απαγορεύσεις σύμφωνα με τους όρους που προβλέπονται στην παρούσα απόφαση. Ο φορέας εκμετάλλευσης πρέπει να ζητήσει άδεια και να κοινοποιήσει την έναρξη και το τέλος των εν λόγω διαδικασιών επαλήθευσης μέσω της υπηρεσίας επαλήθευσης ταυτότητας των συμμετεχόντων στη Γενική Διεύθυνση Ρύθμισης Τυχερών Παιχνιδιών, υπό τους όρους που καθορίζονται από τη Γενική Διεύθυνση Ρύθμισης Τυχερών Παιχνιδιών.</w:t>
      </w:r>
    </w:p>
    <w:p w14:paraId="4FC212F8" w14:textId="4973AE0F" w:rsidR="00523061" w:rsidRPr="00523061" w:rsidRDefault="00523061" w:rsidP="00523061">
      <w:pPr>
        <w:jc w:val="both"/>
        <w:rPr>
          <w:rFonts w:ascii="Arial" w:hAnsi="Arial" w:cs="Arial"/>
          <w:bCs/>
        </w:rPr>
      </w:pPr>
      <w:r>
        <w:rPr>
          <w:rFonts w:ascii="Arial" w:hAnsi="Arial"/>
        </w:rPr>
        <w:lastRenderedPageBreak/>
        <w:t>2. Η Γενική Διεύθυνση Ρύθμισης Τυχερών Παιχνιδιών μπορεί να απαιτεί από τους φορείς εκμετάλλευσης τυχερών παιχνιδιών να διενεργούν ειδικούς ελέγχους στους συμμετέχοντες τους σε σχέση με την ταυτοποίηση και την επαλήθευση τους, έτσι ώστε να μην υπόκεινται σε καμία από τις υποκειμενικές απαγορεύσεις που προβλέπονται στην παρούσα απόφαση. Για τον σκοπό αυτό, η Γενική Διεύθυνση Ρύθμισης Τυχερών Παιχνιδιών θα δημιουργήσει και θα θέσει στη διάθεση των φορέων εκμετάλλευσης ηλεκτρονικό αρχείο που θα περιέχει τους ενδιαφερόμενους συμμετέχοντες και την προς εκτέλεση πράξη. Οι φορείς εκμετάλλευσης τυχερών παιχνιδιών πρέπει να επαληθεύουν την ύπαρξη των εν λόγω αρχείων καθημερινά μέσω της Υπηρεσίας Επαλήθευσης Ταυτότητας των συμμετεχόντων στη Γενική Διεύθυνση Ρύθμισης Τυχερών Παιχνιδιών και, κατά περίπτωση, να εφαρμόζουν τις απαιτούμενες ενέργειες».</w:t>
      </w:r>
    </w:p>
    <w:p w14:paraId="19A79385" w14:textId="3DCA6427" w:rsidR="0001091D" w:rsidRPr="00A9210D" w:rsidRDefault="0001091D" w:rsidP="00F17E13">
      <w:pPr>
        <w:jc w:val="both"/>
        <w:rPr>
          <w:rFonts w:ascii="Arial" w:hAnsi="Arial" w:cs="Arial"/>
          <w:bCs/>
        </w:rPr>
      </w:pPr>
      <w:r>
        <w:rPr>
          <w:rFonts w:ascii="Arial" w:hAnsi="Arial"/>
          <w:b/>
        </w:rPr>
        <w:t>Δεύτερο άρθρο. Τροποποίηση της απόφασης της 6ης Οκτωβρίου 2014 για την έγκριση του μοντέλου δεδομένων προς χρήση στο σύστημα παρακολούθησης πληροφοριών των αρχείων λειτουργίας τυχερών παιχνιδιών, ως εξής:</w:t>
      </w:r>
      <w:r>
        <w:rPr>
          <w:rFonts w:ascii="Arial" w:hAnsi="Arial"/>
        </w:rPr>
        <w:t xml:space="preserve"> </w:t>
      </w:r>
    </w:p>
    <w:p w14:paraId="6AAD2B6A" w14:textId="14F9C745" w:rsidR="006F45C5" w:rsidRPr="00A9210D" w:rsidRDefault="009948B2" w:rsidP="006F45C5">
      <w:pPr>
        <w:jc w:val="both"/>
        <w:rPr>
          <w:rFonts w:ascii="Arial" w:hAnsi="Arial" w:cs="Arial"/>
          <w:bCs/>
        </w:rPr>
      </w:pPr>
      <w:r>
        <w:rPr>
          <w:rFonts w:ascii="Arial" w:hAnsi="Arial"/>
        </w:rPr>
        <w:t xml:space="preserve">Η παράγραφος </w:t>
      </w:r>
      <w:r>
        <w:rPr>
          <w:rFonts w:ascii="Arial" w:hAnsi="Arial"/>
          <w:color w:val="1F3864"/>
        </w:rPr>
        <w:t>3.5.7.</w:t>
      </w:r>
      <w:r>
        <w:rPr>
          <w:rFonts w:ascii="Arial" w:hAnsi="Arial"/>
        </w:rPr>
        <w:t xml:space="preserve">2 («Καθεστώς παίκτη») του παραρτήματος I αντικαθίσταται από το ακόλουθο κείμενο: </w:t>
      </w:r>
    </w:p>
    <w:p w14:paraId="3FB0A96C" w14:textId="77777777" w:rsidR="00C926BC" w:rsidRPr="00C926BC" w:rsidRDefault="00CD5D1C" w:rsidP="00C926BC">
      <w:pPr>
        <w:jc w:val="both"/>
        <w:rPr>
          <w:rFonts w:ascii="Arial" w:hAnsi="Arial" w:cs="Arial"/>
          <w:bCs/>
        </w:rPr>
      </w:pPr>
      <w:r>
        <w:rPr>
          <w:rFonts w:ascii="Arial" w:hAnsi="Arial"/>
        </w:rPr>
        <w:t xml:space="preserve">«3.5.7.2 Κατάσταση παίκτη </w:t>
      </w:r>
    </w:p>
    <w:p w14:paraId="30B6715A" w14:textId="77777777" w:rsidR="00A303D7" w:rsidRPr="00112FA3" w:rsidRDefault="003B5C7A" w:rsidP="003B5C7A">
      <w:pPr>
        <w:jc w:val="both"/>
        <w:rPr>
          <w:rFonts w:ascii="Arial" w:hAnsi="Arial" w:cs="Arial"/>
          <w:bCs/>
        </w:rPr>
      </w:pPr>
      <w:r>
        <w:rPr>
          <w:rFonts w:ascii="Arial" w:hAnsi="Arial"/>
        </w:rPr>
        <w:t xml:space="preserve">Η «κατάσταση» παίκτη αποτελείται από δύο πεδία:  </w:t>
      </w:r>
    </w:p>
    <w:p w14:paraId="371979A3" w14:textId="60D04365" w:rsidR="003B5C7A" w:rsidRPr="00112FA3" w:rsidRDefault="003B5C7A" w:rsidP="003B5C7A">
      <w:pPr>
        <w:jc w:val="both"/>
        <w:rPr>
          <w:rFonts w:ascii="Arial" w:hAnsi="Arial" w:cs="Arial"/>
          <w:bCs/>
        </w:rPr>
      </w:pPr>
      <w:r>
        <w:rPr>
          <w:rFonts w:ascii="Arial" w:hAnsi="Arial"/>
        </w:rPr>
        <w:t xml:space="preserve">ΚατάστασηCNJ, όπου ζητείται από τον φορέα εκμετάλλευσης να διακρίνει μεταξύ:  </w:t>
      </w:r>
    </w:p>
    <w:p w14:paraId="675C3934" w14:textId="77777777" w:rsidR="003B5C7A" w:rsidRPr="00112FA3" w:rsidRDefault="003B5C7A" w:rsidP="003B5C7A">
      <w:pPr>
        <w:jc w:val="both"/>
        <w:rPr>
          <w:rFonts w:ascii="Arial" w:hAnsi="Arial" w:cs="Arial"/>
          <w:bCs/>
        </w:rPr>
      </w:pPr>
      <w:r>
        <w:rPr>
          <w:rFonts w:ascii="Arial" w:hAnsi="Arial"/>
        </w:rPr>
        <w:t xml:space="preserve">● A: Ενεργή. Αντιπροσωπεύει την κατάσταση στην οποία ένας παίκτης έχει ταυτοποιηθεί και επαληθευτεί δεόντως μέσω τεκμηρίωσης. </w:t>
      </w:r>
    </w:p>
    <w:p w14:paraId="580B7BAC" w14:textId="77777777" w:rsidR="003B5C7A" w:rsidRPr="00112FA3" w:rsidRDefault="003B5C7A" w:rsidP="003B5C7A">
      <w:pPr>
        <w:jc w:val="both"/>
        <w:rPr>
          <w:rFonts w:ascii="Arial" w:hAnsi="Arial" w:cs="Arial"/>
          <w:bCs/>
        </w:rPr>
      </w:pPr>
      <w:r>
        <w:rPr>
          <w:rFonts w:ascii="Arial" w:hAnsi="Arial"/>
        </w:rPr>
        <w:t xml:space="preserve">● PV: Εκκρεμεί η επαλήθευση εγγράφων. Αντιπροσωπεύει την κατάσταση ενός παίκτη του οποίου η ταυτοποίηση δεν έχει ελεγχθεί δεόντως μέσω συστήματος τεκμηριωμένης επαλήθευσης. </w:t>
      </w:r>
    </w:p>
    <w:p w14:paraId="4B945205" w14:textId="77777777" w:rsidR="003B5C7A" w:rsidRPr="00112FA3" w:rsidRDefault="003B5C7A" w:rsidP="003B5C7A">
      <w:pPr>
        <w:jc w:val="both"/>
        <w:rPr>
          <w:rFonts w:ascii="Arial" w:hAnsi="Arial" w:cs="Arial"/>
          <w:bCs/>
        </w:rPr>
      </w:pPr>
      <w:r>
        <w:rPr>
          <w:rFonts w:ascii="Arial" w:hAnsi="Arial"/>
        </w:rPr>
        <w:t xml:space="preserve">● S: Ανακληθείσα. Αντιπροσωπεύει την κατάσταση ενός παίκτη την οποία ο φορέας εκμετάλλευσης έχει αποφασίσει να αναστείλει μετά από 2 έτη συνεχούς αδράνειας. </w:t>
      </w:r>
    </w:p>
    <w:p w14:paraId="141B702C" w14:textId="77777777" w:rsidR="003B5C7A" w:rsidRPr="00112FA3" w:rsidRDefault="003B5C7A" w:rsidP="003B5C7A">
      <w:pPr>
        <w:jc w:val="both"/>
        <w:rPr>
          <w:rFonts w:ascii="Arial" w:hAnsi="Arial" w:cs="Arial"/>
          <w:bCs/>
        </w:rPr>
      </w:pPr>
      <w:r>
        <w:rPr>
          <w:rFonts w:ascii="Arial" w:hAnsi="Arial"/>
        </w:rPr>
        <w:t xml:space="preserve">● C: Ακυρωθείσα. Αντιπροσωπεύει την κατάσταση παίκτη η οποία έχει ακυρωθεί μετά από 4 έτη από την ανάκλησή της. </w:t>
      </w:r>
    </w:p>
    <w:p w14:paraId="7BAB001A" w14:textId="77777777" w:rsidR="003B5C7A" w:rsidRPr="00112FA3" w:rsidRDefault="003B5C7A" w:rsidP="003B5C7A">
      <w:pPr>
        <w:jc w:val="both"/>
        <w:rPr>
          <w:rFonts w:ascii="Arial" w:hAnsi="Arial" w:cs="Arial"/>
          <w:bCs/>
        </w:rPr>
      </w:pPr>
      <w:r>
        <w:rPr>
          <w:rFonts w:ascii="Arial" w:hAnsi="Arial"/>
        </w:rPr>
        <w:t>● CD Ακυρώθηκε λόγω θανάτου. Αντιπροσωπεύει την κατάσταση του παίκτη που έχει ταυτοποιηθεί ως θανών.</w:t>
      </w:r>
    </w:p>
    <w:p w14:paraId="6A2FE785" w14:textId="77777777" w:rsidR="003B5C7A" w:rsidRPr="00112FA3" w:rsidRDefault="003B5C7A" w:rsidP="003B5C7A">
      <w:pPr>
        <w:jc w:val="both"/>
        <w:rPr>
          <w:rFonts w:ascii="Arial" w:hAnsi="Arial" w:cs="Arial"/>
          <w:bCs/>
        </w:rPr>
      </w:pPr>
      <w:r>
        <w:rPr>
          <w:rFonts w:ascii="Arial" w:hAnsi="Arial"/>
        </w:rPr>
        <w:t xml:space="preserve">● SC Προσωρινή αναστολή. Αντιπροσωπεύει την κατάσταση παίκτη που τελεί υπό προσωρινή αναστολή από τον φορέα εκμετάλλευσης λόγω υποψίας αθέμιτης ή δόλιας συμπεριφοράς ή επειδή επέτρεψε τη χρήση της εγγραφής του χρήστη από τρίτους. </w:t>
      </w:r>
    </w:p>
    <w:p w14:paraId="4AD1BFBE" w14:textId="77777777" w:rsidR="003B5C7A" w:rsidRPr="00112FA3" w:rsidRDefault="003B5C7A" w:rsidP="003B5C7A">
      <w:pPr>
        <w:jc w:val="both"/>
        <w:rPr>
          <w:rFonts w:ascii="Arial" w:hAnsi="Arial" w:cs="Arial"/>
          <w:bCs/>
        </w:rPr>
      </w:pPr>
      <w:r>
        <w:rPr>
          <w:rFonts w:ascii="Arial" w:hAnsi="Arial"/>
        </w:rPr>
        <w:t xml:space="preserve">● AC: Ακύρωση σύμβασης. Αντιπροσωπεύει την κατάσταση παίκτη που τελεί υπό προσωρινή αναστολή και ο οποίος, κατά τη γνώμη του φορέα εκμετάλλευσης, έχει αποδειχθεί ότι έχει διαπράξει απάτη ή συμπαιγνία ή έχει παράσχει τον λογαριασμό χρήστη του σε τρίτο μέρος, προτρέποντας τον φορέα εκμετάλλευσης να λύσει μονομερώς τη σύμβαση. </w:t>
      </w:r>
    </w:p>
    <w:p w14:paraId="6BB5C179" w14:textId="77777777" w:rsidR="003B5C7A" w:rsidRPr="00112FA3" w:rsidRDefault="003B5C7A" w:rsidP="003B5C7A">
      <w:pPr>
        <w:jc w:val="both"/>
        <w:rPr>
          <w:rFonts w:ascii="Arial" w:hAnsi="Arial" w:cs="Arial"/>
          <w:bCs/>
        </w:rPr>
      </w:pPr>
      <w:r>
        <w:rPr>
          <w:rFonts w:ascii="Arial" w:hAnsi="Arial"/>
        </w:rPr>
        <w:lastRenderedPageBreak/>
        <w:t xml:space="preserve">● PR: Υποκειμενική απαγόρευση. Αντιπροσωπεύει την κατάσταση παίκτη που υπόκειται σε οποιαδήποτε από τις υποκειμενικές απαγορεύσεις που προβλέπονται στο άρθρο 6 του νόμου 13/2011 (ανήλικοι, εγγεγραμμένοι στο RGIAJ, ενώσεις, ...) </w:t>
      </w:r>
    </w:p>
    <w:p w14:paraId="36CC3CEA" w14:textId="77777777" w:rsidR="003B5C7A" w:rsidRPr="00112FA3" w:rsidRDefault="003B5C7A" w:rsidP="003B5C7A">
      <w:pPr>
        <w:jc w:val="both"/>
        <w:rPr>
          <w:rFonts w:ascii="Arial" w:hAnsi="Arial" w:cs="Arial"/>
          <w:bCs/>
        </w:rPr>
      </w:pPr>
      <w:r>
        <w:rPr>
          <w:rFonts w:ascii="Arial" w:hAnsi="Arial"/>
        </w:rPr>
        <w:t xml:space="preserve">● AE: Επιλογή εξαίρεσης. Αντιπροσωπεύει την κατάσταση παίκτη που έχει οικειοθελώς αποφασίσει να εξαιρεθεί από το παιχνίδι που προσφέρει ο φορέας εκμετάλλευσης. </w:t>
      </w:r>
    </w:p>
    <w:p w14:paraId="54499D85" w14:textId="77777777" w:rsidR="003B5C7A" w:rsidRPr="00112FA3" w:rsidRDefault="003B5C7A" w:rsidP="003B5C7A">
      <w:pPr>
        <w:jc w:val="both"/>
        <w:rPr>
          <w:rFonts w:ascii="Arial" w:hAnsi="Arial" w:cs="Arial"/>
          <w:bCs/>
        </w:rPr>
      </w:pPr>
      <w:r>
        <w:rPr>
          <w:rFonts w:ascii="Arial" w:hAnsi="Arial"/>
        </w:rPr>
        <w:t xml:space="preserve">● O: Άλλα. Άλλες πιθανές καταστάσεις παικτών που δεν περιλαμβάνονται στα παραπάνω. </w:t>
      </w:r>
    </w:p>
    <w:p w14:paraId="272CE038" w14:textId="77777777" w:rsidR="003B5C7A" w:rsidRPr="00112FA3" w:rsidRDefault="003B5C7A" w:rsidP="003B5C7A">
      <w:pPr>
        <w:jc w:val="both"/>
        <w:rPr>
          <w:rFonts w:ascii="Arial" w:hAnsi="Arial" w:cs="Arial"/>
          <w:bCs/>
        </w:rPr>
      </w:pPr>
      <w:r>
        <w:rPr>
          <w:rFonts w:ascii="Arial" w:hAnsi="Arial"/>
        </w:rPr>
        <w:t>EstadoOperador (κατάσταση φορέα εκμετάλλευσης) όπου ο φορέας εκμετάλλευσης καταχωρεί το όνομα της κατάστασης όπως αναφέρεται στην πλατφόρμα του».</w:t>
      </w:r>
    </w:p>
    <w:p w14:paraId="40371930" w14:textId="4F5B9E39" w:rsidR="004A6475" w:rsidRPr="00C73313" w:rsidRDefault="00BE2A52" w:rsidP="00F17E13">
      <w:pPr>
        <w:jc w:val="both"/>
        <w:rPr>
          <w:rFonts w:ascii="Arial" w:hAnsi="Arial" w:cs="Arial"/>
          <w:b/>
        </w:rPr>
      </w:pPr>
      <w:r>
        <w:rPr>
          <w:rFonts w:ascii="Arial" w:hAnsi="Arial"/>
          <w:b/>
        </w:rPr>
        <w:t>Ενιαία τελική διάταξη. Θέση σε ισχύ</w:t>
      </w:r>
    </w:p>
    <w:p w14:paraId="1CCE2500" w14:textId="7F190632" w:rsidR="001151E6" w:rsidRPr="00C169ED" w:rsidRDefault="001B4699" w:rsidP="0044700B">
      <w:pPr>
        <w:jc w:val="both"/>
        <w:rPr>
          <w:rFonts w:ascii="Arial" w:hAnsi="Arial" w:cs="Arial"/>
          <w:sz w:val="20"/>
        </w:rPr>
      </w:pPr>
      <w:r>
        <w:rPr>
          <w:rFonts w:ascii="Arial" w:hAnsi="Arial"/>
        </w:rPr>
        <w:t xml:space="preserve">Η παρούσα απόφαση τίθεται σε ισχύ έξι μήνες μετά τη δημοσίευσή της στην «Επίσημη Εφημερίδα της Κυβέρνησης».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Μαδρίτη, XX του ΥΥ 2022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ΓΕΝΙΚΗ ΔΙΕΥΘΥΝΣΗ ΔΙΑΧΕΙΡΙΣΗΣ ΤΥΧΕΡΩΝ ΠΑΙΓΝΙΩΝ</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2C0F"/>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1840</Words>
  <Characters>10492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5</cp:revision>
  <cp:lastPrinted>2022-11-25T11:05:00Z</cp:lastPrinted>
  <dcterms:created xsi:type="dcterms:W3CDTF">2022-11-25T12:23:00Z</dcterms:created>
  <dcterms:modified xsi:type="dcterms:W3CDTF">2023-01-27T09:21:00Z</dcterms:modified>
</cp:coreProperties>
</file>