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78A34BAE" w:rsidR="00EA4D8C" w:rsidRDefault="006D355F" w:rsidP="00EA4D8C">
      <w:pPr>
        <w:jc w:val="both"/>
        <w:rPr>
          <w:b/>
          <w:rFonts w:ascii="Arial" w:hAnsi="Arial" w:cs="Arial"/>
        </w:rPr>
      </w:pPr>
      <w:r>
        <w:rPr>
          <w:b/>
          <w:rFonts w:ascii="Arial" w:hAnsi="Arial"/>
        </w:rPr>
        <w:t xml:space="preserve">LOŠIMŲ REGULIAVIMO GENERALINIO DIREKTORATO REZOLIUCIJA, KURIA IŠ DALIES KEIČIAMA 2012 M. LIEPOS 12 D. LOŠIMŲ REGULIAVIMO GENERALINIO DIREKTORATO REZOLIUCIJA, KURIA PATVIRTINAMA NUOSTATA, KURIA ĮGYVENDINAMI LAPKRIČIO 14 D. KARALIŠKOJO DEKRETO NR. 1613/2011 DĖL LOŠIMŲ DALYVIŲ TAPATYBĖS NUSTATYMO IR SUBJEKTYVIŲ DALYVAVIMO DRAUDIMŲ STEBĖSENOS 26 IR 27 STRAIPSNIAI, IR 2014 M. SPALIO 6 D. LOŠIMŲ REGULIAVIMO GENERALINIO DIREKTORATO REZOLIUCIJA, KURIA PATVIRTINAMAS LOŠIMŲ VEIKLOS REGISTRŲ INFORMACIJOS STEBĖJIMO SISTEMOS DUOMENŲ MODELIS.</w:t>
      </w:r>
    </w:p>
    <w:p w14:paraId="0EA78337" w14:textId="77777777" w:rsidR="00554712" w:rsidRPr="002800C6" w:rsidRDefault="00554712" w:rsidP="00554712">
      <w:pPr>
        <w:jc w:val="both"/>
        <w:rPr>
          <w:rFonts w:ascii="Arial" w:hAnsi="Arial" w:cs="Arial"/>
        </w:rPr>
      </w:pPr>
      <w:r>
        <w:rPr>
          <w:rFonts w:ascii="Arial" w:hAnsi="Arial"/>
        </w:rPr>
        <w:t xml:space="preserve">Gegužės 27 d. Įstatymu Nr. 13/2011 dėl lošimų reguliavimo apibrėžiama įvairių formų lošimo veiklos valstybiniu lygmeniu reguliavimo sistema, kuria siekiama užtikrinti viešosios tvarkos apsaugą, kovoti su sukčiavimu, užkirsti kelią priklausomybėms, ginti nepilnamečių teises ir apsaugoti lošėjų teises.</w:t>
      </w:r>
    </w:p>
    <w:p w14:paraId="480515CE" w14:textId="159D44D5" w:rsidR="00050794" w:rsidRDefault="00E82824" w:rsidP="007B6331">
      <w:pPr>
        <w:jc w:val="both"/>
        <w:rPr>
          <w:rFonts w:ascii="Arial" w:hAnsi="Arial" w:cs="Arial"/>
        </w:rPr>
      </w:pPr>
      <w:r>
        <w:rPr>
          <w:rFonts w:ascii="Arial" w:hAnsi="Arial"/>
        </w:rPr>
        <w:t xml:space="preserve">Lapkričio 14 d. Karališkasis dekretas Nr. 1613/2011, kuriuo įgyvendinamas gegužės 27 d. Įstatymas Nr. 13/2011 dėl lošimų reguliavimo, kiek tai susiję su techniniais lošimų veiklos reikalavimais, buvo paskelbtas įgyvendinant šį įstatymą.</w:t>
      </w:r>
      <w:r>
        <w:rPr>
          <w:rFonts w:ascii="Arial" w:hAnsi="Arial"/>
        </w:rPr>
        <w:t xml:space="preserve"> </w:t>
      </w:r>
      <w:r>
        <w:rPr>
          <w:rFonts w:ascii="Arial" w:hAnsi="Arial"/>
        </w:rPr>
        <w:t xml:space="preserve">26 ir 27 straipsniuose šia taisykle reglamentuojamas dalyvių tapatybės nustatymas ir subjektyvių draudimo dalyvauti lošimuose kontrolė taikant patikrinimo sistemą, kurią turėjo įgyvendinti lošimų veiklos vykdytojai.</w:t>
      </w:r>
      <w:r>
        <w:rPr>
          <w:rFonts w:ascii="Arial" w:hAnsi="Arial"/>
        </w:rPr>
        <w:t xml:space="preserve"> </w:t>
      </w:r>
    </w:p>
    <w:p w14:paraId="69F382CD" w14:textId="76176572" w:rsidR="00E82824" w:rsidRPr="00E82824" w:rsidRDefault="00F117CE" w:rsidP="007B6331">
      <w:pPr>
        <w:jc w:val="both"/>
        <w:rPr>
          <w:rFonts w:ascii="Arial" w:hAnsi="Arial" w:cs="Arial"/>
        </w:rPr>
      </w:pPr>
      <w:r>
        <w:rPr>
          <w:rFonts w:ascii="Arial" w:hAnsi="Arial"/>
        </w:rPr>
        <w:t xml:space="preserve">Įgyvendinant šias nuostatas, buvo paskelbta 2012 m. liepos 12 d. Lošimų reguliavimo generalinio direktorato rezoliucija, kuria patvirtinama nuostata, kuria įgyvendinami lapkričio 14 d. Karališkojo dekreto Nr. 1613/2011 dėl lošimų dalyvių tapatybės nustatymo ir subjektyvių dalyvavimo draudimų stebėsenos 26 ir 27 straipsniai, ir kuri iš dalies pakeista, siekiant pagerinti lošimų operatorių atliekamus tapatybės patikrinimo procedūras, susijusias su dalyvių pateiktais duomenimis, 2018 m. spalio 31 d. Lošimų reguliavimo generalinio direktorato rezoliucija, kuria iš dalies keičiamos tam tikros rezoliucijos dėl lošimų veiklos, kuriai taikomas gegužės 27 d. Įstatymas Nr. 13/2011 dėl lošimų reguliavimo.</w:t>
      </w:r>
      <w:r>
        <w:rPr>
          <w:rFonts w:ascii="Arial" w:hAnsi="Arial"/>
        </w:rPr>
        <w:t xml:space="preserve"> </w:t>
      </w:r>
    </w:p>
    <w:p w14:paraId="3AC1AA50" w14:textId="76C55535" w:rsidR="008E4897" w:rsidRDefault="008E4897" w:rsidP="008D4EA9">
      <w:pPr>
        <w:jc w:val="both"/>
        <w:rPr>
          <w:rFonts w:ascii="Arial" w:hAnsi="Arial" w:cs="Arial"/>
        </w:rPr>
      </w:pPr>
      <w:r>
        <w:rPr>
          <w:rFonts w:ascii="Arial" w:hAnsi="Arial"/>
        </w:rPr>
        <w:t xml:space="preserve">Praėjus ketveriems metams po paskutinio pakeitimo ir praėjus dešimčiai metų nuo minėtos reguliavimo sistemos patvirtinimo, atsižvelgiant į per tą laiką įgytą patirtį, tikslinga atnaujinti šias tapatybės patikrinimo procedūras, kurias įgyvendina lošimų veiklos vykdytojai, iš dalies pakeičiant 2012 m. liepos 12 d. rezoliuciją.</w:t>
      </w:r>
      <w:r>
        <w:rPr>
          <w:rFonts w:ascii="Arial" w:hAnsi="Arial"/>
        </w:rPr>
        <w:t xml:space="preserve"> </w:t>
      </w:r>
    </w:p>
    <w:p w14:paraId="73AA14DE" w14:textId="621F2406" w:rsidR="00E82824" w:rsidRDefault="00E82824" w:rsidP="008D4EA9">
      <w:pPr>
        <w:jc w:val="both"/>
        <w:rPr>
          <w:rFonts w:ascii="Arial" w:hAnsi="Arial" w:cs="Arial"/>
        </w:rPr>
      </w:pPr>
      <w:r>
        <w:rPr>
          <w:rFonts w:ascii="Arial" w:hAnsi="Arial"/>
        </w:rPr>
        <w:t xml:space="preserve">Visų pirma šia rezoliucija atnaujinamos veiklos vykdytojų pareigos, susijusios su pranešimais, kuriuos jie turi teikti Lošimų reguliavimo generaliniam direktoratui, panaikinant pareigą teikti tam tikras ataskaitas, susijusias su pateiktų užklausų skaičiumi, ir nustatant pareigą pranešti apie naudotojų įrašų panaikinimą.</w:t>
      </w:r>
      <w:r>
        <w:rPr>
          <w:rFonts w:ascii="Arial" w:hAnsi="Arial"/>
        </w:rPr>
        <w:t xml:space="preserve"> </w:t>
      </w:r>
      <w:r>
        <w:rPr>
          <w:rFonts w:ascii="Arial" w:hAnsi="Arial"/>
        </w:rPr>
        <w:t xml:space="preserve">Be to, per Tapatybės patikrinimo sistemą reguliuojama telematinė prieiga prie civilinio registro mirusių asmenų dalies ir sąlygos, kuriomis veiklos vykdytojai savo arba Lošimų reguliavimo generalinio direktorato iniciatyva periodiškai tikrins dalyvių tapatybę ir ar jiems netaikomi subjektyvūs dalyvavimo draudimai.</w:t>
      </w:r>
      <w:r>
        <w:rPr>
          <w:rFonts w:ascii="Arial" w:hAnsi="Arial"/>
        </w:rPr>
        <w:t xml:space="preserve"> </w:t>
      </w:r>
    </w:p>
    <w:p w14:paraId="498C1B01" w14:textId="0658F4E7" w:rsidR="00EA4D8C" w:rsidRDefault="00E81705" w:rsidP="00EA4D8C">
      <w:pPr>
        <w:jc w:val="both"/>
        <w:rPr>
          <w:rFonts w:ascii="Arial" w:hAnsi="Arial" w:cs="Arial"/>
        </w:rPr>
      </w:pPr>
      <w:r>
        <w:rPr>
          <w:rFonts w:ascii="Arial" w:hAnsi="Arial"/>
        </w:rPr>
        <w:t xml:space="preserve">Galiausiai 2014 m. spalio 6 d. Lošimų reguliavimo generalinio direktorato rezoliucija, kuria patvirtinamas lošimų veiklos registrų informacijos stebėjimo sistemos duomenų modelis, iš dalies keičiama siekiant įtraukti naują lošėjų būseną.</w:t>
      </w:r>
      <w:r>
        <w:rPr>
          <w:rFonts w:ascii="Arial" w:hAnsi="Arial"/>
        </w:rPr>
        <w:t xml:space="preserve">  </w:t>
      </w:r>
    </w:p>
    <w:p w14:paraId="591328C1" w14:textId="77777777" w:rsidR="005D3D4D" w:rsidRPr="008D47DC" w:rsidRDefault="005D3D4D" w:rsidP="009B4DF9">
      <w:pPr>
        <w:jc w:val="both"/>
        <w:rPr>
          <w:rFonts w:ascii="Arial" w:hAnsi="Arial" w:cs="Arial"/>
        </w:rPr>
      </w:pPr>
      <w:r>
        <w:rPr>
          <w:rFonts w:ascii="Arial" w:hAnsi="Arial"/>
        </w:rPr>
        <w:t xml:space="preserve">Apie šią priemonę buvo pranešta vadovaujantis informacijos apie techninius reglamentus ir informacinės visuomenės paslaugų taisykles teikimo tvarka, nustatyta 2015 m. rugsėjo 9 d. Europos Parlamento ir Tarybos direktyva (ES) 2015/1535, kuria nustatoma informacijos apie techninius reglamentus ir informacinės visuomenės paslaugų taisykles teikimo tvarka.</w:t>
      </w:r>
    </w:p>
    <w:p w14:paraId="4F0F688D" w14:textId="6F01AAE2" w:rsidR="00F116AB" w:rsidRPr="008D47DC" w:rsidRDefault="00B57B31" w:rsidP="00B369ED">
      <w:pPr>
        <w:jc w:val="both"/>
        <w:rPr>
          <w:rFonts w:ascii="Arial" w:hAnsi="Arial" w:cs="Arial"/>
        </w:rPr>
      </w:pPr>
      <w:r>
        <w:rPr>
          <w:rFonts w:ascii="Arial" w:hAnsi="Arial"/>
        </w:rPr>
        <w:t xml:space="preserve">Remdamasis tuo ir vadovaudamasis palankia Vartotojų reikalų ministerijos Valstybinės prokuratūros ataskaita, Generalinio direktorato direktorius nutaria:</w:t>
      </w:r>
      <w:r>
        <w:rPr>
          <w:rFonts w:ascii="Arial" w:hAnsi="Arial"/>
        </w:rPr>
        <w:t xml:space="preserve"> </w:t>
      </w:r>
    </w:p>
    <w:p w14:paraId="1D2ACD67" w14:textId="3730E816" w:rsidR="00D825A8" w:rsidRPr="00B55FF0" w:rsidRDefault="005B0F06" w:rsidP="00D825A8">
      <w:pPr>
        <w:jc w:val="both"/>
        <w:rPr>
          <w:rFonts w:ascii="Arial" w:hAnsi="Arial" w:cs="Arial"/>
        </w:rPr>
      </w:pPr>
      <w:r>
        <w:rPr>
          <w:b/>
          <w:rFonts w:ascii="Arial" w:hAnsi="Arial"/>
        </w:rPr>
        <w:t xml:space="preserve">1 straipsnis.</w:t>
      </w:r>
      <w:r>
        <w:rPr>
          <w:b/>
          <w:rFonts w:ascii="Arial" w:hAnsi="Arial"/>
        </w:rPr>
        <w:t xml:space="preserve"> </w:t>
      </w:r>
      <w:r>
        <w:rPr>
          <w:b/>
          <w:rFonts w:ascii="Arial" w:hAnsi="Arial"/>
        </w:rPr>
        <w:t xml:space="preserve">2012 m. liepos 12 d. sprendimo, kuriuo patvirtinama priemonė, kuria įgyvendinami lapkričio 14 d. Karališkojo dekreto Nr. 1613/2011 dėl lošimų dalyvių tapatybės nustatymo ir subjektyvių dalyvavimo draudimų stebėsenos 26 ir 27 straipsniai, pakeitimas, kaip nurodyta toliau:</w:t>
      </w:r>
    </w:p>
    <w:p w14:paraId="3733892D" w14:textId="365CE94D" w:rsidR="00523061" w:rsidRPr="00523061" w:rsidRDefault="005B0F06" w:rsidP="00523061">
      <w:pPr>
        <w:jc w:val="both"/>
        <w:rPr>
          <w:rFonts w:ascii="Arial" w:hAnsi="Arial" w:cs="Arial"/>
        </w:rPr>
      </w:pPr>
      <w:r>
        <w:rPr>
          <w:rFonts w:ascii="Arial" w:hAnsi="Arial"/>
        </w:rPr>
        <w:t xml:space="preserve">I.</w:t>
      </w:r>
      <w:r>
        <w:rPr>
          <w:rFonts w:ascii="Arial" w:hAnsi="Arial"/>
        </w:rPr>
        <w:t xml:space="preserve"> </w:t>
      </w:r>
      <w:r>
        <w:rPr>
          <w:rFonts w:ascii="Arial" w:hAnsi="Arial"/>
        </w:rPr>
        <w:t xml:space="preserve">I priedo 7 dalies 6 punktas išbraukiamas.</w:t>
      </w:r>
    </w:p>
    <w:p w14:paraId="09434F7D" w14:textId="1FB9E75B" w:rsidR="00EB1D43" w:rsidRPr="00523061" w:rsidRDefault="005B0F06" w:rsidP="00EB1D43">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I priedo 11 dalies 5 punktas išbraukiamas.</w:t>
      </w:r>
    </w:p>
    <w:p w14:paraId="1D47C45E" w14:textId="2ACFA05B" w:rsidR="00523061" w:rsidRDefault="00EB1D43" w:rsidP="00B369ED">
      <w:pPr>
        <w:jc w:val="both"/>
        <w:rPr>
          <w:b/>
          <w:rFonts w:ascii="Arial" w:hAnsi="Arial" w:cs="Arial"/>
        </w:rPr>
      </w:pPr>
      <w:r>
        <w:rPr>
          <w:rFonts w:ascii="Arial" w:hAnsi="Arial"/>
        </w:rPr>
        <w:t xml:space="preserve">III.</w:t>
      </w:r>
      <w:r>
        <w:rPr>
          <w:b/>
          <w:rFonts w:ascii="Arial" w:hAnsi="Arial"/>
        </w:rPr>
        <w:t xml:space="preserve"> </w:t>
      </w:r>
      <w:r>
        <w:rPr>
          <w:rFonts w:ascii="Arial" w:hAnsi="Arial"/>
        </w:rPr>
        <w:t xml:space="preserve">I priedo trylikta dalis papildoma nauja pastraipa (4), kuri išdėstoma taip:</w:t>
      </w:r>
      <w:r>
        <w:rPr>
          <w:b/>
          <w:rFonts w:ascii="Arial" w:hAnsi="Arial"/>
        </w:rPr>
        <w:t xml:space="preserve"> </w:t>
      </w:r>
    </w:p>
    <w:p w14:paraId="485CBBD7" w14:textId="210D0A2B" w:rsidR="00523061" w:rsidRPr="00523061" w:rsidRDefault="002C716C" w:rsidP="00523061">
      <w:pPr>
        <w:jc w:val="both"/>
        <w:rPr>
          <w:b/>
          <w:rFonts w:ascii="Arial" w:hAnsi="Arial" w:cs="Arial"/>
        </w:rPr>
      </w:pPr>
      <w:r>
        <w:rPr>
          <w:rFonts w:ascii="Arial" w:hAnsi="Arial"/>
        </w:rPr>
        <w:t xml:space="preserve">„4.</w:t>
      </w:r>
      <w:r>
        <w:rPr>
          <w:rFonts w:ascii="Arial" w:hAnsi="Arial"/>
        </w:rPr>
        <w:t xml:space="preserve"> </w:t>
      </w:r>
      <w:r>
        <w:rPr>
          <w:rFonts w:ascii="Arial" w:hAnsi="Arial"/>
        </w:rPr>
        <w:t xml:space="preserve">Veiklos vykdytojas privalo informuoti Lošimų reguliavimo generalinį direktoratą apie naudotojo registracijos panaikinimą.</w:t>
      </w:r>
      <w:r>
        <w:rPr>
          <w:rFonts w:ascii="Arial" w:hAnsi="Arial"/>
        </w:rPr>
        <w:t xml:space="preserve"> </w:t>
      </w:r>
      <w:r>
        <w:rPr>
          <w:rFonts w:ascii="Arial" w:hAnsi="Arial"/>
        </w:rPr>
        <w:t xml:space="preserve">Informacija turi būti perduodama per Lošimų reguliavimo generalinio direktorato Tapatybės patikrinimo sistemą, skirtą dalyviams.</w:t>
      </w:r>
      <w:r>
        <w:rPr>
          <w:rFonts w:ascii="Arial" w:hAnsi="Arial"/>
        </w:rPr>
        <w:t xml:space="preserve"> </w:t>
      </w:r>
      <w:r>
        <w:rPr>
          <w:rFonts w:ascii="Arial" w:hAnsi="Arial"/>
        </w:rPr>
        <w:t xml:space="preserve">Lošimų reguliavimo generalinis direktoratas nesuteikia veiklos vykdytojams informacijos apie panaikintą naudotojų registraciją pagal šios rezoliucijos 11 straipsnio 3 dalį.</w:t>
      </w:r>
      <w:r>
        <w:rPr>
          <w:rFonts w:ascii="Arial" w:hAnsi="Arial"/>
        </w:rPr>
        <w:t xml:space="preserve"> </w:t>
      </w:r>
      <w:r>
        <w:rPr>
          <w:rFonts w:ascii="Arial" w:hAnsi="Arial"/>
        </w:rPr>
        <w:t xml:space="preserve">Jei veiklos vykdytojui pateikiamas prašymas aktyvuoti anksčiau panaikintą naudotojo registraciją, būtina nustatyti dalyvio tapatybę ir patikrinti, ar jam netaikomi jokie šioje rezoliucijoje nustatyti subjektyvūs draudimai.</w:t>
      </w:r>
    </w:p>
    <w:p w14:paraId="573F59AF" w14:textId="4C454A2D" w:rsidR="00523061" w:rsidRDefault="00EB1D43" w:rsidP="00B369ED">
      <w:pPr>
        <w:jc w:val="both"/>
        <w:rPr>
          <w:b/>
          <w:rFonts w:ascii="Arial" w:hAnsi="Arial" w:cs="Arial"/>
        </w:rPr>
      </w:pPr>
      <w:r>
        <w:rPr>
          <w:rFonts w:ascii="Arial" w:hAnsi="Arial"/>
        </w:rPr>
        <w:t xml:space="preserve">IV.</w:t>
      </w:r>
      <w:r>
        <w:rPr>
          <w:b/>
          <w:rFonts w:ascii="Arial" w:hAnsi="Arial"/>
        </w:rPr>
        <w:t xml:space="preserve"> </w:t>
      </w:r>
      <w:r>
        <w:rPr>
          <w:rFonts w:ascii="Arial" w:hAnsi="Arial"/>
        </w:rPr>
        <w:t xml:space="preserve">Į I priedą įtraukiama keturiolikta pastraipa, kuri išdėstoma taip:</w:t>
      </w:r>
    </w:p>
    <w:p w14:paraId="054E2766" w14:textId="0C4BDC28" w:rsidR="00523061" w:rsidRPr="00523061" w:rsidRDefault="009867C7" w:rsidP="00B369ED">
      <w:pPr>
        <w:jc w:val="both"/>
        <w:rPr>
          <w:bCs/>
          <w:rFonts w:ascii="Arial" w:hAnsi="Arial" w:cs="Arial"/>
        </w:rPr>
      </w:pPr>
      <w:r>
        <w:rPr>
          <w:rFonts w:ascii="Arial" w:hAnsi="Arial"/>
        </w:rPr>
        <w:t xml:space="preserve">„14.</w:t>
      </w:r>
      <w:r>
        <w:rPr>
          <w:rFonts w:ascii="Arial" w:hAnsi="Arial"/>
        </w:rPr>
        <w:t xml:space="preserve"> </w:t>
      </w:r>
      <w:r>
        <w:rPr>
          <w:i/>
          <w:rFonts w:ascii="Arial" w:hAnsi="Arial"/>
        </w:rPr>
        <w:t xml:space="preserve">Prieigos prie mirusiojo lošimų draudimų kontrolė.</w:t>
      </w:r>
      <w:r>
        <w:rPr>
          <w:rFonts w:ascii="Arial" w:hAnsi="Arial"/>
        </w:rPr>
        <w:t xml:space="preserve"> </w:t>
      </w:r>
    </w:p>
    <w:p w14:paraId="1D7545B8" w14:textId="77777777" w:rsidR="00523061" w:rsidRPr="00EA4D8C"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Lošimų reguliavimo generalinis direktoratas per Lošimų reguliavimo generalinio direktorato Tapatybės patikrinimo sistemą, skirtą dalyviams, lošimų veiklos vykdytojams suteiks telematinę prieigą prie civilinio registro mirusių asmenų dalies, kad būtų galima patikrinti, ar dalyviai nėra mirę.</w:t>
      </w:r>
    </w:p>
    <w:p w14:paraId="3700579F" w14:textId="77777777"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Lošimų veiklos vykdytojai kiekvieną dieną turi patikrinti, ar dalyviai, turintys aktyvias naudotojų registracijas, nėra užregistruoti kaip mirę Lošimų reguliavimo generalinio direktorato Tapatybės patikrinimo sistemoje, skirtoje dalyviams.</w:t>
      </w:r>
      <w:r>
        <w:rPr>
          <w:rFonts w:ascii="Arial" w:hAnsi="Arial"/>
        </w:rPr>
        <w:t xml:space="preserve"> </w:t>
      </w:r>
      <w:r>
        <w:rPr>
          <w:rFonts w:ascii="Arial" w:hAnsi="Arial"/>
        </w:rPr>
        <w:t xml:space="preserve">Šiuo tikslu Lošimų reguliavimo generalinis direktoratas nurodytu dažnumu sugeneruos ir pateiks veiklos vykdytojams atnaujintą kompiuterinį failą, kuriame dėl registracijos duomenų registravimo civilinio registro mirusių asmenų dalyje padaryti pakeitimai, taip pat padaryti Lošimų reguliavimo generalinio direktorato Tapatybės patikrinimo sistemoje, skirtoje dalyviams, ir turi įtakos kiekvieno veiklos vykdytojo užregistruotam dalyviui.</w:t>
      </w:r>
      <w:r>
        <w:rPr>
          <w:rFonts w:ascii="Arial" w:hAnsi="Arial"/>
        </w:rPr>
        <w:t xml:space="preserve"> </w:t>
      </w:r>
      <w:r>
        <w:rPr>
          <w:rFonts w:ascii="Arial" w:hAnsi="Arial"/>
        </w:rPr>
        <w:t xml:space="preserve">Jei dėl techninių priežasčių ar paslaugos prieinamumo sutrikimų Lošimų reguliavimo generalinis direktoratas veiklos vykdytojams negali pateikti atnaujintų duomenų, patikrinimas atliekamas remiantis paskutiniame pateiktame atnaujinime pateiktais duomenimis.</w:t>
      </w:r>
      <w:r>
        <w:rPr>
          <w:rFonts w:ascii="Arial" w:hAnsi="Arial"/>
        </w:rPr>
        <w:t xml:space="preserve"> </w:t>
      </w:r>
    </w:p>
    <w:p w14:paraId="232E35F2" w14:textId="5549976A" w:rsidR="00523061" w:rsidRPr="00523061" w:rsidRDefault="00523061" w:rsidP="00523061">
      <w:pPr>
        <w:jc w:val="both"/>
        <w:rPr>
          <w:b/>
          <w:rFonts w:ascii="Arial" w:hAnsi="Arial" w:cs="Arial"/>
        </w:rPr>
      </w:pPr>
      <w:r>
        <w:rPr>
          <w:rFonts w:ascii="Arial" w:hAnsi="Arial"/>
        </w:rPr>
        <w:t xml:space="preserve">Tais atvejais, kai po pakeitimų paaiškėja, kad aktyvią naudotojo registraciją turintis dalyvis yra užregistruotas civilinio registro mirusių asmenų dalyje, veiklos vykdytojas ją panaikina.</w:t>
      </w:r>
      <w:r>
        <w:rPr>
          <w:rFonts w:ascii="Arial" w:hAnsi="Arial"/>
        </w:rPr>
        <w:t xml:space="preserve"> </w:t>
      </w:r>
      <w:r>
        <w:rPr>
          <w:rFonts w:ascii="Arial" w:hAnsi="Arial"/>
        </w:rPr>
        <w:t xml:space="preserve">Tokiais atvejais atšaukimas neužkerta kelio atsiskaityti už lošimo sąskaitą ir sumokėti sumas, kurios, kaip ankščiau sumokėti indėliai ar prizai, atitinka teisėtą paveldėtoją pagal galiojančius teisės aktus.</w:t>
      </w:r>
      <w:r>
        <w:rPr>
          <w:rFonts w:ascii="Arial" w:hAnsi="Arial"/>
        </w:rPr>
        <w:t xml:space="preserve"> </w:t>
      </w:r>
      <w:r>
        <w:rPr>
          <w:rFonts w:ascii="Arial" w:hAnsi="Arial"/>
        </w:rPr>
        <w:t xml:space="preserve">Panaikinus sąskaitą, taikomos šios rezoliucijos 13 dalies 4 punkto nuostatos.“</w:t>
      </w:r>
    </w:p>
    <w:p w14:paraId="337D8F87" w14:textId="1A0D7223" w:rsidR="00523061" w:rsidRDefault="00EB1D43" w:rsidP="00B369ED">
      <w:pPr>
        <w:jc w:val="both"/>
        <w:rPr>
          <w:b/>
          <w:rFonts w:ascii="Arial" w:hAnsi="Arial" w:cs="Arial"/>
        </w:rPr>
      </w:pPr>
      <w:r>
        <w:rPr>
          <w:rFonts w:ascii="Arial" w:hAnsi="Arial"/>
        </w:rPr>
        <w:t xml:space="preserve">V.</w:t>
      </w:r>
      <w:r>
        <w:rPr>
          <w:b/>
          <w:rFonts w:ascii="Arial" w:hAnsi="Arial"/>
        </w:rPr>
        <w:t xml:space="preserve"> </w:t>
      </w:r>
      <w:r>
        <w:rPr>
          <w:rFonts w:ascii="Arial" w:hAnsi="Arial"/>
        </w:rPr>
        <w:t xml:space="preserve">Į I priedą įtraukiama penkiolikta pastraipa, kuri išdėstoma taip:</w:t>
      </w:r>
    </w:p>
    <w:p w14:paraId="10C76A7F" w14:textId="03428FC8" w:rsidR="00523061" w:rsidRDefault="00932A74" w:rsidP="00B369ED">
      <w:pPr>
        <w:jc w:val="both"/>
        <w:rPr>
          <w:b/>
          <w:rFonts w:ascii="Arial" w:hAnsi="Arial" w:cs="Arial"/>
        </w:rPr>
      </w:pPr>
      <w:r>
        <w:rPr>
          <w:rFonts w:ascii="Arial" w:hAnsi="Arial"/>
        </w:rPr>
        <w:t xml:space="preserve">„15.</w:t>
      </w:r>
      <w:r>
        <w:rPr>
          <w:rFonts w:ascii="Arial" w:hAnsi="Arial"/>
        </w:rPr>
        <w:t xml:space="preserve"> </w:t>
      </w:r>
      <w:r>
        <w:rPr>
          <w:i/>
          <w:rFonts w:ascii="Arial" w:hAnsi="Arial"/>
        </w:rPr>
        <w:t xml:space="preserve">Periodinės patikros</w:t>
      </w:r>
      <w:r>
        <w:rPr>
          <w:b/>
          <w:rFonts w:ascii="Arial" w:hAnsi="Arial"/>
        </w:rPr>
        <w:t xml:space="preserve"> </w:t>
      </w:r>
    </w:p>
    <w:p w14:paraId="412F544E" w14:textId="659D2F45" w:rsidR="00523061" w:rsidRPr="00523061" w:rsidRDefault="00523061" w:rsidP="00523061">
      <w:pPr>
        <w:jc w:val="both"/>
        <w:rPr>
          <w:bCs/>
          <w:rFonts w:ascii="Arial" w:hAnsi="Arial" w:cs="Arial"/>
        </w:rPr>
      </w:pPr>
      <w:r>
        <w:rPr>
          <w:rFonts w:ascii="Arial" w:hAnsi="Arial"/>
        </w:rPr>
        <w:t xml:space="preserve">1.</w:t>
      </w:r>
      <w:r>
        <w:rPr>
          <w:rFonts w:ascii="Arial" w:hAnsi="Arial"/>
        </w:rPr>
        <w:t xml:space="preserve"> </w:t>
      </w:r>
      <w:r>
        <w:rPr>
          <w:rFonts w:ascii="Arial" w:hAnsi="Arial"/>
        </w:rPr>
        <w:t xml:space="preserve">Lošimų veiklos vykdytojai gali atlikti specialias su dalyvių tapatybės nustatymu ir patikrinimu susijusias patikras, siekdami sužinoti, ar jiems netaikomi jokie šioje rezoliucijoje nustatyti subjektyvūs draudimai.</w:t>
      </w:r>
      <w:r>
        <w:rPr>
          <w:rFonts w:ascii="Arial" w:hAnsi="Arial"/>
        </w:rPr>
        <w:t xml:space="preserve"> </w:t>
      </w:r>
      <w:r>
        <w:rPr>
          <w:rFonts w:ascii="Arial" w:hAnsi="Arial"/>
        </w:rPr>
        <w:t xml:space="preserve">Veiklos vykdytojas turi prašyti leidimo ir pranešti apie šių tikrinimo procesų pradžią bei pabaigą per Lošimų reguliavimo generalinio direktorato Tapatybės patikrinimo sistemą, skirtą dalyviams, Lošimų reguliavimo generalinio direktorato nustatytomis sąlygomis.</w:t>
      </w:r>
    </w:p>
    <w:p w14:paraId="4FC212F8" w14:textId="4973AE0F" w:rsidR="00523061" w:rsidRPr="00523061" w:rsidRDefault="00523061" w:rsidP="00523061">
      <w:pPr>
        <w:jc w:val="both"/>
        <w:rPr>
          <w:bCs/>
          <w:rFonts w:ascii="Arial" w:hAnsi="Arial" w:cs="Arial"/>
        </w:rPr>
      </w:pPr>
      <w:r>
        <w:rPr>
          <w:rFonts w:ascii="Arial" w:hAnsi="Arial"/>
        </w:rPr>
        <w:t xml:space="preserve">2.</w:t>
      </w:r>
      <w:r>
        <w:rPr>
          <w:rFonts w:ascii="Arial" w:hAnsi="Arial"/>
        </w:rPr>
        <w:t xml:space="preserve"> </w:t>
      </w:r>
      <w:r>
        <w:rPr>
          <w:rFonts w:ascii="Arial" w:hAnsi="Arial"/>
        </w:rPr>
        <w:t xml:space="preserve">Lošimų reguliavimo generalinis direktoratas gali reikalauti, kad lošimų veiklos vykdytojai atliktų specialias su dalyvių tapatybės nustatymu ir patikrinimu susijusias patikras, siekiant sužinoti, ar jiems netaikomi jokie šioje rezoliucijoje nustatyti subjektyvūs draudimai.</w:t>
      </w:r>
      <w:r>
        <w:rPr>
          <w:rFonts w:ascii="Arial" w:hAnsi="Arial"/>
        </w:rPr>
        <w:t xml:space="preserve"> </w:t>
      </w:r>
      <w:r>
        <w:rPr>
          <w:rFonts w:ascii="Arial" w:hAnsi="Arial"/>
        </w:rPr>
        <w:t xml:space="preserve">Šiuo tikslu Lošimų reguliavimo generalinis direktoratas sukurs ir veiklos vykdytojams pateiks kompiuterinį failą, kuriame bus nurodyti atitinkami dalyviai ir vykdytina operacija.</w:t>
      </w:r>
      <w:r>
        <w:rPr>
          <w:rFonts w:ascii="Arial" w:hAnsi="Arial"/>
        </w:rPr>
        <w:t xml:space="preserve"> </w:t>
      </w:r>
      <w:r>
        <w:rPr>
          <w:rFonts w:ascii="Arial" w:hAnsi="Arial"/>
        </w:rPr>
        <w:t xml:space="preserve">Lošimų operatoriai privalo kasdien per Lošimų reguliavimo generalinio direktorato Tapatybės patikrinimo sistemą, skirtą dalyviams, patikrinti, ar tokie failai egzistuoja ir prireikus imtis atitinkamų veiksmų.“</w:t>
      </w:r>
    </w:p>
    <w:p w14:paraId="19A79385" w14:textId="3DCA6427" w:rsidR="0001091D" w:rsidRPr="00A9210D" w:rsidRDefault="0001091D" w:rsidP="00F17E13">
      <w:pPr>
        <w:jc w:val="both"/>
        <w:rPr>
          <w:bCs/>
          <w:rFonts w:ascii="Arial" w:hAnsi="Arial" w:cs="Arial"/>
        </w:rPr>
      </w:pPr>
      <w:r>
        <w:rPr>
          <w:b/>
          <w:rFonts w:ascii="Arial" w:hAnsi="Arial"/>
        </w:rPr>
        <w:t xml:space="preserve">2 straipsnis.</w:t>
      </w:r>
      <w:r>
        <w:rPr>
          <w:b/>
          <w:rFonts w:ascii="Arial" w:hAnsi="Arial"/>
        </w:rPr>
        <w:t xml:space="preserve"> </w:t>
      </w:r>
      <w:r>
        <w:rPr>
          <w:b/>
          <w:rFonts w:ascii="Arial" w:hAnsi="Arial"/>
        </w:rPr>
        <w:t xml:space="preserve">2014 m. spalio 6 d. rezoliucijos, kuria patvirtinamas sistemos, skirtos informacijai lošimo sandorių registruose stebėti, duomenų modelis, pakeitimas, kaip nurodyta toliau:</w:t>
      </w:r>
      <w:r>
        <w:rPr>
          <w:rFonts w:ascii="Arial" w:hAnsi="Arial"/>
        </w:rPr>
        <w:t xml:space="preserve"> </w:t>
      </w:r>
    </w:p>
    <w:p w14:paraId="6AAD2B6A" w14:textId="14F9C745" w:rsidR="006F45C5" w:rsidRPr="00A9210D" w:rsidRDefault="009948B2" w:rsidP="006F45C5">
      <w:pPr>
        <w:jc w:val="both"/>
        <w:rPr>
          <w:bCs/>
          <w:rFonts w:ascii="Arial" w:hAnsi="Arial" w:cs="Arial"/>
        </w:rPr>
      </w:pPr>
      <w:r>
        <w:rPr>
          <w:rFonts w:ascii="Arial" w:hAnsi="Arial"/>
        </w:rPr>
        <w:t xml:space="preserve">I priedo </w:t>
      </w:r>
      <w:r>
        <w:rPr>
          <w:color w:val="1F3864"/>
          <w:rFonts w:ascii="Arial" w:hAnsi="Arial"/>
        </w:rPr>
        <w:t xml:space="preserve">3.5.7.</w:t>
      </w:r>
      <w:r>
        <w:rPr>
          <w:rFonts w:ascii="Arial" w:hAnsi="Arial"/>
        </w:rPr>
        <w:t xml:space="preserve">2 dalis („Lošėjo būsena“) pakeičiama, kaip nurodyta toliau:</w:t>
      </w:r>
      <w:r>
        <w:rPr>
          <w:rFonts w:ascii="Arial" w:hAnsi="Arial"/>
        </w:rPr>
        <w:t xml:space="preserve"> </w:t>
      </w:r>
    </w:p>
    <w:p w14:paraId="3FB0A96C" w14:textId="77777777" w:rsidR="00C926BC" w:rsidRPr="00C926BC" w:rsidRDefault="00CD5D1C" w:rsidP="00C926BC">
      <w:pPr>
        <w:jc w:val="both"/>
        <w:rPr>
          <w:bCs/>
          <w:rFonts w:ascii="Arial" w:hAnsi="Arial" w:cs="Arial"/>
        </w:rPr>
      </w:pPr>
      <w:r>
        <w:rPr>
          <w:rFonts w:ascii="Arial" w:hAnsi="Arial"/>
        </w:rPr>
        <w:t xml:space="preserve">„3.5.7.2</w:t>
      </w:r>
      <w:r>
        <w:rPr>
          <w:rFonts w:ascii="Arial" w:hAnsi="Arial"/>
        </w:rPr>
        <w:t xml:space="preserve"> </w:t>
      </w:r>
      <w:r>
        <w:rPr>
          <w:rFonts w:ascii="Arial" w:hAnsi="Arial"/>
        </w:rPr>
        <w:t xml:space="preserve">Lošėjo būsena</w:t>
      </w:r>
      <w:r>
        <w:rPr>
          <w:rFonts w:ascii="Arial" w:hAnsi="Arial"/>
        </w:rPr>
        <w:t xml:space="preserve"> </w:t>
      </w:r>
    </w:p>
    <w:p w14:paraId="30B6715A" w14:textId="77777777" w:rsidR="00A303D7" w:rsidRPr="00112FA3" w:rsidRDefault="003B5C7A" w:rsidP="003B5C7A">
      <w:pPr>
        <w:jc w:val="both"/>
        <w:rPr>
          <w:bCs/>
          <w:rFonts w:ascii="Arial" w:hAnsi="Arial" w:cs="Arial"/>
        </w:rPr>
      </w:pPr>
      <w:r>
        <w:rPr>
          <w:rFonts w:ascii="Arial" w:hAnsi="Arial"/>
        </w:rPr>
        <w:t xml:space="preserve">Lošėjo „būsena“ apima du laukelius:</w:t>
      </w:r>
      <w:r>
        <w:rPr>
          <w:rFonts w:ascii="Arial" w:hAnsi="Arial"/>
        </w:rPr>
        <w:t xml:space="preserve">  </w:t>
      </w:r>
    </w:p>
    <w:p w14:paraId="371979A3" w14:textId="60D04365" w:rsidR="003B5C7A" w:rsidRPr="00112FA3" w:rsidRDefault="003B5C7A" w:rsidP="003B5C7A">
      <w:pPr>
        <w:jc w:val="both"/>
        <w:rPr>
          <w:bCs/>
          <w:rFonts w:ascii="Arial" w:hAnsi="Arial" w:cs="Arial"/>
        </w:rPr>
      </w:pPr>
      <w:r>
        <w:rPr>
          <w:rFonts w:ascii="Arial" w:hAnsi="Arial"/>
        </w:rPr>
        <w:t xml:space="preserve">StateCNJ, kai veiklos vykdytojo prašoma atskirti tarp:</w:t>
      </w:r>
      <w:r>
        <w:rPr>
          <w:rFonts w:ascii="Arial" w:hAnsi="Arial"/>
        </w:rPr>
        <w:t xml:space="preserve">  </w:t>
      </w:r>
    </w:p>
    <w:p w14:paraId="675C3934"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w:t>
      </w:r>
      <w:r>
        <w:rPr>
          <w:rFonts w:ascii="Arial" w:hAnsi="Arial"/>
        </w:rPr>
        <w:t xml:space="preserve"> </w:t>
      </w:r>
      <w:r>
        <w:rPr>
          <w:rFonts w:ascii="Arial" w:hAnsi="Arial"/>
        </w:rPr>
        <w:t xml:space="preserve">aktyvi.</w:t>
      </w:r>
      <w:r>
        <w:rPr>
          <w:rFonts w:ascii="Arial" w:hAnsi="Arial"/>
        </w:rPr>
        <w:t xml:space="preserve"> </w:t>
      </w:r>
      <w:r>
        <w:rPr>
          <w:rFonts w:ascii="Arial" w:hAnsi="Arial"/>
        </w:rPr>
        <w:t xml:space="preserve">Tai lošėjo, kurio tapatybė buvo tinkamai nustatyta ir patikrinta remiantis dokumentais, būsena.</w:t>
      </w:r>
      <w:r>
        <w:rPr>
          <w:rFonts w:ascii="Arial" w:hAnsi="Arial"/>
        </w:rPr>
        <w:t xml:space="preserve"> </w:t>
      </w:r>
    </w:p>
    <w:p w14:paraId="580B7BA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PV:</w:t>
      </w:r>
      <w:r>
        <w:rPr>
          <w:rFonts w:ascii="Arial" w:hAnsi="Arial"/>
        </w:rPr>
        <w:t xml:space="preserve"> </w:t>
      </w:r>
      <w:r>
        <w:rPr>
          <w:rFonts w:ascii="Arial" w:hAnsi="Arial"/>
        </w:rPr>
        <w:t xml:space="preserve">dokumento patikrinimas nebaigtas.</w:t>
      </w:r>
      <w:r>
        <w:rPr>
          <w:rFonts w:ascii="Arial" w:hAnsi="Arial"/>
        </w:rPr>
        <w:t xml:space="preserve"> </w:t>
      </w:r>
      <w:r>
        <w:rPr>
          <w:rFonts w:ascii="Arial" w:hAnsi="Arial"/>
        </w:rPr>
        <w:t xml:space="preserve">Tai lošėjo, kurio tapatybė nebuvo tinkamai patvirtinta naudojant dokumentų patikrinimo sistemą, būsena.</w:t>
      </w:r>
      <w:r>
        <w:rPr>
          <w:rFonts w:ascii="Arial" w:hAnsi="Arial"/>
        </w:rPr>
        <w:t xml:space="preserve"> </w:t>
      </w:r>
    </w:p>
    <w:p w14:paraId="4B94520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w:t>
      </w:r>
      <w:r>
        <w:rPr>
          <w:rFonts w:ascii="Arial" w:hAnsi="Arial"/>
        </w:rPr>
        <w:t xml:space="preserve"> </w:t>
      </w:r>
      <w:r>
        <w:rPr>
          <w:rFonts w:ascii="Arial" w:hAnsi="Arial"/>
        </w:rPr>
        <w:t xml:space="preserve">sustabdyta.</w:t>
      </w:r>
      <w:r>
        <w:rPr>
          <w:rFonts w:ascii="Arial" w:hAnsi="Arial"/>
        </w:rPr>
        <w:t xml:space="preserve"> </w:t>
      </w:r>
      <w:r>
        <w:rPr>
          <w:rFonts w:ascii="Arial" w:hAnsi="Arial"/>
        </w:rPr>
        <w:t xml:space="preserve">Tai lošėjo, kurį veiklos vykdytojas nusprendė sustabdyti po 2 metų nepertraukiamo neveiklumo, būsena.</w:t>
      </w:r>
      <w:r>
        <w:rPr>
          <w:rFonts w:ascii="Arial" w:hAnsi="Arial"/>
        </w:rPr>
        <w:t xml:space="preserve"> </w:t>
      </w:r>
    </w:p>
    <w:p w14:paraId="141B702C"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w:t>
      </w:r>
      <w:r>
        <w:rPr>
          <w:rFonts w:ascii="Arial" w:hAnsi="Arial"/>
        </w:rPr>
        <w:t xml:space="preserve"> </w:t>
      </w:r>
      <w:r>
        <w:rPr>
          <w:rFonts w:ascii="Arial" w:hAnsi="Arial"/>
        </w:rPr>
        <w:t xml:space="preserve">atšaukta.</w:t>
      </w:r>
      <w:r>
        <w:rPr>
          <w:rFonts w:ascii="Arial" w:hAnsi="Arial"/>
        </w:rPr>
        <w:t xml:space="preserve"> </w:t>
      </w:r>
      <w:r>
        <w:rPr>
          <w:rFonts w:ascii="Arial" w:hAnsi="Arial"/>
        </w:rPr>
        <w:t xml:space="preserve">Tai lošėjo, kuris buvo atšauktas po 4 metų laikotarpio po sustabdymo, būsena.</w:t>
      </w:r>
      <w:r>
        <w:rPr>
          <w:rFonts w:ascii="Arial" w:hAnsi="Arial"/>
        </w:rPr>
        <w:t xml:space="preserve"> </w:t>
      </w:r>
    </w:p>
    <w:p w14:paraId="7BAB001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CD:</w:t>
      </w:r>
      <w:r>
        <w:rPr>
          <w:rFonts w:ascii="Arial" w:hAnsi="Arial"/>
        </w:rPr>
        <w:t xml:space="preserve"> </w:t>
      </w:r>
      <w:r>
        <w:rPr>
          <w:rFonts w:ascii="Arial" w:hAnsi="Arial"/>
        </w:rPr>
        <w:t xml:space="preserve">Atšaukta dėl mirties.</w:t>
      </w:r>
      <w:r>
        <w:rPr>
          <w:rFonts w:ascii="Arial" w:hAnsi="Arial"/>
        </w:rPr>
        <w:t xml:space="preserve"> </w:t>
      </w:r>
      <w:r>
        <w:rPr>
          <w:rFonts w:ascii="Arial" w:hAnsi="Arial"/>
        </w:rPr>
        <w:t xml:space="preserve">Tai lošėjo, kuris buvo identifikuotas kaip miręs, būsena.</w:t>
      </w:r>
    </w:p>
    <w:p w14:paraId="6A2FE7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SC:</w:t>
      </w:r>
      <w:r>
        <w:rPr>
          <w:rFonts w:ascii="Arial" w:hAnsi="Arial"/>
        </w:rPr>
        <w:t xml:space="preserve"> </w:t>
      </w:r>
      <w:r>
        <w:rPr>
          <w:rFonts w:ascii="Arial" w:hAnsi="Arial"/>
        </w:rPr>
        <w:t xml:space="preserve">laikinas sustabdymas.</w:t>
      </w:r>
      <w:r>
        <w:rPr>
          <w:rFonts w:ascii="Arial" w:hAnsi="Arial"/>
        </w:rPr>
        <w:t xml:space="preserve"> </w:t>
      </w:r>
      <w:r>
        <w:rPr>
          <w:rFonts w:ascii="Arial" w:hAnsi="Arial"/>
        </w:rPr>
        <w:t xml:space="preserve">Tai lošėjo, kurį veiklos vykdytojas sustabdė laikinai dėl įtarimo slaptu susitarimu ar nesąžiningu elgesiu arba dėl to, kad jis leido trečiajai šaliai pasinaudoti naudotojo registracija, būsena.</w:t>
      </w:r>
      <w:r>
        <w:rPr>
          <w:rFonts w:ascii="Arial" w:hAnsi="Arial"/>
        </w:rPr>
        <w:t xml:space="preserve"> </w:t>
      </w:r>
    </w:p>
    <w:p w14:paraId="4AD1BFBE"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AC:</w:t>
      </w:r>
      <w:r>
        <w:rPr>
          <w:rFonts w:ascii="Arial" w:hAnsi="Arial"/>
        </w:rPr>
        <w:t xml:space="preserve"> </w:t>
      </w:r>
      <w:r>
        <w:rPr>
          <w:rFonts w:ascii="Arial" w:hAnsi="Arial"/>
        </w:rPr>
        <w:t xml:space="preserve">Sutarties nutraukimas.</w:t>
      </w:r>
      <w:r>
        <w:rPr>
          <w:rFonts w:ascii="Arial" w:hAnsi="Arial"/>
        </w:rPr>
        <w:t xml:space="preserve"> </w:t>
      </w:r>
      <w:r>
        <w:rPr>
          <w:rFonts w:ascii="Arial" w:hAnsi="Arial"/>
        </w:rPr>
        <w:t xml:space="preserve">Tai lošėjo, kuriam taikomas laikinas sustabdymas ir kurio atžvilgiu, veiklos vykdytojo nuomone, buvo įrodyta, kad jis sukčiavo ar sudarė slaptą susitarimą arba teikė savo naudotojo sąskaitą trečiajai šaliai, ragindamas veiklos vykdytoją nutraukti sutartį vienašališkai, būsena.</w:t>
      </w:r>
      <w:r>
        <w:rPr>
          <w:rFonts w:ascii="Arial" w:hAnsi="Arial"/>
        </w:rPr>
        <w:t xml:space="preserve"> </w:t>
      </w:r>
    </w:p>
    <w:p w14:paraId="6BB5C179"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PR:</w:t>
      </w:r>
      <w:r>
        <w:rPr>
          <w:rFonts w:ascii="Arial" w:hAnsi="Arial"/>
        </w:rPr>
        <w:t xml:space="preserve"> </w:t>
      </w:r>
      <w:r>
        <w:rPr>
          <w:rFonts w:ascii="Arial" w:hAnsi="Arial"/>
        </w:rPr>
        <w:t xml:space="preserve">Subjektyvus draudimas.</w:t>
      </w:r>
      <w:r>
        <w:rPr>
          <w:rFonts w:ascii="Arial" w:hAnsi="Arial"/>
        </w:rPr>
        <w:t xml:space="preserve"> </w:t>
      </w:r>
      <w:r>
        <w:rPr>
          <w:rFonts w:ascii="Arial" w:hAnsi="Arial"/>
        </w:rPr>
        <w:t xml:space="preserve">Tai lošėjo, kuriam taikomi bet kokie subjektyvūs draudimai, nurodyti Įstatymo Nr. 13/2011 6 straipsnyje (nepilnamečiai, įtraukti į Bendrąjį lošimo prieigos draudimų registrą, asociacijos ir kt.), būsena.</w:t>
      </w:r>
      <w:r>
        <w:rPr>
          <w:rFonts w:ascii="Arial" w:hAnsi="Arial"/>
        </w:rPr>
        <w:t xml:space="preserve"> </w:t>
      </w:r>
    </w:p>
    <w:p w14:paraId="36CC3CEA"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AE:</w:t>
      </w:r>
      <w:r>
        <w:rPr>
          <w:rFonts w:ascii="Arial" w:hAnsi="Arial"/>
        </w:rPr>
        <w:t xml:space="preserve"> </w:t>
      </w:r>
      <w:r>
        <w:rPr>
          <w:rFonts w:ascii="Arial" w:hAnsi="Arial"/>
        </w:rPr>
        <w:t xml:space="preserve">pasitraukimas.</w:t>
      </w:r>
      <w:r>
        <w:rPr>
          <w:rFonts w:ascii="Arial" w:hAnsi="Arial"/>
        </w:rPr>
        <w:t xml:space="preserve"> </w:t>
      </w:r>
      <w:r>
        <w:rPr>
          <w:rFonts w:ascii="Arial" w:hAnsi="Arial"/>
        </w:rPr>
        <w:t xml:space="preserve">Tai lošėjo, kuris savanoriškai nusprendė pasitraukti iš lošimo, kurį siūlo veiklos vykdytojas, būsena.</w:t>
      </w:r>
      <w:r>
        <w:rPr>
          <w:rFonts w:ascii="Arial" w:hAnsi="Arial"/>
        </w:rPr>
        <w:t xml:space="preserve"> </w:t>
      </w:r>
    </w:p>
    <w:p w14:paraId="54499D85" w14:textId="77777777" w:rsidR="003B5C7A" w:rsidRPr="00112FA3" w:rsidRDefault="003B5C7A" w:rsidP="003B5C7A">
      <w:pPr>
        <w:jc w:val="both"/>
        <w:rPr>
          <w:bCs/>
          <w:rFonts w:ascii="Arial" w:hAnsi="Arial" w:cs="Arial"/>
        </w:rPr>
      </w:pPr>
      <w:r>
        <w:rPr>
          <w:rFonts w:ascii="Arial" w:hAnsi="Arial"/>
        </w:rPr>
        <w:t xml:space="preserve">●</w:t>
      </w:r>
      <w:r>
        <w:rPr>
          <w:rFonts w:ascii="Arial" w:hAnsi="Arial"/>
        </w:rPr>
        <w:t xml:space="preserve"> </w:t>
      </w:r>
      <w:r>
        <w:rPr>
          <w:rFonts w:ascii="Arial" w:hAnsi="Arial"/>
        </w:rPr>
        <w:t xml:space="preserve">O:</w:t>
      </w:r>
      <w:r>
        <w:rPr>
          <w:rFonts w:ascii="Arial" w:hAnsi="Arial"/>
        </w:rPr>
        <w:t xml:space="preserve"> </w:t>
      </w:r>
      <w:r>
        <w:rPr>
          <w:rFonts w:ascii="Arial" w:hAnsi="Arial"/>
        </w:rPr>
        <w:t xml:space="preserve">kita.</w:t>
      </w:r>
      <w:r>
        <w:rPr>
          <w:rFonts w:ascii="Arial" w:hAnsi="Arial"/>
        </w:rPr>
        <w:t xml:space="preserve"> </w:t>
      </w:r>
      <w:r>
        <w:rPr>
          <w:rFonts w:ascii="Arial" w:hAnsi="Arial"/>
        </w:rPr>
        <w:t xml:space="preserve">Kitos galimos lošėjo situacijos, neįtrauktos į tai, kas minėta pirmiau.</w:t>
      </w:r>
      <w:r>
        <w:rPr>
          <w:rFonts w:ascii="Arial" w:hAnsi="Arial"/>
        </w:rPr>
        <w:t xml:space="preserve"> </w:t>
      </w:r>
    </w:p>
    <w:p w14:paraId="272CE038" w14:textId="77777777" w:rsidR="003B5C7A" w:rsidRPr="00112FA3" w:rsidRDefault="003B5C7A" w:rsidP="003B5C7A">
      <w:pPr>
        <w:jc w:val="both"/>
        <w:rPr>
          <w:bCs/>
          <w:rFonts w:ascii="Arial" w:hAnsi="Arial" w:cs="Arial"/>
        </w:rPr>
      </w:pPr>
      <w:r>
        <w:rPr>
          <w:rFonts w:ascii="Arial" w:hAnsi="Arial"/>
        </w:rPr>
        <w:t xml:space="preserve">EstadoOperador (veiklos vykdytojo būsena), kai veiklos vykdytojas turi įrašyti būseną, kaip nurodyta jo platformoje.“</w:t>
      </w:r>
    </w:p>
    <w:p w14:paraId="40371930" w14:textId="4F5B9E39" w:rsidR="004A6475" w:rsidRPr="00C73313" w:rsidRDefault="00BE2A52" w:rsidP="00F17E13">
      <w:pPr>
        <w:jc w:val="both"/>
        <w:rPr>
          <w:b/>
          <w:rFonts w:ascii="Arial" w:hAnsi="Arial" w:cs="Arial"/>
        </w:rPr>
      </w:pPr>
      <w:r>
        <w:rPr>
          <w:b/>
          <w:rFonts w:ascii="Arial" w:hAnsi="Arial"/>
        </w:rPr>
        <w:t xml:space="preserve">Vienintelė baigiamoji nuostata.</w:t>
      </w:r>
      <w:r>
        <w:rPr>
          <w:b/>
          <w:rFonts w:ascii="Arial" w:hAnsi="Arial"/>
        </w:rPr>
        <w:t xml:space="preserve"> </w:t>
      </w:r>
      <w:r>
        <w:rPr>
          <w:b/>
          <w:rFonts w:ascii="Arial" w:hAnsi="Arial"/>
        </w:rPr>
        <w:t xml:space="preserve">Įsigaliojimo data</w:t>
      </w:r>
    </w:p>
    <w:p w14:paraId="1CCE2500" w14:textId="7F190632" w:rsidR="001151E6" w:rsidRPr="00C169ED" w:rsidRDefault="001B4699" w:rsidP="0044700B">
      <w:pPr>
        <w:jc w:val="both"/>
        <w:rPr>
          <w:sz w:val="20"/>
          <w:rFonts w:ascii="Arial" w:hAnsi="Arial" w:cs="Arial"/>
        </w:rPr>
      </w:pPr>
      <w:r>
        <w:rPr>
          <w:rFonts w:ascii="Arial" w:hAnsi="Arial"/>
        </w:rPr>
        <w:t xml:space="preserve">Ši rezoliucija įsigalioja praėjus šešiems mėnesiams po jo paskelbimo „Oficialiajame valstybės leidinyje“.</w:t>
      </w:r>
      <w:r>
        <w:rPr>
          <w:rFonts w:ascii="Arial" w:hAnsi="Arial"/>
        </w:rPr>
        <w:t xml:space="preserve">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 xml:space="preserve">Madridas, 2022 m. YY XX d.</w:t>
      </w:r>
    </w:p>
    <w:p w14:paraId="3CCD5EBB" w14:textId="77777777" w:rsidR="001151E6" w:rsidRDefault="001151E6" w:rsidP="001151E6">
      <w:pPr>
        <w:spacing w:line="264" w:lineRule="auto"/>
        <w:rPr>
          <w:rFonts w:ascii="Arial" w:hAnsi="Arial" w:cs="Arial"/>
        </w:rPr>
      </w:pPr>
    </w:p>
    <w:p w14:paraId="2DB811C3" w14:textId="77777777" w:rsidR="001151E6" w:rsidRDefault="00224C24" w:rsidP="001151E6">
      <w:pPr>
        <w:spacing w:line="264" w:lineRule="auto"/>
        <w:jc w:val="center"/>
        <w:rPr>
          <w:rFonts w:ascii="Arial" w:hAnsi="Arial" w:cs="Arial"/>
        </w:rPr>
      </w:pPr>
      <w:r>
        <w:rPr>
          <w:rFonts w:ascii="Arial" w:hAnsi="Arial"/>
        </w:rPr>
        <w:t xml:space="preserve">LOŠIMŲ REGULIAVIMO GENERALINIO DIREKTORATO DIREKTORIUS</w:t>
      </w:r>
    </w:p>
    <w:p w14:paraId="098E39EA" w14:textId="77777777" w:rsidR="0047083C" w:rsidRDefault="0047083C" w:rsidP="0044700B">
      <w:pPr>
        <w:spacing w:line="264" w:lineRule="auto"/>
        <w:rPr>
          <w:rFonts w:ascii="Arial" w:hAnsi="Arial" w:cs="Arial"/>
        </w:rPr>
      </w:pP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1787</Words>
  <Characters>10188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DGOJ</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4</cp:revision>
  <cp:lastPrinted>2022-11-25T11:05:00Z</cp:lastPrinted>
  <dcterms:created xsi:type="dcterms:W3CDTF">2022-11-25T12:23:00Z</dcterms:created>
  <dcterms:modified xsi:type="dcterms:W3CDTF">2023-01-20T10:22:00Z</dcterms:modified>
</cp:coreProperties>
</file>