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567F7253" w:rsidR="00EA4D8C" w:rsidRDefault="006D355F" w:rsidP="00EA4D8C">
      <w:pPr>
        <w:jc w:val="both"/>
        <w:rPr>
          <w:rFonts w:ascii="Arial" w:hAnsi="Arial" w:cs="Arial"/>
          <w:b/>
        </w:rPr>
      </w:pPr>
      <w:r>
        <w:rPr>
          <w:rFonts w:ascii="Arial" w:hAnsi="Arial"/>
          <w:b/>
        </w:rPr>
        <w:t>BESLUT FRÅN GENERALDIREKTORATET FÖR PLANERING AV SPEL OM ÄNDRING AV BESLUTET AV DEN 12 JULI 2012 FRÅN GENERALDIREKTORATET FÖR PLANERING AV SPEL SOM UTFÄRDATS FÖR ATT GODKÄNNA BESTÄMMELSEN OM GENOMFÖRANDE AV ARTIKLARNA 26 OCH 27 I KUNGLIGT DEKRET 1613/2011 AV DEN 14 NOVEMBER NÄR DET GÄLLER IDENTIFIERING AV SPELDELTAGARE OCH KONTROLL AV DE FÖRBUD SOM GÄLLER DELTAGANDE I SPEL OCH BESLUTET AV DEN 6 OKTOBER 2014 FRÅN GENERALDIREKTORATET FÖR PLANERING AV SPEL OM GODKÄNNANDE AV DEN DATAMODELL SOM SKA ANVÄNDAS I INFORMATIONSÖVERVAKNINGSSYSTEMET FÖR REGISTER ÖVER SPELVERKSAMHET.</w:t>
      </w:r>
    </w:p>
    <w:p w14:paraId="0EA78337" w14:textId="77777777" w:rsidR="00554712" w:rsidRPr="002800C6" w:rsidRDefault="00554712" w:rsidP="00554712">
      <w:pPr>
        <w:jc w:val="both"/>
        <w:rPr>
          <w:rFonts w:ascii="Arial" w:hAnsi="Arial" w:cs="Arial"/>
        </w:rPr>
      </w:pPr>
      <w:r>
        <w:rPr>
          <w:rFonts w:ascii="Arial" w:hAnsi="Arial"/>
        </w:rPr>
        <w:t>Genom lag 13/2011 av den 27 maj om reglering av hasardspel fastställs regelverket för statlig spelverksamhet i dess olika former i syfte att skydda den allmänna ordningen, bekämpa bedrägerier, förhindra beroendeframkallande beteenden, skydda minderårigas rättigheter och skydda speldeltagarnas rättigheter.</w:t>
      </w:r>
    </w:p>
    <w:p w14:paraId="480515CE" w14:textId="159D44D5" w:rsidR="00050794" w:rsidRDefault="00E82824" w:rsidP="007B6331">
      <w:pPr>
        <w:jc w:val="both"/>
        <w:rPr>
          <w:rFonts w:ascii="Arial" w:hAnsi="Arial" w:cs="Arial"/>
        </w:rPr>
      </w:pPr>
      <w:r>
        <w:rPr>
          <w:rFonts w:ascii="Arial" w:hAnsi="Arial"/>
        </w:rPr>
        <w:t xml:space="preserve">Kungligt dekret 1613/2011 av den 14 november 2011 om genomförande av lag 13/2011 av den 27 maj om reglering av spel med avseende på de tekniska kraven för spelverksamhet, utfärdades vid genomförandet av denna lag. I artiklarna 26 och 27 reglerade denna regel identifieringen av speldeltagare samt kontrollen av de förbud som gäller deltagande i spel genom ett kontrollsystem som måste utföras av speloperatörer. </w:t>
      </w:r>
    </w:p>
    <w:p w14:paraId="69F382CD" w14:textId="76176572" w:rsidR="00E82824" w:rsidRPr="00E82824" w:rsidRDefault="00F117CE" w:rsidP="007B6331">
      <w:pPr>
        <w:jc w:val="both"/>
        <w:rPr>
          <w:rFonts w:ascii="Arial" w:hAnsi="Arial" w:cs="Arial"/>
        </w:rPr>
      </w:pPr>
      <w:r>
        <w:rPr>
          <w:rFonts w:ascii="Arial" w:hAnsi="Arial"/>
        </w:rPr>
        <w:t xml:space="preserve">Vid genomförandet av dessa bestämmelser utfärdades ett beslut av den 12 juli 2012 från generaldirektoratet för planering av spel om att godkänna bestämmelsen om genomförande av artiklarna 26 och 27 i kungligt dekret 1613/2011 av den 14 november 2011 om identifiering av speldeltagare och kontroll av de förbud som gäller deltagande i spel, i dess ändrade lydelse, i syfte att stärka speloperatörernas identitetsverifiering av de uppgifter som deltagarna lämnat, genom beslutet av den 31 oktober 2018 från generaldirektoratet för planering av spel om ändring av vissa beslut om spelverksamhet som föreskrivs i lag 13/2011 av den 27 maj om reglering av spel. </w:t>
      </w:r>
    </w:p>
    <w:p w14:paraId="3AC1AA50" w14:textId="76C55535" w:rsidR="008E4897" w:rsidRDefault="008E4897" w:rsidP="008D4EA9">
      <w:pPr>
        <w:jc w:val="both"/>
        <w:rPr>
          <w:rFonts w:ascii="Arial" w:hAnsi="Arial" w:cs="Arial"/>
        </w:rPr>
      </w:pPr>
      <w:r>
        <w:rPr>
          <w:rFonts w:ascii="Arial" w:hAnsi="Arial"/>
        </w:rPr>
        <w:t xml:space="preserve">Fyra år efter den senaste ändringen och tio år efter godkännandet av ovannämnda regelverk gör erfarenheterna vid denna tidpunkt det lämpligt att uppdatera dessa förfaranden för identitetsverifiering som genomförs av speloperatörer genom en ny ändring av beslutet av den 12 juli 2012. </w:t>
      </w:r>
    </w:p>
    <w:p w14:paraId="73AA14DE" w14:textId="621F2406" w:rsidR="00E82824" w:rsidRDefault="00E82824" w:rsidP="008D4EA9">
      <w:pPr>
        <w:jc w:val="both"/>
        <w:rPr>
          <w:rFonts w:ascii="Arial" w:hAnsi="Arial" w:cs="Arial"/>
        </w:rPr>
      </w:pPr>
      <w:r>
        <w:rPr>
          <w:rFonts w:ascii="Arial" w:hAnsi="Arial"/>
        </w:rPr>
        <w:t xml:space="preserve">Genom detta beslut uppdateras operatörernas skyldigheter när det gäller de meddelanden som de måste rapportera till generaldirektoratet för planering av spel, vilket å ena sidan undanröjer skyldigheten att lämna vissa rapporter om antalet förfrågningar och införa en skyldighet att informera om annullering av användarregister. På samma sätt regleras den telematiska åtkomsten till folkbokföringsregistrets avdelning för avlidna personer genom Identitetsverifieringstjänsten och de villkor enligt vilka operatörerna kommer att utföra regelbundna kontroller av deltagarnas identitet och kontrollen av att de inte omfattas av förbud mot deltagande, antingen på eget initiativ eller av generaldirektoratet för planering av spel. </w:t>
      </w:r>
    </w:p>
    <w:p w14:paraId="498C1B01" w14:textId="0658F4E7" w:rsidR="00EA4D8C" w:rsidRDefault="00E81705" w:rsidP="008D6E0A">
      <w:pPr>
        <w:keepNext/>
        <w:keepLines/>
        <w:jc w:val="both"/>
        <w:rPr>
          <w:rFonts w:ascii="Arial" w:hAnsi="Arial" w:cs="Arial"/>
        </w:rPr>
      </w:pPr>
      <w:r>
        <w:rPr>
          <w:rFonts w:ascii="Arial" w:hAnsi="Arial"/>
        </w:rPr>
        <w:lastRenderedPageBreak/>
        <w:t xml:space="preserve">Slutligen ändras beslutet av den 6 oktober 2014 från generaldirektoratet för planering av spel, där man godkänner den datamodell som ska användas i informationsövervakningssystemet för register över spelverksamheter, för att införa en ny spelarstatus.  </w:t>
      </w:r>
    </w:p>
    <w:p w14:paraId="591328C1" w14:textId="77777777" w:rsidR="005D3D4D" w:rsidRPr="008D47DC" w:rsidRDefault="005D3D4D" w:rsidP="009B4DF9">
      <w:pPr>
        <w:jc w:val="both"/>
        <w:rPr>
          <w:rFonts w:ascii="Arial" w:hAnsi="Arial" w:cs="Arial"/>
        </w:rPr>
      </w:pPr>
      <w:r>
        <w:rPr>
          <w:rFonts w:ascii="Arial" w:hAnsi="Arial"/>
        </w:rPr>
        <w:t>Detta dokument har genomgått informationsförfarandet beträffande tekniska föreskrifter och föreskrifter för informationssamhällets tjänster som fastställs i Europaparlamentets och rådets direktiv (EU) 2015/1535 av den 9 september 2015 om ett informationsförfarande beträffande tekniska föreskrifter och beträffande föreskrifter för informationssamhällets tjänster.</w:t>
      </w:r>
    </w:p>
    <w:p w14:paraId="4F0F688D" w14:textId="6F01AAE2" w:rsidR="00F116AB" w:rsidRPr="008D47DC" w:rsidRDefault="00B57B31" w:rsidP="00B369ED">
      <w:pPr>
        <w:jc w:val="both"/>
        <w:rPr>
          <w:rFonts w:ascii="Arial" w:hAnsi="Arial" w:cs="Arial"/>
        </w:rPr>
      </w:pPr>
      <w:r>
        <w:rPr>
          <w:rFonts w:ascii="Arial" w:hAnsi="Arial"/>
        </w:rPr>
        <w:t xml:space="preserve">På grund av detta, och efter en positiv rapport från statsåklagarens kansli vid ministeriet för konsumentfrågor, beslutar generaldirektoratet följande: </w:t>
      </w:r>
    </w:p>
    <w:p w14:paraId="1D2ACD67" w14:textId="3730E816" w:rsidR="00D825A8" w:rsidRPr="00B55FF0" w:rsidRDefault="005B0F06" w:rsidP="00D825A8">
      <w:pPr>
        <w:jc w:val="both"/>
        <w:rPr>
          <w:rFonts w:ascii="Arial" w:hAnsi="Arial" w:cs="Arial"/>
        </w:rPr>
      </w:pPr>
      <w:r>
        <w:rPr>
          <w:rFonts w:ascii="Arial" w:hAnsi="Arial"/>
          <w:b/>
        </w:rPr>
        <w:t>Första artikeln. Ändring av beslutet av den 12 juli 2012 om godkännande av instrumentet för tillämpning av artiklarna 26 och 27 i kungligt dekret 1613/2011 av den 14 november om identifiering av speldeltagare och kontroll av förbud som gäller deltagande i spel, enligt följande:</w:t>
      </w:r>
    </w:p>
    <w:p w14:paraId="3733892D" w14:textId="365CE94D" w:rsidR="00523061" w:rsidRPr="00523061" w:rsidRDefault="005B0F06" w:rsidP="00523061">
      <w:pPr>
        <w:jc w:val="both"/>
        <w:rPr>
          <w:rFonts w:ascii="Arial" w:hAnsi="Arial" w:cs="Arial"/>
        </w:rPr>
      </w:pPr>
      <w:r>
        <w:rPr>
          <w:rFonts w:ascii="Arial" w:hAnsi="Arial"/>
        </w:rPr>
        <w:t>Ett</w:t>
      </w:r>
      <w:r>
        <w:rPr>
          <w:rFonts w:ascii="Arial" w:hAnsi="Arial"/>
          <w:b/>
        </w:rPr>
        <w:t>.</w:t>
      </w:r>
      <w:r>
        <w:rPr>
          <w:rFonts w:ascii="Arial" w:hAnsi="Arial"/>
        </w:rPr>
        <w:t xml:space="preserve"> Punkt 7.6 i bilaga I ska utgå.</w:t>
      </w:r>
    </w:p>
    <w:p w14:paraId="09434F7D" w14:textId="1FB9E75B" w:rsidR="00EB1D43" w:rsidRPr="00523061" w:rsidRDefault="005B0F06" w:rsidP="00EB1D43">
      <w:pPr>
        <w:jc w:val="both"/>
        <w:rPr>
          <w:rFonts w:ascii="Arial" w:hAnsi="Arial" w:cs="Arial"/>
        </w:rPr>
      </w:pPr>
      <w:r>
        <w:rPr>
          <w:rFonts w:ascii="Arial" w:hAnsi="Arial"/>
        </w:rPr>
        <w:t>Två</w:t>
      </w:r>
      <w:r>
        <w:rPr>
          <w:rFonts w:ascii="Arial" w:hAnsi="Arial"/>
          <w:b/>
        </w:rPr>
        <w:t>.</w:t>
      </w:r>
      <w:r>
        <w:rPr>
          <w:rFonts w:ascii="Arial" w:hAnsi="Arial"/>
        </w:rPr>
        <w:t xml:space="preserve"> Punkt 11.5 i bilaga I ska utgå.</w:t>
      </w:r>
    </w:p>
    <w:p w14:paraId="1D47C45E" w14:textId="2ACFA05B" w:rsidR="00523061" w:rsidRDefault="00EB1D43" w:rsidP="00B369ED">
      <w:pPr>
        <w:jc w:val="both"/>
        <w:rPr>
          <w:rFonts w:ascii="Arial" w:hAnsi="Arial" w:cs="Arial"/>
          <w:b/>
        </w:rPr>
      </w:pPr>
      <w:r>
        <w:rPr>
          <w:rFonts w:ascii="Arial" w:hAnsi="Arial"/>
        </w:rPr>
        <w:t>Tre</w:t>
      </w:r>
      <w:r>
        <w:rPr>
          <w:rFonts w:ascii="Arial" w:hAnsi="Arial"/>
          <w:b/>
        </w:rPr>
        <w:t xml:space="preserve">. </w:t>
      </w:r>
      <w:r>
        <w:rPr>
          <w:rFonts w:ascii="Arial" w:hAnsi="Arial"/>
        </w:rPr>
        <w:t>Ett nytt stycke 4 ska läggas till i trettonde punkten i bilaga I med följande lydelse:</w:t>
      </w:r>
      <w:r>
        <w:rPr>
          <w:rFonts w:ascii="Arial" w:hAnsi="Arial"/>
          <w:b/>
        </w:rPr>
        <w:t xml:space="preserve"> </w:t>
      </w:r>
    </w:p>
    <w:p w14:paraId="485CBBD7" w14:textId="210D0A2B" w:rsidR="00523061" w:rsidRPr="00523061" w:rsidRDefault="002C716C" w:rsidP="00523061">
      <w:pPr>
        <w:jc w:val="both"/>
        <w:rPr>
          <w:rFonts w:ascii="Arial" w:hAnsi="Arial" w:cs="Arial"/>
          <w:b/>
        </w:rPr>
      </w:pPr>
      <w:r>
        <w:rPr>
          <w:rFonts w:ascii="Arial" w:hAnsi="Arial"/>
        </w:rPr>
        <w:t>”4. Operatören måste informera generaldirektoratet för planering av spel om annullering av användarregistreringar. Kommunikationen måste ske via Identitetsverifieringstjänsten av deltagarna i generaldirektoratet för planering av spel. Generaldirektoratet för planering av spel ska inte tillhandahålla operatörer information om annullerade användarregistreringar i enlighet med punkt 11.3 i detta beslut. Begäran till operatören om aktivering av en tidigare annullerad användarregistrering ska kräva att deltagaren identifieras och verifiering av att de inte omfattas av något av de förbuden enligt villkoren som föreskrivs i detta beslut.”</w:t>
      </w:r>
    </w:p>
    <w:p w14:paraId="573F59AF" w14:textId="4C454A2D" w:rsidR="00523061" w:rsidRDefault="00EB1D43" w:rsidP="00B369ED">
      <w:pPr>
        <w:jc w:val="both"/>
        <w:rPr>
          <w:rFonts w:ascii="Arial" w:hAnsi="Arial" w:cs="Arial"/>
          <w:b/>
        </w:rPr>
      </w:pPr>
      <w:r>
        <w:rPr>
          <w:rFonts w:ascii="Arial" w:hAnsi="Arial"/>
        </w:rPr>
        <w:t>Fyra.</w:t>
      </w:r>
      <w:r>
        <w:rPr>
          <w:rFonts w:ascii="Arial" w:hAnsi="Arial"/>
          <w:b/>
        </w:rPr>
        <w:t xml:space="preserve"> </w:t>
      </w:r>
      <w:r>
        <w:rPr>
          <w:rFonts w:ascii="Arial" w:hAnsi="Arial"/>
        </w:rPr>
        <w:t>En fjortonde punkt ska införas i bilaga I, som ska ha följande lydelse:</w:t>
      </w:r>
    </w:p>
    <w:p w14:paraId="054E2766" w14:textId="0C4BDC28" w:rsidR="00523061" w:rsidRPr="00523061" w:rsidRDefault="009867C7" w:rsidP="00B369ED">
      <w:pPr>
        <w:jc w:val="both"/>
        <w:rPr>
          <w:rFonts w:ascii="Arial" w:hAnsi="Arial" w:cs="Arial"/>
          <w:bCs/>
        </w:rPr>
      </w:pPr>
      <w:r>
        <w:rPr>
          <w:rFonts w:ascii="Arial" w:hAnsi="Arial"/>
        </w:rPr>
        <w:t xml:space="preserve">”Fjortonde. </w:t>
      </w:r>
      <w:r>
        <w:rPr>
          <w:rFonts w:ascii="Arial" w:hAnsi="Arial"/>
          <w:i/>
        </w:rPr>
        <w:t>Kontroll av förbud mot tillträde till spel för den avlidne.</w:t>
      </w:r>
      <w:r>
        <w:rPr>
          <w:rFonts w:ascii="Arial" w:hAnsi="Arial"/>
        </w:rPr>
        <w:t xml:space="preserve"> </w:t>
      </w:r>
    </w:p>
    <w:p w14:paraId="1D7545B8" w14:textId="77777777" w:rsidR="00523061" w:rsidRPr="00EA4D8C" w:rsidRDefault="00523061" w:rsidP="00523061">
      <w:pPr>
        <w:jc w:val="both"/>
        <w:rPr>
          <w:rFonts w:ascii="Arial" w:hAnsi="Arial" w:cs="Arial"/>
          <w:bCs/>
        </w:rPr>
      </w:pPr>
      <w:r>
        <w:rPr>
          <w:rFonts w:ascii="Arial" w:hAnsi="Arial"/>
        </w:rPr>
        <w:t>1. Generaldirektoratet för planering av spel kommer att ge speloperatörer tillgång till ett system för telematisk åtkomst till folkbokföringsregistrets avdelning för avlidna personer, genom Identitetsverifieringstjänsten av deltagarna i generaldirektoratet för planering av spel, för att underlätta kontrollen av att deltagarna inte har avlidit.</w:t>
      </w:r>
    </w:p>
    <w:p w14:paraId="3700579F" w14:textId="77777777" w:rsidR="00523061" w:rsidRPr="00523061" w:rsidRDefault="00523061" w:rsidP="00523061">
      <w:pPr>
        <w:jc w:val="both"/>
        <w:rPr>
          <w:rFonts w:ascii="Arial" w:hAnsi="Arial" w:cs="Arial"/>
          <w:bCs/>
        </w:rPr>
      </w:pPr>
      <w:r>
        <w:rPr>
          <w:rFonts w:ascii="Arial" w:hAnsi="Arial"/>
        </w:rPr>
        <w:t xml:space="preserve">2. Speloperatörer måste varje dag kontrollera att deltagare med aktiv användarregistrering inte är registrerade som avlidna i Identitetsverifieringstjänsten för deltagarna i generaldirektoratet för planering av spel. I detta syfte kommer generaldirektoratet för planering av spel med den angivna frekvensen att generera och tillhandahålla operatörerna en uppdaterad datafil i vilken de ändringar som, till följd av registreringen av registreringsuppgifter i folkbokföringsregistrets avdelning för avlidna personer, skulle ha gjorts i Identitetsverifieringstjänsten för deltagarna i generaldirektoratet för planering av spel och som påverkar de deltagare som registrerats </w:t>
      </w:r>
      <w:r>
        <w:rPr>
          <w:rFonts w:ascii="Arial" w:hAnsi="Arial"/>
        </w:rPr>
        <w:lastRenderedPageBreak/>
        <w:t xml:space="preserve">av varje operatör. Om generaldirektoratet för planering av spel på grund av tekniska skäl eller brister i tjänstens tillgänglighet inte kan göra uppdateringen av uppgifterna tillgänglig för operatörerna kommer kontrollen att utföras med uppgifterna i den senaste uppdateringen. </w:t>
      </w:r>
    </w:p>
    <w:p w14:paraId="232E35F2" w14:textId="5549976A" w:rsidR="00523061" w:rsidRPr="00523061" w:rsidRDefault="00523061" w:rsidP="00523061">
      <w:pPr>
        <w:jc w:val="both"/>
        <w:rPr>
          <w:rFonts w:ascii="Arial" w:hAnsi="Arial" w:cs="Arial"/>
          <w:b/>
        </w:rPr>
      </w:pPr>
      <w:r>
        <w:rPr>
          <w:rFonts w:ascii="Arial" w:hAnsi="Arial"/>
        </w:rPr>
        <w:t>I de fall där ändringarna avslöjar registreringen i folkbokföringsregistrets avdelning för avlidna personer av någon av de deltagare som har en aktiv användarregistrering kommer operatören att annullera den. I dessa fall kommer annulleringen inte att hindra avslut av spelkontot och betalning av de belopp som, genom insättning eller tidigare betalda priser, motsvarar den legitima arvingen, i enlighet med gällande regler. Vid avslut av kontot ska bestämmelserna i punkt 13.4 i detta beslut tillämpas.”</w:t>
      </w:r>
    </w:p>
    <w:p w14:paraId="337D8F87" w14:textId="1A0D7223" w:rsidR="00523061" w:rsidRDefault="00EB1D43" w:rsidP="00B369ED">
      <w:pPr>
        <w:jc w:val="both"/>
        <w:rPr>
          <w:rFonts w:ascii="Arial" w:hAnsi="Arial" w:cs="Arial"/>
          <w:b/>
        </w:rPr>
      </w:pPr>
      <w:r>
        <w:rPr>
          <w:rFonts w:ascii="Arial" w:hAnsi="Arial"/>
        </w:rPr>
        <w:t>Fem.</w:t>
      </w:r>
      <w:r>
        <w:rPr>
          <w:rFonts w:ascii="Arial" w:hAnsi="Arial"/>
          <w:b/>
        </w:rPr>
        <w:t xml:space="preserve"> </w:t>
      </w:r>
      <w:r>
        <w:rPr>
          <w:rFonts w:ascii="Arial" w:hAnsi="Arial"/>
        </w:rPr>
        <w:t>En femtonde punkt ska införas i bilaga I, som ska ha följande lydelse:</w:t>
      </w:r>
    </w:p>
    <w:p w14:paraId="10C76A7F" w14:textId="03428FC8" w:rsidR="00523061" w:rsidRDefault="00932A74" w:rsidP="00B369ED">
      <w:pPr>
        <w:jc w:val="both"/>
        <w:rPr>
          <w:rFonts w:ascii="Arial" w:hAnsi="Arial" w:cs="Arial"/>
          <w:b/>
        </w:rPr>
      </w:pPr>
      <w:r>
        <w:rPr>
          <w:rFonts w:ascii="Arial" w:hAnsi="Arial"/>
        </w:rPr>
        <w:t xml:space="preserve">”Femtonde. </w:t>
      </w:r>
      <w:r>
        <w:rPr>
          <w:rFonts w:ascii="Arial" w:hAnsi="Arial"/>
          <w:i/>
        </w:rPr>
        <w:t>Periodiska revisioner</w:t>
      </w:r>
      <w:r>
        <w:rPr>
          <w:rFonts w:ascii="Arial" w:hAnsi="Arial"/>
          <w:b/>
        </w:rPr>
        <w:t xml:space="preserve"> </w:t>
      </w:r>
    </w:p>
    <w:p w14:paraId="412F544E" w14:textId="659D2F45" w:rsidR="00523061" w:rsidRPr="00523061" w:rsidRDefault="00523061" w:rsidP="00523061">
      <w:pPr>
        <w:jc w:val="both"/>
        <w:rPr>
          <w:rFonts w:ascii="Arial" w:hAnsi="Arial" w:cs="Arial"/>
          <w:bCs/>
        </w:rPr>
      </w:pPr>
      <w:r>
        <w:rPr>
          <w:rFonts w:ascii="Arial" w:hAnsi="Arial"/>
        </w:rPr>
        <w:t>1. Speloperatörer får utföra särskilda kontroller av sina deltagare i samband med deras identifiering och verifiering, så att de inte omfattas av något av förbuden i de villkor som föreskrivs i detta beslut. Operatören måste begära tillstånd och meddela början och slutet av dessa verifieringsprocesser via Identitetsverifieringstjänsten av deltagarna i generaldirektoratet för planering av spel på de villkor som fastställts av generaldirektoratet för planering av spel.</w:t>
      </w:r>
    </w:p>
    <w:p w14:paraId="4FC212F8" w14:textId="4973AE0F" w:rsidR="00523061" w:rsidRPr="00523061" w:rsidRDefault="00523061" w:rsidP="00523061">
      <w:pPr>
        <w:jc w:val="both"/>
        <w:rPr>
          <w:rFonts w:ascii="Arial" w:hAnsi="Arial" w:cs="Arial"/>
          <w:bCs/>
        </w:rPr>
      </w:pPr>
      <w:r>
        <w:rPr>
          <w:rFonts w:ascii="Arial" w:hAnsi="Arial"/>
        </w:rPr>
        <w:t>2. Generaldirektoratet för planering av spel kan kräva att speloperatörer utför särskilda kontroller av sina deltagare när det gäller deras identifiering och verifiering, så att de inte omfattas av något av förbuden i de villkor som föreskrivs i detta beslut. I detta syfte kommer generaldirektoratet för planering av spel att generera och tillhandahålla operatörerna en datafil som innehåller de berörda deltagarna och den verksamhet som ska genomföras. Speloperatörer måste varje dag kontrollera förekomsten av dessa filer genom Identitetsverifieringstjänsten av deltagarna i generaldirektoratet för planering av spel och, i förekommande fall, vidta de åtgärder som krävs.”</w:t>
      </w:r>
    </w:p>
    <w:p w14:paraId="19A79385" w14:textId="3DCA6427" w:rsidR="0001091D" w:rsidRPr="00A9210D" w:rsidRDefault="0001091D" w:rsidP="00F17E13">
      <w:pPr>
        <w:jc w:val="both"/>
        <w:rPr>
          <w:rFonts w:ascii="Arial" w:hAnsi="Arial" w:cs="Arial"/>
          <w:bCs/>
        </w:rPr>
      </w:pPr>
      <w:r>
        <w:rPr>
          <w:rFonts w:ascii="Arial" w:hAnsi="Arial"/>
          <w:b/>
        </w:rPr>
        <w:t>Andra artikeln. Ändring av beslutet av den 6 oktober 2014 om godkännande av datamodellen för användning i informationsövervakningssystemet för register över spelverksamhet, enligt följande:</w:t>
      </w:r>
      <w:r>
        <w:rPr>
          <w:rFonts w:ascii="Arial" w:hAnsi="Arial"/>
        </w:rPr>
        <w:t xml:space="preserve"> </w:t>
      </w:r>
    </w:p>
    <w:p w14:paraId="6AAD2B6A" w14:textId="14F9C745" w:rsidR="006F45C5" w:rsidRPr="00A9210D" w:rsidRDefault="009948B2" w:rsidP="006F45C5">
      <w:pPr>
        <w:jc w:val="both"/>
        <w:rPr>
          <w:rFonts w:ascii="Arial" w:hAnsi="Arial" w:cs="Arial"/>
          <w:bCs/>
        </w:rPr>
      </w:pPr>
      <w:r>
        <w:rPr>
          <w:rFonts w:ascii="Arial" w:hAnsi="Arial"/>
        </w:rPr>
        <w:t xml:space="preserve">Punkt </w:t>
      </w:r>
      <w:r>
        <w:rPr>
          <w:rFonts w:ascii="Arial" w:hAnsi="Arial"/>
          <w:color w:val="1F3864"/>
        </w:rPr>
        <w:t>3.5.7.</w:t>
      </w:r>
      <w:r>
        <w:rPr>
          <w:rFonts w:ascii="Arial" w:hAnsi="Arial"/>
        </w:rPr>
        <w:t xml:space="preserve">2 (”Spelarens status”) i bilaga I ska ersättas med följande: </w:t>
      </w:r>
    </w:p>
    <w:p w14:paraId="3FB0A96C" w14:textId="77777777" w:rsidR="00C926BC" w:rsidRPr="00C926BC" w:rsidRDefault="00CD5D1C" w:rsidP="00C926BC">
      <w:pPr>
        <w:jc w:val="both"/>
        <w:rPr>
          <w:rFonts w:ascii="Arial" w:hAnsi="Arial" w:cs="Arial"/>
          <w:bCs/>
        </w:rPr>
      </w:pPr>
      <w:r>
        <w:rPr>
          <w:rFonts w:ascii="Arial" w:hAnsi="Arial"/>
        </w:rPr>
        <w:t xml:space="preserve">”3.5.7.2 Spelarens status </w:t>
      </w:r>
    </w:p>
    <w:p w14:paraId="30B6715A" w14:textId="77777777" w:rsidR="00A303D7" w:rsidRPr="00112FA3" w:rsidRDefault="003B5C7A" w:rsidP="003B5C7A">
      <w:pPr>
        <w:jc w:val="both"/>
        <w:rPr>
          <w:rFonts w:ascii="Arial" w:hAnsi="Arial" w:cs="Arial"/>
          <w:bCs/>
        </w:rPr>
      </w:pPr>
      <w:r>
        <w:rPr>
          <w:rFonts w:ascii="Arial" w:hAnsi="Arial"/>
        </w:rPr>
        <w:t xml:space="preserve">Spelarens ”status” omfattar följande två fält:  </w:t>
      </w:r>
    </w:p>
    <w:p w14:paraId="371979A3" w14:textId="60D04365" w:rsidR="003B5C7A" w:rsidRPr="00112FA3" w:rsidRDefault="003B5C7A" w:rsidP="003B5C7A">
      <w:pPr>
        <w:jc w:val="both"/>
        <w:rPr>
          <w:rFonts w:ascii="Arial" w:hAnsi="Arial" w:cs="Arial"/>
          <w:bCs/>
        </w:rPr>
      </w:pPr>
      <w:r>
        <w:rPr>
          <w:rFonts w:ascii="Arial" w:hAnsi="Arial"/>
        </w:rPr>
        <w:t xml:space="preserve">CNJ-status, där aktören ombeds att göra åtskillnad mellan:  </w:t>
      </w:r>
    </w:p>
    <w:p w14:paraId="675C3934" w14:textId="77777777" w:rsidR="003B5C7A" w:rsidRPr="00112FA3" w:rsidRDefault="003B5C7A" w:rsidP="003B5C7A">
      <w:pPr>
        <w:jc w:val="both"/>
        <w:rPr>
          <w:rFonts w:ascii="Arial" w:hAnsi="Arial" w:cs="Arial"/>
          <w:bCs/>
        </w:rPr>
      </w:pPr>
      <w:r>
        <w:rPr>
          <w:rFonts w:ascii="Arial" w:hAnsi="Arial"/>
        </w:rPr>
        <w:t xml:space="preserve">● A: Aktiv. Det här är statusen för en spelare som har vederbörligen identifierats och kontrollerats genom dokumentation. </w:t>
      </w:r>
    </w:p>
    <w:p w14:paraId="580B7BAC" w14:textId="77777777" w:rsidR="003B5C7A" w:rsidRPr="00112FA3" w:rsidRDefault="003B5C7A" w:rsidP="003B5C7A">
      <w:pPr>
        <w:jc w:val="both"/>
        <w:rPr>
          <w:rFonts w:ascii="Arial" w:hAnsi="Arial" w:cs="Arial"/>
          <w:bCs/>
        </w:rPr>
      </w:pPr>
      <w:r>
        <w:rPr>
          <w:rFonts w:ascii="Arial" w:hAnsi="Arial"/>
        </w:rPr>
        <w:t xml:space="preserve">● PV: I avvaktan på dokumentkontroll. Det här är statusen för en spelare som är bosatt i Spanien och vars identitet inte har bestyrkts genom ett dokumentkontrollsystem. </w:t>
      </w:r>
    </w:p>
    <w:p w14:paraId="4B945205" w14:textId="77777777" w:rsidR="003B5C7A" w:rsidRPr="00112FA3" w:rsidRDefault="003B5C7A" w:rsidP="003B5C7A">
      <w:pPr>
        <w:jc w:val="both"/>
        <w:rPr>
          <w:rFonts w:ascii="Arial" w:hAnsi="Arial" w:cs="Arial"/>
          <w:bCs/>
        </w:rPr>
      </w:pPr>
      <w:r>
        <w:rPr>
          <w:rFonts w:ascii="Arial" w:hAnsi="Arial"/>
        </w:rPr>
        <w:t xml:space="preserve">● S: Avstängd. Det här är statusen för en spelare som operatören har valt att stänga av efter en oavbruten inaktiv period på 2 år. </w:t>
      </w:r>
    </w:p>
    <w:p w14:paraId="141B702C" w14:textId="77777777" w:rsidR="003B5C7A" w:rsidRPr="00112FA3" w:rsidRDefault="003B5C7A" w:rsidP="003B5C7A">
      <w:pPr>
        <w:jc w:val="both"/>
        <w:rPr>
          <w:rFonts w:ascii="Arial" w:hAnsi="Arial" w:cs="Arial"/>
          <w:bCs/>
        </w:rPr>
      </w:pPr>
      <w:r>
        <w:rPr>
          <w:rFonts w:ascii="Arial" w:hAnsi="Arial"/>
        </w:rPr>
        <w:lastRenderedPageBreak/>
        <w:t xml:space="preserve">● C: Borttagen. Det här är statusen för en spelare som operatören har tagit bort eftersom det har gått 4 år sedan spelarens avstängning. </w:t>
      </w:r>
    </w:p>
    <w:p w14:paraId="7BAB001A" w14:textId="77777777" w:rsidR="003B5C7A" w:rsidRPr="00112FA3" w:rsidRDefault="003B5C7A" w:rsidP="003B5C7A">
      <w:pPr>
        <w:jc w:val="both"/>
        <w:rPr>
          <w:rFonts w:ascii="Arial" w:hAnsi="Arial" w:cs="Arial"/>
          <w:bCs/>
        </w:rPr>
      </w:pPr>
      <w:r>
        <w:rPr>
          <w:rFonts w:ascii="Arial" w:hAnsi="Arial"/>
        </w:rPr>
        <w:t>● CD: Borttagen på grund av död. Det här är statusen för en spelare som har identifierats som avliden.</w:t>
      </w:r>
    </w:p>
    <w:p w14:paraId="6A2FE785" w14:textId="77777777" w:rsidR="003B5C7A" w:rsidRPr="00112FA3" w:rsidRDefault="003B5C7A" w:rsidP="003B5C7A">
      <w:pPr>
        <w:jc w:val="both"/>
        <w:rPr>
          <w:rFonts w:ascii="Arial" w:hAnsi="Arial" w:cs="Arial"/>
          <w:bCs/>
        </w:rPr>
      </w:pPr>
      <w:r>
        <w:rPr>
          <w:rFonts w:ascii="Arial" w:hAnsi="Arial"/>
        </w:rPr>
        <w:t xml:space="preserve">● SC: Tillfällig avstängning. Det här är statusen för en spelare som är under tillfällig avstängning av operatören på grund av misstanke om hemlig samverkan eller bedrägligt beteende eller för att ha tillåtit användning av användarregistrering av tredje part. </w:t>
      </w:r>
    </w:p>
    <w:p w14:paraId="4AD1BFBE" w14:textId="77777777" w:rsidR="003B5C7A" w:rsidRPr="00112FA3" w:rsidRDefault="003B5C7A" w:rsidP="003B5C7A">
      <w:pPr>
        <w:jc w:val="both"/>
        <w:rPr>
          <w:rFonts w:ascii="Arial" w:hAnsi="Arial" w:cs="Arial"/>
          <w:bCs/>
        </w:rPr>
      </w:pPr>
      <w:r>
        <w:rPr>
          <w:rFonts w:ascii="Arial" w:hAnsi="Arial"/>
        </w:rPr>
        <w:t xml:space="preserve">● AC: Annullering av avtalet. Det här är statusen för en spelare som är under tillfällig avstängning och som enligt operatören har visat sig ha begått bedrägeri eller hemlig samverkan eller tillhandahållit sitt användarkonto till en tredje part, vilket föranleder operatören att ensidigt säga upp avtalet. </w:t>
      </w:r>
    </w:p>
    <w:p w14:paraId="6BB5C179" w14:textId="77777777" w:rsidR="003B5C7A" w:rsidRPr="00112FA3" w:rsidRDefault="003B5C7A" w:rsidP="003B5C7A">
      <w:pPr>
        <w:jc w:val="both"/>
        <w:rPr>
          <w:rFonts w:ascii="Arial" w:hAnsi="Arial" w:cs="Arial"/>
          <w:bCs/>
        </w:rPr>
      </w:pPr>
      <w:r>
        <w:rPr>
          <w:rFonts w:ascii="Arial" w:hAnsi="Arial"/>
        </w:rPr>
        <w:t xml:space="preserve">● PR: Förbud. Det här är statusen för en spelare som omfattas av något av de förbud som fastställs i artikel 6 i lag 13/2011 (minderårig, registrerade i RGIAJ, kopplingar, …) </w:t>
      </w:r>
    </w:p>
    <w:p w14:paraId="36CC3CEA" w14:textId="77777777" w:rsidR="003B5C7A" w:rsidRPr="00112FA3" w:rsidRDefault="003B5C7A" w:rsidP="003B5C7A">
      <w:pPr>
        <w:jc w:val="both"/>
        <w:rPr>
          <w:rFonts w:ascii="Arial" w:hAnsi="Arial" w:cs="Arial"/>
          <w:bCs/>
        </w:rPr>
      </w:pPr>
      <w:r>
        <w:rPr>
          <w:rFonts w:ascii="Arial" w:hAnsi="Arial"/>
        </w:rPr>
        <w:t xml:space="preserve">● AE: Självavstängd. Det här är statusen för en spelare som frivilligt har valt att avstå från att delta i spelverksamhet som operatören erbjuder. </w:t>
      </w:r>
    </w:p>
    <w:p w14:paraId="54499D85" w14:textId="77777777" w:rsidR="003B5C7A" w:rsidRPr="00112FA3" w:rsidRDefault="003B5C7A" w:rsidP="003B5C7A">
      <w:pPr>
        <w:jc w:val="both"/>
        <w:rPr>
          <w:rFonts w:ascii="Arial" w:hAnsi="Arial" w:cs="Arial"/>
          <w:bCs/>
        </w:rPr>
      </w:pPr>
      <w:r>
        <w:rPr>
          <w:rFonts w:ascii="Arial" w:hAnsi="Arial"/>
        </w:rPr>
        <w:t xml:space="preserve">● O: Övriga. Övriga situationer som kan vara tillämpliga för en spelare och som inte inbegrips i ovanstående. </w:t>
      </w:r>
    </w:p>
    <w:p w14:paraId="272CE038" w14:textId="77777777" w:rsidR="003B5C7A" w:rsidRPr="00112FA3" w:rsidRDefault="003B5C7A" w:rsidP="003B5C7A">
      <w:pPr>
        <w:jc w:val="both"/>
        <w:rPr>
          <w:rFonts w:ascii="Arial" w:hAnsi="Arial" w:cs="Arial"/>
          <w:bCs/>
        </w:rPr>
      </w:pPr>
      <w:r>
        <w:rPr>
          <w:rFonts w:ascii="Arial" w:hAnsi="Arial"/>
        </w:rPr>
        <w:t>EstadoOperador (status enligt operatören) där operatören anger statusen såsom den benämns på dess plattform.”</w:t>
      </w:r>
    </w:p>
    <w:p w14:paraId="40371930" w14:textId="4F5B9E39" w:rsidR="004A6475" w:rsidRPr="00C73313" w:rsidRDefault="00BE2A52" w:rsidP="00F17E13">
      <w:pPr>
        <w:jc w:val="both"/>
        <w:rPr>
          <w:rFonts w:ascii="Arial" w:hAnsi="Arial" w:cs="Arial"/>
          <w:b/>
        </w:rPr>
      </w:pPr>
      <w:r>
        <w:rPr>
          <w:rFonts w:ascii="Arial" w:hAnsi="Arial"/>
          <w:b/>
        </w:rPr>
        <w:t>Enda slutbestämmelse. Ikraftträdande</w:t>
      </w:r>
    </w:p>
    <w:p w14:paraId="1CCE2500" w14:textId="7F190632" w:rsidR="001151E6" w:rsidRPr="00C169ED" w:rsidRDefault="001B4699" w:rsidP="0044700B">
      <w:pPr>
        <w:jc w:val="both"/>
        <w:rPr>
          <w:rFonts w:ascii="Arial" w:hAnsi="Arial" w:cs="Arial"/>
          <w:sz w:val="20"/>
        </w:rPr>
      </w:pPr>
      <w:r>
        <w:rPr>
          <w:rFonts w:ascii="Arial" w:hAnsi="Arial"/>
        </w:rPr>
        <w:t xml:space="preserve">Detta beslut träder i kraft sex månader efter det att det har offentliggjorts i ”Spaniens officiella tidning”.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Madrid, XX av ÅÅ 2022</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GENERALDIREKTORATET FÖR PLANERING AV SPEL</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1712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D6E0A"/>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1557</Words>
  <Characters>8875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6</cp:revision>
  <cp:lastPrinted>2022-11-25T11:05:00Z</cp:lastPrinted>
  <dcterms:created xsi:type="dcterms:W3CDTF">2022-11-25T12:23:00Z</dcterms:created>
  <dcterms:modified xsi:type="dcterms:W3CDTF">2023-01-27T09:37:00Z</dcterms:modified>
</cp:coreProperties>
</file>