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Ke dni:</w:t>
      </w:r>
      <w:r>
        <w:rPr>
          <w:sz w:val="16"/>
          <w:rFonts w:ascii="Verdana" w:hAnsi="Verdana"/>
        </w:rPr>
        <w:t xml:space="preserve"> </w:t>
      </w:r>
      <w:r>
        <w:rPr>
          <w:sz w:val="16"/>
          <w:rFonts w:ascii="Verdana" w:hAnsi="Verdana"/>
        </w:rPr>
        <w:t xml:space="preserve">15. března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Stanovy o regulaci zprostředkovatelů sdělovacích prostředků podle § 96 státní smlouvy o sdělovacích prostředcích</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(Stanovy MI)</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ze dne …</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Na základě § 96 věty 1 státní smlouvy o sdělovacích prostředcích (dále jen „MStV“) ze dne 14. až 28. dubna 2020 (... odkaz) se [název spolkového úřadu pro sdělovací prostředky] po dohodě s ostatními spolkovými úřady pro sdělovací prostředky přijímají tyto stanovy:</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Oddíl 1:</w:t>
      </w:r>
      <w:r>
        <w:rPr>
          <w:b/>
          <w:sz w:val="22"/>
          <w:rFonts w:ascii="Calibri" w:hAnsi="Calibri"/>
        </w:rPr>
        <w:t xml:space="preserve"> </w:t>
      </w:r>
      <w:r>
        <w:rPr>
          <w:b/>
          <w:sz w:val="22"/>
          <w:rFonts w:ascii="Calibri" w:hAnsi="Calibri"/>
        </w:rPr>
        <w:t xml:space="preserve">Obecná ustanovení</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Účel a cíl</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Podle § 96 smlouvy MStV se těmito stanovami upravují podrobnosti o hmotné a procesní specifikaci právních předpisů pro regulaci zprostředkovatelů sdělovacích prostředků a poskytovatelů zprostředkovatelů sdělovacích prostředků (§ 91 až 95 smlouvy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Tyto stanovy slouží k ochraně rozmanitosti názorů (rozmanitosti nabídky a poskytovatelů).</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Při uplatňování těchto stanov se zohledňuje vedoucí úloha zprostředkovatelů sdělovacích prostředků pro příslušné skupiny uživatelů.</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Oblast působnosti</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Do oblasti působnosti stanov spadají zprostředkovatelé sdělovacích prostředků, integrovaní zprostředkovatelé sdělovacích prostředků a jejich poskytovatelé.</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Pojem „integrovaný zprostředkovatel sdělovacích prostředků“ podle § 91 odst. 1 smlouvy MStV zahrnuje jakoukoli integraci zprostředkovatelské funkce do nabídky třetích osob, která uživatelům nabídky třetích stran umožňuje využívat zprostředkovatelskou funkci.</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Počet uživatelů podle § 91 odst. 2 bodu 1 smlouvy MStV je součet měsíčních jedinečných uživatelů.</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Pokud poskytovatel zprostředkovatele sdělovacích prostředků odkazuje na nařízení uvedené v § 91 odst. 2 bodu 1 smlouvy MStV, předloží a doloží do jednoho měsíce na žádost příslušného spolkového úřadu pro sdělovací prostředky počet uživatelů a předloží dokumentaci a informace požadované pro posouzení.</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Pokud zprostředkovatelská funkce dosud nebyla nabídnuta nebo byla nabídnuta po dobu kratší než šest měsíců, vypracuje poskytovatel zprostředkovatele sdělovacích prostředků na žádost příslušného spolkového úřadu pro sdělovací prostředky prognózu vývoje počtu uživatelů ve smyslu § 91 odst. 2 bodu 1 smlouvy MStV a poskytne důvěryhodné důkazy a rovněž předloží dokumenty a informace požadované pro posouzení.</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Pověřený zástupce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Pověřeným zástupcem může být fyzická nebo právnická osoba.</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Fyzické osoby musí mít bydliště nebo místo obvyklého pobytu a právnické osoby musí mít sídlo ve Spolkové republice Německo.</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Musí být uvedena kontaktní adresa.</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Požadavky podle § 92 věty 1 druhé části věty smlouvy MStV jsou obvykle splněny, je-li pověřený zástupce určen v rámci informací požadovaných § 5 odst. 1 zákona o službách elektronických informací a komunikací (TMG) a § 18 odst. 1 smlouvy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Oddíl 2:</w:t>
      </w:r>
      <w:r>
        <w:rPr>
          <w:b/>
          <w:sz w:val="22"/>
          <w:rFonts w:ascii="Calibri" w:hAnsi="Calibri"/>
        </w:rPr>
        <w:t xml:space="preserve"> </w:t>
      </w:r>
      <w:r>
        <w:rPr>
          <w:b/>
          <w:sz w:val="22"/>
          <w:rFonts w:ascii="Calibri" w:hAnsi="Calibri"/>
        </w:rPr>
        <w:t xml:space="preserve">Transparentnost</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Účel a cíl</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Ustanovení tohoto oddílu mají zajistit, aby byla pro uživatele zprostředkovatelů sdělovacích prostředků vytvořena odpovídající transparentnost, pokud jde o informace uvedené v § 93 odst. 1 smlouvy MStV a § 6 (informace, které mají být předkládány transparentním způsobem).</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Zejména by to mělo umožnit informované využívání zprostředkovatele sdělovacích prostředků, pokud jde o shromažďování, výběr a prezentaci novinářského a redakčního obsahu.</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Oslovují také poskytovatele novinářského a redakčního obsahu.</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Formální požadavky</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Informace podle § 93 odst. 1 smlouvy MStV, změny podle § 93 odst. 3 smlouvy MStV a informace podle § 6 musí být předkládány transparentním způsobem v němčině.</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Informace, které mají být předkládány transparentním způsobem, jsou snadno vnímatelné ve smyslu § 93 smlouvy MStV, pokud jsou umístěny do jasně viditelné polohy u průměrného uživatele s ohledem na typickou situaci použití zprostředkovatele sdělovacích prostředků.</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Obvykle tomu tak je, pokud jsou informace, které mají být předkládány transparentním způsobem, jasně odlišitelné od zbytku obsahu a jsou přímo spojeny se možnostmi vstupu nebo navigace nezbytnými pro použití zprostředkovatele sdělovacích prostředků.</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Při používání odkazu na internetovou stránku uvádějící informace, které mají být předkládány transparentním způsobem, se použijí odpovídajícím způsobem výše uvedené požadavky.</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Informace, které mají být předkládány transparentním způsobem, jsou okamžitě přístupné ve smyslu § 93 smlouvy MStV, pokud jsou pro uživatele vnímatelné bez významných mezikroků.</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Tak tomu není zejména v případě, že informace jsou přístupné prostřednictvím více než dvou odkazů na internetové stránky a/nebo je získávání informací podmíněno předchozí registrací nebo přihlášením.</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Informace, které mají být předkládány transparentním způsobem, jsou vždy k dispozici ve smyslu § 93 smlouvy MStV, pokud k nim má uživatel kdykoli přístup.</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Informace, které mají být předkládány transparentním způsobem, jsou poskytovány ve srozumitelném jazyce ve smyslu § 93 smlouvy MStV, pokud mohou poskytnout průměrnému uživateli základní znalosti o okolnostech uvedených v § 93 odst. 1 smlouvy MStV požadované pro informované používání zprostředkovatele sdělovacích prostředků.</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Pokud se při používání zprostředkovatele sdělovacích prostředků používá převážně hlasové ovládání, měly by být informace, které mají být předkládány transparentním způsobem, rovněž na žádost uživatele reprodukovány akusticky, přičemž postačují akustické údaje o tom, kde jsou informace, které mají být předkládány transparentním způsobem, poskytnuty.</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Informační povinnosti</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Poskytovatel zprostředkovatele sdělovacích prostředků je povinen učinit transparentními kritéria, která zprostředkovateli sdělovacích prostředků určují přístup k obsahu a jeho uchovávání (§ 93 odst. 1 bod 1 smlouvy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 tímto účelem musí poskytovatel zprostředkovatele sdělovacích prostředků poskytnout zejména tyto informace:</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Popis technických a hospodářských podmínek, podmínek souvisejících s poskytovatelem, podmínek souvisejících s uživateli a podmínek souvisejících s obsahem, které určují, zda je obsah vnímán prostřednictvím zprostředkovatele sdělovacích prostředků,</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v případě, že je určitý obsah filtrován nebo je snížena nebo zvýšena jeho třída z hlediska vnímavosti při přístupu k zprostředkovateli sdělovacích prostředků a přetrvávání u něj, zejména pomocí automatizovaných systémů, uvede se příslušná kategorie obsahu a cíle sledované filtrací nebo zařazením do tříd a</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informace o tom, zda je přístup k obsahu a jeho uchovávání u zprostředkovatele sdělovacích prostředků ovlivněn nebo může být ovlivněn platbami nebo jinými přímými nebo nepřímými věcnými dávkami a pokud tomu tak je, jakým způsobem k tomu dochází</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Poskytovatel zprostředkovatele sdělovacích prostředků je povinen podle § 93 odst. 1 bodu 2 smlouvy MStV učinit transparentní hlavní kritéria pro shromažďování, výběr a prezentaci obsahu a jeho vážení, včetně informací o fungování používaných algoritmů.</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 tímto účelem musí poskytovatel zprostředkovatele sdělovacích prostředků poskytnout zejména tyto informace: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popis hlavních kritérií pro shromažďování, výběr a prezentaci používané poskytovatelem zprostředkovatele sdělovacích prostředků,</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popis relativní váhy hlavních kritérií ve vzájemném vztahu a ve vztahu k vedlejším kritériím, aniž by tato vedlejší kritéria byla učiněna transparentní,</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popis cílů optimalizace sledovaných hlavními kritérii,</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informace o tom, zda je nebo může být dohledatelnost obsahu u zprostředkovatele sdělovacích prostředků ovlivněna placením poplatků nebo jinou přímou či nepřímou odměnou ve formě protiplnění a pokud tomu tak je, jakým způsobem k tomu dochází,</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popis základních procesních kroků, které jsou základem při shromažďování, výběru a prezentaci obsahu, včetně toho, které osobní a jiné údaje jsou součástí shromažďování, výběru a prezentace,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informace o typu a rozsahu použité individualizace a o tom, zda je obsah posuzován podle významu pro příslušného uživatele a pokud tomu tak je, jakým způsobem k tomu dochází,</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informace o tom, zda může chování uživatele u zprostředkovatele sdělovacích prostředků ovlivnit shromažďování, výběr a prezentaci obsahu, včetně údajů o možnostech ovlivnění, které má uživatel k dispozici prostřednictvím nastavení a dílčích funkcí, a pokud tomu tak je, jakým způsobem k tomu dochází, a</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informace o tom, zda poskytovatel zprostředkovatele sdělovacích prostředků zachází se svým vlastním obsahem, obsahem přidružené společnosti (§ 15 zákona o akciových společnostech (AktG)) nebo obsahem spolupracujících partnerů zvláštním způsobem při shromáždění, výběru a/nebo prezentaci a pokud tomu tak je, jakým způsobem k tomu dochází.</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Důležité změny kritérií, která mají být předkládána transparentním způsobem podle § 93 odst. 1 smlouvy MStV, musí být bezprostředně vnímatelné.</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 tímto účelem musí poskytovatel zprostředkovatele sdělovacích prostředků uchovávat k dispozici přehled o významných změnách, k nimž došlo v průběhu času.</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Všechny ostatní změny kritérií, která mají být předkládána transparentním způsobem podle § 93 odst. 1 smlouvy MStV, se zveřejňují nejméně každé čtyři měsíce od nabytí účinnosti těchto stanov.</w:t>
      </w:r>
      <w:r>
        <w:rPr>
          <w:sz w:val="22"/>
          <w:rFonts w:ascii="Calibri" w:hAnsi="Calibri"/>
        </w:rPr>
        <w:t xml:space="preserve"> </w:t>
      </w:r>
      <w:r>
        <w:rPr>
          <w:sz w:val="22"/>
          <w:rFonts w:ascii="Calibri" w:hAnsi="Calibri"/>
        </w:rPr>
        <w:t xml:space="preserve">Ustanovení § 5 se použije odpovídajícím způsobem.</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Oddíl 3:</w:t>
      </w:r>
      <w:r>
        <w:rPr>
          <w:b/>
          <w:sz w:val="22"/>
          <w:rFonts w:ascii="Calibri" w:hAnsi="Calibri"/>
        </w:rPr>
        <w:t xml:space="preserve"> </w:t>
      </w:r>
      <w:r>
        <w:rPr>
          <w:b/>
          <w:sz w:val="22"/>
          <w:rFonts w:ascii="Calibri" w:hAnsi="Calibri"/>
        </w:rPr>
        <w:t xml:space="preserve">Zásada zákazu diskriminace</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 7 Obecná ustanovení</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Povinnost zprostředkovatele sdělovacích prostředků podle § 94 odst. 1 smlouvy MStV zahrnuje rovněž určitelné části a příspěvky novinářské a redakční nabídky.</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Pro stanovení obzvláště vysokého vlivu ve smyslu § 94 odst. 1 smlouvy MStV je rozhodující vliv zprostředkovatele sdělovacích prostředků na vnímavost novinářského a redakčního obsahu v procesu vytváření názoru.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Posouzení může zohlednit zejména</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postavení zprostředkovatele sdělovacích prostředků na příslušných relevantních trzích;</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celkový pohled na použití, například na základě dostupného rozsahu použití, počtu uživatelů, doby setrvání a činnosti uživatelů nebo počtu zobrazení na jednoho uživatele.</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8</w:t>
      </w:r>
      <w:r>
        <w:rPr>
          <w:b/>
          <w:sz w:val="22"/>
          <w:rFonts w:ascii="Calibri" w:hAnsi="Calibri"/>
        </w:rPr>
        <w:br/>
      </w:r>
      <w:r>
        <w:rPr>
          <w:b/>
          <w:sz w:val="22"/>
          <w:rFonts w:ascii="Calibri" w:hAnsi="Calibri"/>
        </w:rPr>
        <w:t xml:space="preserve"> Systematická odchylka podle § 94 odst. 2 první alternativy smlouvy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Rozhodující pro posouzení, zda došlo k porušení § 94 odst. 2 první alternativy smlouvy MStV,</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jsou kritéria a informace o vážení kritérií, která poskytovatel zprostředkovatele sdělovacích prostředků zveřejňuje s cílem splnit svou povinnost podle § 93 odst. 1 smlouvy MStV nebo</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kritéria a informace o vážení kritérií, která by poskytovatel zprostředkovatele sdělovacích prostředků musel zveřejnit s cílem splnit svou povinnost podle § 93 odst. 1 smlouvy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Odchylka ve smyslu § 94 odst. 2 první alternativy smlouvy MStV se považuje za existující, zejména pokud</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poskytovatel zprostředkovatele sdělovacích prostředků nepoužije zveřejněná kritéria nebo kritéria jiná než kritéria, která mají být zveřejněna podle § 93 odst. 1 bodu 1 a 2 smlouvy MStV nebo</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se poskytovatel zprostředkovatele sdělovacích prostředků odchyluje se od zveřejněného vážení hlavních kritérií shromažďování, výběru a prezentace obsahu.</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To, zda je odchylka ve smyslu § 94 odst. 2 první alternativy smlouvy MStV systematická, se určí na základě celkového pohledu na všechny okolnosti.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Zejména se zohlední doba trvání, pravidelnost, opakování a plánování odchylky.</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Odchylka je odůvodněná, je-li to způsobeno objektivně oprávněným důvodem.</w:t>
      </w:r>
      <w:r>
        <w:rPr>
          <w:sz w:val="22"/>
          <w:rFonts w:ascii="Calibri" w:hAnsi="Calibri"/>
        </w:rPr>
        <w:t xml:space="preserve"> </w:t>
      </w:r>
      <w:r>
        <w:rPr>
          <w:sz w:val="22"/>
          <w:rFonts w:ascii="Calibri" w:hAnsi="Calibri"/>
        </w:rPr>
        <w:t xml:space="preserve">Tyto důvody mohou být zejména</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právní zákazy nebo právní povinnosti;</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technické podmínky při prezentaci uživateli;</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požadavky na ochranu integrity služby.</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To, zda existuje objektivně oprávněný důvod, se po posouzení zájmů zúčastněných stran posuzuje s přihlédnutím k cíli smlouvy MStV zajistit rozmanitost názorů.</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Nepřiměřené překážky podle § 94 odst. 2 druhé alternativy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Překážkou ve smyslu § 94 odst. 2 druhé alternativy smlouvy MStV je přímé nebo nepřímé narušení, pokud jde o přístup k novinářské a redakční nabídce nebo její dohledatelnost.</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 8 odst. 1 se použije odpovídajícím způsobem.</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To, zda je překážka ve smyslu § 94 odst. 2 druhé alternativy smlouvy MStV systematická, se určuje na základě celkového pohledu na všechny okolnosti.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Je třeba zohlednit dobu trvání, pravidelnost, opakování a plánování překážky.</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Nepřiměřená povaha překážky se posuzuje na základě rovnováhy mezi zájmy stran s přihlédnutím k cíli smlouvy MStV zajistit rozmanitost názorů.</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Nepřiměřená povaha překážky může vyplývat z jednotlivých kritérií nebo z kumulativní interakce několika kritérií.</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Oddíl 4:</w:t>
      </w:r>
      <w:r>
        <w:rPr>
          <w:b/>
          <w:sz w:val="22"/>
          <w:rFonts w:ascii="Calibri" w:hAnsi="Calibri"/>
        </w:rPr>
        <w:t xml:space="preserve"> </w:t>
      </w:r>
      <w:r>
        <w:rPr>
          <w:b/>
          <w:sz w:val="22"/>
          <w:rFonts w:ascii="Calibri" w:hAnsi="Calibri"/>
        </w:rPr>
        <w:t xml:space="preserve">Řízení a vyšetřování</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Pravomoci komise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Pro plnění úkolů v rámci těchto stanov slouží jako vhodný orgán Komise pro udělování licencí a dohled (ZAK) příslušného spolkového úřadu pro sdělovací prostředky (§ 104 odst. 2 věta 1 bod 1, § 105 odst. 1 věta 1 bod 10 smlouvy MStV ve spojení s jednacím řádem ZAK, který se označuje jako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Příslušný spolkový úřad pro sdělovací prostředky neprodleně postoupí stížnost komisi ZAK prostřednictvím společného sekretariátu podle § 11 a informuje ji o přezkoumání z moci úřední.</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Komise ZAK vede řízení do doby, než bude připraveno rozhodnutí.</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Řízení týkající se zásady zákazu diskriminace</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Příslušný spolkový úřad pro sdělovací prostředky přezkoumá prostřednictvím komise ZAK na základě stížnosti nebo ve zřejmých případech z moci úřední, zda poskytovatel zprostředkovatele sdělovacích prostředků porušuje ustanovení § 94 odst. 1 a 2 smlouvy MStV nebo § 8 a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Právo podat odvolání ve smyslu § 94 odst. 3 věty 1 smlouvy MStV se přiznává</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poskytovatelům novinářského a redakčního obsahu a</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poskytovatelům mediálních platforem a uživatelských rozhraní, pokud si stěžují na diskriminaci balíčků novinářského a redakčního obsahu, které nabízejí.</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Stěžovatel uvede důvody svého odvolání.</w:t>
      </w:r>
      <w:r>
        <w:rPr>
          <w:sz w:val="22"/>
          <w:rFonts w:ascii="Calibri" w:hAnsi="Calibri"/>
        </w:rPr>
        <w:t xml:space="preserve"> </w:t>
      </w:r>
      <w:r>
        <w:rPr>
          <w:sz w:val="22"/>
          <w:rFonts w:ascii="Calibri" w:hAnsi="Calibri"/>
        </w:rPr>
        <w:t xml:space="preserve">Za tímto účelem musí být předložen vhodný doklad, ze kterého vyplynou dostatečné důkazy pro údajnou diskriminaci jeho novinářského a redakčního obsahu ve smyslu § 94 odst. 2 smlouvy MStV nebo § 8 a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Zejména mohou být předloženy:</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hodnocení dohledatelnosti vlastního novinářského a redakčního obsahu u zprostředkovatele sdělovacích prostředků a</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vhodné studie.</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Kromě toho musí stěžovatel předložit, je-li to možné, vhodný doklad, ze kterého vyplynou dostatečné důkazy o zvláště vysokém vlivu zprostředkovatele sdělovacích prostředků na vnímavost novinářského a redakčního obsahu ve smyslu § 94 odst. 1 smlouvy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O zřejmý případ podle § 94 odst. 3 věty 2 smlouvy MStV a odstavce 1 se jedná, pokud jsou skutečnosti, které jsou základem porušení zásady zákazu diskriminace, jasně zjistitelné třetími osobami.</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Nápravná opatření</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Pokud příslušný spolkový úřad pro sdělovací prostředky rozhodne prostřednictvím komise ZAK, že poskytovatel zprostředkovatele sdělovacích prostředků porušuje § 92 až § 94 smlouvy MStV nebo ustanovení těchto stanov, poskytovatel zprostředkovatele sdělovacích prostředků neprodleně přijme nápravná opatření ve vztahu k zprostředkovateli sdělovacích prostředků.</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Poskytovatel zprostředkovatele sdělovacích prostředků je povinen vhodným a srozumitelným způsobem předložit příslušnému spolkovému úřadu pro sdělovací prostředky důkazy o nápravných opatřeních.</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Informace a předkládání dokumentů</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S cílem ověřit možné porušení předpisů je poskytovatel zprostředkovatele sdělovacích prostředků povinen poskytnout veškeré nezbytné informace, zpřístupnit informace a předložit dokumenty.</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Příslušný spolkový úřad pro sdělovací prostředky je oprávněn především</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požadovat předložení veškeré dokumentace, která prokazuje kritéria ve smyslu § 93 odst. 1 bodu 1 smlouvy MStV nebo hlavní kritéria a jejich vážení, jakož i fungování algoritmů používaných ve smyslu § 93 odst. 1 bodu 2 smlouvy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jako svědky vyslechnout zaměstnance poskytovatele zprostředkovatele sdělovacích prostředků, kteří se podílejí na definování, technickém provádění a změnách kritérií ve smyslu § 93 odst. 1 bodu 1 smlouvy MStV nebo hlavních kritérií a jejich vážení a také algoritmů používaných ve smyslu § 93 odst. 1 bodu 2 smlouvy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požadovat od poskytovatele zprostředkovatele sdělovacích prostředků čestné prohlášení o informacích, které mají být předkládány transparentním způsobem podle § 93 odst. 1 smlouvy MStV a §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požadovat předložení smluv, závazků nebo jiných povinností, které objektivně souvisejí s přístupem zprostředkovatelů sdělovacích prostředků a jejich uchovávání obsahu, zejména pokud se týkají začlenění, prezentace a uchovávání novinářského a redakčního obsahu.</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Při předkládání dokumentů uvedených v odstavci 1 označí poskytovatel zprostředkovatele sdělovacích prostředků ty části dokumentů, které obsahují provozní či obchodní tajemství.</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 tomto případě musí dodatečně předložit verzi, která může být z jeho pohledu nahlížena třetími stranami, aniž by byla vyzrazena provozní či obchodní tajemství.</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Pokud tak není učiněno, je spolkový úřad pro sdělovací prostředky oprávněn předpokládat souhlas s kontrolou, pokud si není vědom zvláštních okolností, které takové domněnky neodůvodňují.</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Považuje-li spolkový úřad pro sdělovací prostředky označení dokumentů za provozní či obchodní tajemství za neodůvodněné, musí poskytovateli poskytnout možnost vyjádřit se před rozhodnutím o udělení přístupu třetím osobám.</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Oddíl 5:</w:t>
      </w:r>
      <w:r>
        <w:rPr>
          <w:b/>
          <w:sz w:val="22"/>
          <w:rFonts w:ascii="Calibri" w:hAnsi="Calibri"/>
        </w:rPr>
        <w:t xml:space="preserve"> </w:t>
      </w:r>
      <w:r>
        <w:rPr>
          <w:b/>
          <w:sz w:val="22"/>
          <w:rFonts w:ascii="Calibri" w:hAnsi="Calibri"/>
        </w:rPr>
        <w:t xml:space="preserve">Závěrečná ustanovení</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Hodnocení</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Komise ZAK přezkoumá tyto stanovy nejméně jednou za tři roky, přičemž zejména zohlední</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zkušenosti získané při praktickém uplatňování těchto stanov;</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technický a hospodářský vývoj v oblasti právních předpisů;</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význam jednotlivých zprostředkovatelů sdělovacích prostředků pro vytváření veřejného mínění;</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spoluregulační vývoj, jako jsou závazky v celém odvětví;</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rozvoj výzkumu v oblasti transparentnosti a diskriminace;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vývoj výzkumu a vědy v oblasti analýzy dat, umělé inteligence a strojového učení.</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Nabytí účinnosti</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Tyto stanovy nabývají účinnosti dne 1. září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Pokud do 31. srpna 2021 nejsou přijaty a zveřejněny příslušné stanovy všemi federálními orgány sdělovacích prostředků, stanou se tyto stanovy zastaralými.</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Předseda Konference ředitelů spolkových úřadů pro sdělovací prostředky (DLM) zveřejní na internetu pod zastřešující značkou „die medienanstalten“ údaje o tom, zda všechny spolkové úřady pro sdělovací prostředky přijaly a zveřejnily příslušné stanovy ve lhůtě stanovené ve větě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w:t>
      </w:r>
      <w:r>
        <w:rPr>
          <w:rFonts w:asciiTheme="minorHAnsi" w:hAnsiTheme="minorHAnsi"/>
        </w:rPr>
        <w:t xml:space="preserve">Oznámeno v souladu se směrnicí Evropského parlamentu a Rady (EU) 2015/1535 ze dne 9. září 2015 o postupu při poskytování informací v oblasti technických předpisů a předpisů pro služby informační společnosti (Úř. věst. L 241, 17.9.2015, s. 1, Celex 32015L1535).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cs-CZ"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