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322" w:rsidRPr="00FC0D01" w:rsidRDefault="00251322" w:rsidP="00251322">
      <w:pPr>
        <w:spacing w:before="120" w:line="320" w:lineRule="exact"/>
        <w:rPr>
          <w:sz w:val="16"/>
          <w:szCs w:val="16"/>
          <w:rFonts w:ascii="Verdana" w:hAnsi="Verdana"/>
        </w:rPr>
      </w:pPr>
      <w:r>
        <w:rPr>
          <w:sz w:val="16"/>
          <w:rFonts w:ascii="Verdana" w:hAnsi="Verdana"/>
        </w:rPr>
        <w:t xml:space="preserve">Στις:</w:t>
      </w:r>
      <w:r>
        <w:rPr>
          <w:sz w:val="16"/>
          <w:rFonts w:ascii="Verdana" w:hAnsi="Verdana"/>
        </w:rPr>
        <w:t xml:space="preserve"> </w:t>
      </w:r>
      <w:r>
        <w:rPr>
          <w:sz w:val="16"/>
          <w:rFonts w:ascii="Verdana" w:hAnsi="Verdana"/>
        </w:rPr>
        <w:t xml:space="preserve">15 Μαρτίου 2021</w:t>
      </w:r>
    </w:p>
    <w:p w:rsidR="002C21BC" w:rsidRPr="00B93BDE" w:rsidRDefault="009C24A4">
      <w:pPr>
        <w:rPr>
          <w:sz w:val="22"/>
          <w:szCs w:val="22"/>
          <w:rFonts w:ascii="Calibri" w:hAnsi="Calibri"/>
        </w:rPr>
      </w:pPr>
      <w:r>
        <w:rPr>
          <w:sz w:val="22"/>
          <w:rFonts w:ascii="Calibri" w:hAnsi="Calibri"/>
        </w:rPr>
        <w:t xml:space="preserve">__________________________________________________________________________________</w:t>
      </w:r>
    </w:p>
    <w:p w:rsidR="009C24A4" w:rsidRPr="009C24A4" w:rsidRDefault="009C24A4" w:rsidP="003564B3">
      <w:pPr>
        <w:autoSpaceDE w:val="0"/>
        <w:autoSpaceDN w:val="0"/>
        <w:adjustRightInd w:val="0"/>
        <w:spacing w:line="276" w:lineRule="auto"/>
        <w:jc w:val="center"/>
        <w:rPr>
          <w:rFonts w:ascii="Calibri" w:hAnsi="Calibri"/>
          <w:sz w:val="22"/>
          <w:szCs w:val="22"/>
        </w:rPr>
      </w:pPr>
    </w:p>
    <w:p w:rsidR="008C60A0" w:rsidRPr="008C60A0" w:rsidRDefault="00D87095" w:rsidP="003564B3">
      <w:pPr>
        <w:spacing w:line="276" w:lineRule="auto"/>
        <w:jc w:val="center"/>
        <w:rPr>
          <w:b/>
          <w:sz w:val="22"/>
          <w:szCs w:val="22"/>
          <w:rFonts w:ascii="Calibri" w:eastAsia="Calibri" w:hAnsi="Calibri"/>
        </w:rPr>
      </w:pPr>
      <w:r>
        <w:rPr>
          <w:b/>
          <w:sz w:val="22"/>
          <w:rFonts w:ascii="Calibri" w:hAnsi="Calibri"/>
        </w:rPr>
        <w:t xml:space="preserve">Καταστατικό για τον κανονισμό των ενδιαμέσων μέσων ενημέρωσης δυνάμει του άρθρου 96 της κρατικής σύμβασης για τα μέσα μαζικής ενημέρωσης</w:t>
      </w:r>
    </w:p>
    <w:p w:rsidR="008C60A0" w:rsidRPr="008C60A0" w:rsidRDefault="008C60A0" w:rsidP="003564B3">
      <w:pPr>
        <w:spacing w:line="276" w:lineRule="auto"/>
        <w:jc w:val="center"/>
        <w:rPr>
          <w:b/>
          <w:sz w:val="22"/>
          <w:szCs w:val="22"/>
          <w:rFonts w:ascii="Calibri" w:eastAsia="Calibri" w:hAnsi="Calibri"/>
        </w:rPr>
      </w:pPr>
      <w:r>
        <w:rPr>
          <w:b/>
          <w:sz w:val="22"/>
          <w:rFonts w:ascii="Calibri" w:hAnsi="Calibri"/>
        </w:rPr>
        <w:br/>
      </w:r>
      <w:r>
        <w:rPr>
          <w:b/>
          <w:sz w:val="22"/>
          <w:rFonts w:ascii="Calibri" w:hAnsi="Calibri"/>
        </w:rPr>
        <w:t xml:space="preserve">(Κανονισμός ΕΜ)</w:t>
      </w:r>
    </w:p>
    <w:p w:rsidR="008C60A0" w:rsidRPr="008C60A0" w:rsidRDefault="008C60A0" w:rsidP="003564B3">
      <w:pPr>
        <w:spacing w:line="276" w:lineRule="auto"/>
        <w:jc w:val="center"/>
        <w:rPr>
          <w:b/>
          <w:sz w:val="22"/>
          <w:szCs w:val="22"/>
          <w:rFonts w:ascii="Calibri" w:eastAsia="Calibri" w:hAnsi="Calibri"/>
        </w:rPr>
      </w:pPr>
      <w:r>
        <w:rPr>
          <w:sz w:val="22"/>
          <w:rFonts w:ascii="Calibri" w:hAnsi="Calibri"/>
        </w:rPr>
        <w:br/>
      </w:r>
      <w:r>
        <w:rPr>
          <w:sz w:val="22"/>
          <w:b/>
          <w:rFonts w:ascii="Calibri" w:hAnsi="Calibri"/>
        </w:rPr>
        <w:t xml:space="preserve">της …</w:t>
      </w:r>
    </w:p>
    <w:p w:rsidR="008C60A0" w:rsidRPr="008C60A0" w:rsidRDefault="008C60A0" w:rsidP="003564B3">
      <w:pPr>
        <w:spacing w:line="276" w:lineRule="auto"/>
        <w:jc w:val="center"/>
        <w:rPr>
          <w:rFonts w:ascii="Calibri" w:eastAsia="Calibri" w:hAnsi="Calibri"/>
          <w:sz w:val="22"/>
          <w:szCs w:val="22"/>
          <w:lang w:eastAsia="en-US"/>
        </w:rPr>
      </w:pPr>
    </w:p>
    <w:p w:rsidR="008C60A0" w:rsidRPr="008C60A0" w:rsidRDefault="008C60A0" w:rsidP="003564B3">
      <w:pPr>
        <w:spacing w:line="276" w:lineRule="auto"/>
        <w:rPr>
          <w:bCs/>
          <w:sz w:val="22"/>
          <w:szCs w:val="22"/>
          <w:rFonts w:ascii="Calibri" w:eastAsia="Calibri" w:hAnsi="Calibri"/>
        </w:rPr>
      </w:pPr>
      <w:r>
        <w:rPr>
          <w:sz w:val="22"/>
          <w:rFonts w:ascii="Calibri" w:hAnsi="Calibri"/>
        </w:rPr>
        <w:t xml:space="preserve">Βάσει του άρθρου 96 πρόταση 1 της κρατικής σύμβασης για τα μέσα μαζικής ενημέρωσης (MStV) από τις 14 έως τις 28 Απριλίου 2020 (... παραπομπή), η [όνομα της ομοσπονδιακής αρχής μέσων μαζικής ενημέρωσης], σε συμφωνία με τις άλλες ομοσπονδιακές αρχές μέσων ενημέρωσης, θεσπίζει το ακόλουθο καταστατικό:</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Τμήμα 1:</w:t>
      </w:r>
      <w:r>
        <w:rPr>
          <w:b/>
          <w:sz w:val="22"/>
          <w:rFonts w:ascii="Calibri" w:hAnsi="Calibri"/>
        </w:rPr>
        <w:t xml:space="preserve"> </w:t>
      </w:r>
      <w:r>
        <w:rPr>
          <w:b/>
          <w:sz w:val="22"/>
          <w:rFonts w:ascii="Calibri" w:hAnsi="Calibri"/>
        </w:rPr>
        <w:t xml:space="preserve">Γενικές διατάξεις</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Άρθρο 1.</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Σκοπός</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Σύμφωνα με το άρθρο 96 MStV, το παρόν καταστατικό ρυθμίζει λεπτομέρειες σχετικά με την ουσιαστική και διαδικαστική προδιαγραφή των νομικών διατάξεων για τη ρύθμιση των ενδιαμέσων μέσων ενημέρωσης και των παρόχων ενδιαμέσων μέσων μαζικής ενημέρωσης (άρθρα 91 έως 95 MStV).</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Το εν λόγω καταστατικό διασφαλίζει την πολυφωνία (πολυφωνία της προσφοράς και του παρόχου).</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Ο καθοδηγητικός ρόλος των ενδιαμέσων μέσων ενημέρωσης για τις αντίστοιχες ομάδες χρηστών λαμβάνεται υπόψη κατά την εφαρμογή του παρόντος καταστατικού.</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Άρθρο 2.</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Πεδίο εφαρμογής</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Το πεδίο εφαρμογής του καταστατικού περιλαμβάνει τους ενδιάμεσους μέσων μαζικής ενημέρωσης, τους ενσωματωμένους ενδιάμεσους μέσων ενημέρωσης και τους παρόχους τους.</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Ο όρος «ενσωματωμένος ενδιάμεσος μέσων μαζικής ενημέρωσης» κατ’ εφαρμογή του άρθρου 91 παράγραφος 1 MStV καλύπτει κάθε ενσωμάτωση ενδιάμεσης λειτουργίας στις προσφορές τρίτων, η οποία επιτρέπει στους χρήστες παροχών τρίτων να χρησιμοποιούν την ενδιάμεση λειτουργία.</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Ο αριθμός των χρηστών σύμφωνα με το άρθρο 91 παράγραφος 2 σημείο 1 MStV είναι το άθροισμα των μηνιαίων μοναδικών χρηστών.</w:t>
      </w:r>
      <w:r>
        <w:rPr>
          <w:sz w:val="22"/>
          <w:rFonts w:ascii="Calibri" w:hAnsi="Calibri"/>
        </w:rPr>
        <w:t xml:space="preserve"> </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(3) Εάν ο πάροχος ενδιαμέσου μέσων ενημέρωσης αναφέρεται στη ρύθμιση που προβλέπεται στο άρθρο 91 παράγραφος 2 σημείο 1 MStV, υποβάλλει και αιτιολογεί, κατόπιν αιτήματος της αρμόδιας ομοσπονδιακής αρχής μέσων ενημέρωσης, εντός ενός μηνός τον αριθμό των χρηστών και υποβάλλει τα έγγραφα και τις πληροφορίες που απαιτούνται για την εξέταση.</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(4) Εάν η ενδιάμεση λειτουργία δεν έχει ακόμη παρασχεθεί ή έχει παρασχεθεί για διάστημα μικρότερο των έξι μηνών, ο πάροχος του ενδιαμέσου μέσων ενημέρωσης, κατόπιν αιτήματος της αρμόδιας ομοσπονδιακής αρχής μέσων ενημέρωσης, προβαίνει σε πρόβλεψη της εξέλιξης των αριθμών χρηστών κατά την έννοια του άρθρου 91 παράγραφος 2 σημείο 1 MStV, παρέχει αξιόπιστα αποδεικτικά στοιχεία και υποβάλλει επίσης τα έγγραφα και τις πληροφορίες που απαιτούνται για την εξέταση.</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Άρθρο 3.</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Εξουσιοδοτημένος αντιπρόσωπος</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Ο εξουσιοδοτημένος αντιπρόσωπος μπορεί να είναι φυσικό ή νομικό πρόσωπο.</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Τα φυσικά πρόσωπα πρέπει να έχουν την κατοικία ή τη συνήθη διαμονή τους και τα νομικά πρόσωπα πρέπει να έχουν την καταστατική τους έδρα στην Ομοσπονδιακή Δημοκρατία της Γερμανίας.</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Πρέπει να αναφέρεται η διεύθυνση στην οποία μπορεί να επιδοθεί κλήτευση.</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Οι απαιτήσεις σύμφωνα με το άρθρο 92 παράγραφος 1 δεύτερη περίοδος MStV συνήθως τηρούνται, εάν ο εξουσιοδοτημένος αντιπρόσωπος ορίζεται εντός του πεδίου εφαρμογής των πληροφοριών που απαιτούνται από το άρθρο 5 παράγραφος 1 του νόμου για τα τηλεμέσα (TMG) και το άρθρο 18 παράγραφος 1 MStV.</w:t>
      </w: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Τμήμα 2:</w:t>
      </w:r>
      <w:r>
        <w:rPr>
          <w:b/>
          <w:sz w:val="22"/>
          <w:rFonts w:ascii="Calibri" w:hAnsi="Calibri"/>
        </w:rPr>
        <w:t xml:space="preserve"> </w:t>
      </w:r>
      <w:r>
        <w:rPr>
          <w:b/>
          <w:sz w:val="22"/>
          <w:rFonts w:ascii="Calibri" w:hAnsi="Calibri"/>
        </w:rPr>
        <w:t xml:space="preserve">Διαφάνεια</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Άρθρο 4.</w:t>
      </w:r>
    </w:p>
    <w:p w:rsidR="00D87095" w:rsidRDefault="00D87095" w:rsidP="00D87095">
      <w:pPr>
        <w:spacing w:line="276" w:lineRule="auto"/>
        <w:jc w:val="center"/>
        <w:rPr>
          <w:b/>
          <w:sz w:val="22"/>
          <w:szCs w:val="22"/>
          <w:rFonts w:ascii="Calibri" w:eastAsia="Calibri" w:hAnsi="Calibri"/>
        </w:rPr>
      </w:pPr>
      <w:r>
        <w:rPr>
          <w:b/>
          <w:sz w:val="22"/>
          <w:rFonts w:ascii="Calibri" w:hAnsi="Calibri"/>
        </w:rPr>
        <w:t xml:space="preserve">Σκοπός</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Οι διατάξεις του παρόντος τμήματος έχουν στόχο να διασφαλίσουν τη δημιουργία της απαραίτητης διαφάνειας για τους χρήστες των ενδιαμέσων μέσων ενημέρωσης όσον αφορά τις πληροφορίες που αναφέρονται στο άρθρο 93 παράγραφος 1 MStV και το άρθρο 6 (πληροφορίες που πρέπει να καταστούν διαφανείς).</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Συγκεκριμένα, το γεγονός αυτό θα επιτρέψει την ενημερωμένη χρήση του ενδιαμέσου μέσων ενημέρωσης όσον αφορά τη συγκέντρωση, επιλογή και παρουσίαση δημοσιογραφικού περιεχομένου.</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Απευθύνονται επίσης στους παρόχους δημοσιογραφικού περιεχομένου.</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Άρθρο 5.</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Τυπικές απαιτήσεις</w:t>
      </w:r>
    </w:p>
    <w:p w:rsidR="00D87095" w:rsidRPr="00D87095" w:rsidRDefault="00D87095"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(1) Οι πληροφορίες δυνάμει του άρθρου 93 παράγραφος 1 MStV, οι τροποποιήσεις δυνάμει του άρθρου 93 παράγραφος 3 του MStV και οι πληροφορίες δυνάμει του άρθρου 6 πρέπει να καθίστανται διαφανείς στη γερμανική γλώσσα.</w:t>
      </w:r>
    </w:p>
    <w:p w:rsidR="002A4057" w:rsidRPr="00D87095"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Οι πληροφορίες που πρέπει να καθίστανται διαφανείς είναι εύκολα αντιληπτές κατά την έννοια του άρθρου 93 MStV, εάν τοποθετούνται σε ευδιάκριτο σημείο για τον μέσο χρήστη, λαμβάνοντας υπόψη την τυπική κατάσταση χρήσης του ενδιαμέσου μέσων ενημέρωσης.</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Αυτό συμβαίνει συνήθως εάν οι πληροφορίες που πρέπει να καταστούν διαφανείς είναι προφανώς διακριτές από το υπόλοιπο περιεχόμενο και σχετίζονται άμεσα με τις επιλογές εισόδου ή πλοήγησης που είναι απαραίτητες για τη χρήση του ενδιαμέσου μέσου.</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Κατά τη χρήση ενός διαδικτυακού συνδέσμου που αφορά τις πληροφορίες που πρέπει να καθίστανται διαφανείς, εφαρμόζονται αναλόγως οι ανωτέρω απαιτήσεις.</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(3)</w:t>
      </w:r>
      <w:r>
        <w:rPr>
          <w:sz w:val="22"/>
          <w:vertAlign w:val="superscript"/>
          <w:rFonts w:ascii="Calibri" w:hAnsi="Calibri"/>
        </w:rPr>
        <w:t xml:space="preserve">1</w:t>
      </w:r>
      <w:r>
        <w:rPr>
          <w:sz w:val="22"/>
          <w:rFonts w:ascii="Calibri" w:hAnsi="Calibri"/>
        </w:rPr>
        <w:t xml:space="preserve">Οι πληροφορίες που πρέπει να καθίστανται διαφανείς είναι άμεσα προσβάσιμες κατά την έννοια του άρθρου 93 MStV, εάν είναι αντιληπτές για τον χρήστη χωρίς σημαντικά ενδιάμεσα βήματα.</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Αυτό δεν ισχύει ιδίως εάν οι πληροφορίες είναι προσβάσιμες μέσω περισσότερων από δύο δικτυακών συνδέσμων και/ή η ανάκτηση των πληροφοριών εξαρτάται από προηγούμενη εγγραφή ή σύνδεση.</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(4) Οι πληροφορίες που καθίστανται διαφανείς είναι πάντα διαθέσιμες κατά την έννοια του άρθρου 93 MStV, εάν ο χρήστης μπορεί να έχει ανά πάσα στιγμή πρόσβαση σε αυτές.</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(5) Οι πληροφορίες που πρέπει να καθίστανται διαφανείς παρέχονται σε κατανοητή γλώσσα κατά την έννοια του άρθρου 93 MStV, εάν μπορούν να παρέχουν στον μέσο χρήστη τη βασική κατανόηση των περιστάσεων που αναφέρονται στο άρθρο 93 παράγραφος 1 MStV η οποία απαιτείται για την ενημερωμένη χρήση του ενδιαμέσου μέσων ενημέρωσης.</w:t>
      </w:r>
    </w:p>
    <w:p w:rsidR="002A4057" w:rsidRDefault="002A4057"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(6) Εάν η χρήση του ενδιαμέσου μέσων μαζικής ενημέρωσης είναι κυρίως φωνητική, οι πληροφορίες που πρέπει να καθίστανται διαφανείς θα πρέπει επίσης να αναπαράγονται ακουστικά, κατόπιν αιτήματος του χρήστη, και η ακουστική ένδειξη του σημείου παροχής των πληροφοριών που πρέπει να καταστούν διαφανείς πρέπει να είναι κατάλληλη.</w:t>
      </w: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Άρθρο 6.</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Υποχρεώσεις ενημέρωσης</w:t>
      </w:r>
    </w:p>
    <w:p w:rsidR="00D87095" w:rsidRPr="00D87095" w:rsidRDefault="00D87095" w:rsidP="002A4057">
      <w:pPr>
        <w:spacing w:line="276" w:lineRule="auto"/>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Ο πάροχος ενδιαμέσου μέσων είναι υποχρεωμένος να καταστήσει διαφανή τα κριτήρια που καθορίζουν την πρόσβαση του περιεχομένου σε έναν ενδιάμεσο μέσων ενημέρωσης και τη διατήρηση του (άρθρο 93 παράγραφος 1 σημείο 1 MStV).</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Για τον σκοπό αυτόν, ο πάροχος ενδιαμέσου μέσων ενημέρωσης πρέπει να παρέχει ιδίως τις ακόλουθες πληροφορίες:</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Περιγραφή των τεχνικών, οικονομικών, συναφών με τους παρόχους, συναφών με τον χρήστη και συναφών με το περιεχόμενο συνθηκών που καθορίζουν αν το περιεχόμενο καθίσταται αντιληπτό μέσω ενδιαμέσου μέσου,</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στην περίπτωση που ορισμένα περιεχόμενα φιλτράρονται, υποβαθμίζονται ή αναβαθμίζονται όσον αφορά την αντιληπτότητά τους κατά την πρόσβαση και την παραμονή τους στον ενδιάμεσο μέσων, ιδίως επίσης μέσω της χρήσης αυτόματων συστημάτων, αναφέρεται η κατηγορία του οικείου περιεχομένου και των στόχων που επιδιώκονται από το φιλτράρισμα ή τη διαβάθμιση και</w:t>
      </w:r>
    </w:p>
    <w:p w:rsid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πληροφορίες σχετικά με το εάν και, εάν ναι, πώς η πρόσβαση και η διατήρηση του περιεχομένου του ενδιαμέσου μέσων επηρεάζεται ή μπορεί να επηρεαστεί από πληρωμές ή άλλες άμεσες ή έμμεσες παροχές σε είδος</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Ο πάροχος ενδιαμέσου μέσων υποχρεούται σύμφωνα με το άρθρο 93 παράγραφος 1 σημείο 2 MStV να καθιστά διαφανή τα βασικά κριτήρια συγκέντρωσης, επιλογής και παρουσίασης του περιεχομένου και της στάθμισης τους, συμπεριλαμβανομένων πληροφοριών για τη λειτουργία των χρησιμοποιούμενων αλγορίθμων.</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Για τον σκοπό αυτόν, ο πάροχος ενδιαμέσου μέσων ενημέρωσης πρέπει να παρέχει ιδίως τις ακόλουθες πληροφορίες:</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περιγραφή των βασικών κριτηρίων συγκέντρωσης, επιλογής και παρουσίασης που χρησιμοποιεί ο πάροχος ενδιαμέσου μέσων ενημέρωσης,</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περιγραφή της σχετικής στάθμισης των βασικών κριτηρίων σε σχέση μεταξύ τους και σε σχέση με τα μη βασικά κριτήρια, χωρίς να καθίστανται διαφανή τα τελευταία,</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περιγραφή των στόχων βελτιστοποίησης που επιδιώκονται με τα βασικά κριτήρια,</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πληροφορίες σχετικά με το εάν και, εάν ναι, πώς η δυνατότητα εύρεσης περιεχομένου στον ενδιάμεσο μέσων επηρεάζεται ή μπορεί να επηρεαστεί από την πληρωμή τελών ή από άλλες άμεσες ή έμμεσες αμοιβές,</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περιγραφή των βασικών βημάτων της διαδικασίας στην οποία βασίζεται η συγκέντρωση, η επιλογή και η παρουσίαση του περιεχομένου, συμπεριλαμβανομένων των προσωπικών και άλλων δεδομένων που περιλαμβάνονται στη συγκέντρωση, την επιλογή και την παρουσίαση,</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πληροφορίες σχετικά με τον τύπο και την έκταση της εξατομίκευσης που χρησιμοποιείται και εάν και, εάν ναι, πώς αξιολογείται το περιεχόμενο σε σχέση με τον αντίστοιχο χρήστη,</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πληροφορίες σχετικά με το εάν και, εάν ναι, πώς η συμπεριφορά των χρηστών στον ενδιάμεσο μέσων μπορεί να επηρεάσει τη συγκέντρωση, την επιλογή και την παρουσίαση του περιεχομένου, συμπεριλαμβανομένων ενδείξεων σχετικά με τις δυνατότητες επιρροής που έχει στη διάθεσή του ο χρήστης μέσω ρυθμίσεων και μερικών λειτουργιών και</w:t>
      </w:r>
    </w:p>
    <w:p w:rsid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πληροφορίες σχετικά με το εάν και, εάν ναι, πώς ο πάροχος ενδιαμέσου μέσων χειρίζεται το περιεχόμενό του, το περιεχόμενο συνδεδεμένης εταιρείας [άρθρο 15 του νόμου περί ανωνύμων εταιρειών (AktG)] ή το περιεχόμενο εταίρων με ειδικό τρόπο κατά τη διάρκεια της συγκέντρωσης, της επιλογής και/ή της παρουσίασης.</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Οι σημαντικές τροποποιήσεις των κριτηρίων που πρέπει να καθίστανται διαφανείς σύμφωνα με το άρθρο 93 παράγραφος 1 MStV γίνονται αμέσως αντιληπτές.</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Για τον σκοπό αυτόν, ο πάροχος ενδιαμέσου μέσων διαθέτει επισκόπηση των σημαντικών μεταβολών που επήλθαν με την πάροδο του χρόνου.</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Όλες οι άλλες τροποποιήσεις των κριτηρίων που πρέπει να καθίστανται διαφανείς σύμφωνα με το άρθρο 93 παράγραφος 1 MStV γνωστοποιούνται τουλάχιστον κάθε τέσσερις μήνες από την έναρξη ισχύος του παρόντος καταστατικού.</w:t>
      </w:r>
      <w:r>
        <w:rPr>
          <w:sz w:val="22"/>
          <w:rFonts w:ascii="Calibri" w:hAnsi="Calibri"/>
        </w:rPr>
        <w:t xml:space="preserve"> </w:t>
      </w:r>
      <w:r>
        <w:rPr>
          <w:sz w:val="22"/>
          <w:rFonts w:ascii="Calibri" w:hAnsi="Calibri"/>
        </w:rPr>
        <w:t xml:space="preserve">Το άρθρο 5 εφαρμόζεται αναλόγως.</w:t>
      </w:r>
    </w:p>
    <w:p w:rsidR="00D87095" w:rsidRDefault="00D87095" w:rsidP="002A4057">
      <w:pPr>
        <w:spacing w:line="276" w:lineRule="auto"/>
        <w:jc w:val="center"/>
        <w:rPr>
          <w:rFonts w:ascii="Calibri" w:eastAsia="Calibri" w:hAnsi="Calibri"/>
          <w:b/>
          <w:sz w:val="22"/>
          <w:szCs w:val="22"/>
          <w:lang w:eastAsia="en-US"/>
        </w:rPr>
      </w:pP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jc w:val="center"/>
        <w:rPr>
          <w:b/>
          <w:sz w:val="22"/>
          <w:szCs w:val="22"/>
          <w:rFonts w:ascii="Calibri" w:eastAsia="Calibri" w:hAnsi="Calibri"/>
        </w:rPr>
      </w:pPr>
      <w:r>
        <w:rPr>
          <w:b/>
          <w:sz w:val="22"/>
          <w:rFonts w:ascii="Calibri" w:hAnsi="Calibri"/>
        </w:rPr>
        <w:t xml:space="preserve">Τμήμα 3:</w:t>
      </w:r>
      <w:r>
        <w:rPr>
          <w:b/>
          <w:sz w:val="22"/>
          <w:rFonts w:ascii="Calibri" w:hAnsi="Calibri"/>
        </w:rPr>
        <w:t xml:space="preserve"> </w:t>
      </w:r>
      <w:r>
        <w:rPr>
          <w:b/>
          <w:sz w:val="22"/>
          <w:rFonts w:ascii="Calibri" w:hAnsi="Calibri"/>
        </w:rPr>
        <w:t xml:space="preserve">Απαγόρευση των διακρίσεων</w:t>
      </w:r>
    </w:p>
    <w:p w:rsidR="00D87095" w:rsidRPr="00D87095" w:rsidRDefault="00D87095" w:rsidP="002A4057">
      <w:pPr>
        <w:spacing w:line="276" w:lineRule="auto"/>
        <w:jc w:val="center"/>
        <w:rPr>
          <w:rFonts w:ascii="Calibri" w:eastAsia="Calibri" w:hAnsi="Calibri"/>
          <w:b/>
          <w:sz w:val="22"/>
          <w:szCs w:val="22"/>
          <w:lang w:eastAsia="en-US"/>
        </w:rPr>
      </w:pPr>
    </w:p>
    <w:p w:rsidR="00D87095" w:rsidRDefault="00D87095" w:rsidP="002A4057">
      <w:pPr>
        <w:spacing w:line="276" w:lineRule="auto"/>
        <w:jc w:val="center"/>
        <w:rPr>
          <w:b/>
          <w:sz w:val="22"/>
          <w:szCs w:val="22"/>
          <w:rFonts w:ascii="Calibri" w:eastAsia="Calibri" w:hAnsi="Calibri"/>
        </w:rPr>
      </w:pPr>
      <w:r>
        <w:rPr>
          <w:b/>
          <w:sz w:val="22"/>
          <w:rFonts w:ascii="Calibri" w:hAnsi="Calibri"/>
        </w:rPr>
        <w:t xml:space="preserve">Άρθρο 7.</w:t>
      </w:r>
      <w:r>
        <w:rPr>
          <w:b/>
          <w:sz w:val="22"/>
          <w:rFonts w:ascii="Calibri" w:hAnsi="Calibri"/>
        </w:rPr>
        <w:tab/>
      </w:r>
      <w:r>
        <w:rPr>
          <w:b/>
          <w:sz w:val="22"/>
          <w:rFonts w:ascii="Calibri" w:hAnsi="Calibri"/>
        </w:rPr>
        <w:t xml:space="preserve">Γενικές διατάξεις</w:t>
      </w:r>
    </w:p>
    <w:p w:rsidR="002A4057" w:rsidRPr="00D87095" w:rsidRDefault="002A4057" w:rsidP="002A4057">
      <w:pPr>
        <w:spacing w:line="276" w:lineRule="auto"/>
        <w:jc w:val="center"/>
        <w:rPr>
          <w:rFonts w:ascii="Calibri" w:eastAsia="Calibri" w:hAnsi="Calibri"/>
          <w:b/>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Η υποχρέωση ενός ενδιαμέσου μέσων ενημέρωσης σύμφωνα με το άρθρο 94 παράγραφος 1 MStV περιλαμβάνει επίσης μέρη και συμβολές δημοσιογραφικής παροχής που μπορούν να καθοριστούν.</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Για τον καθορισμό μιας ιδιαίτερα υψηλής επιρροής κατά την έννοια του άρθρου 94 παράγραφος 1 MStV, η επιρροή του ενδιαμέσου μέσων ενημέρωσης στην αντιληπτότητα του δημοσιογραφικού περιεχομένου στο πλαίσιο της διαδικασίας διαμόρφωσης γνώμης είναι καθοριστική.</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Η αξιολόγηση λαμβάνει υπόψη ιδίως</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τη θέση του ενδιαμέσου μέσων ενημέρωσης στις αντίστοιχες συναφείς αγορές·</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τη συνολική εικόνα χρήσης, π.χ. βάσει του διαθέσιμου εύρους χρήσης, των αριθμών χρηστών, της διάρκειας και της δραστηριότητας των χρηστών ή του αριθμού των προβολών ανά χρήστη.</w:t>
      </w:r>
      <w:r>
        <w:rPr>
          <w:sz w:val="22"/>
          <w:rFonts w:ascii="Calibri" w:hAnsi="Calibri"/>
        </w:rPr>
        <w:t xml:space="preserve"> </w:t>
      </w:r>
    </w:p>
    <w:p w:rsidR="002A4057" w:rsidRPr="002A4057"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Άρθρο 8.</w:t>
      </w:r>
      <w:r>
        <w:rPr>
          <w:b/>
          <w:sz w:val="22"/>
          <w:rFonts w:ascii="Calibri" w:hAnsi="Calibri"/>
        </w:rPr>
        <w:tab/>
      </w:r>
      <w:r>
        <w:rPr>
          <w:b/>
          <w:sz w:val="22"/>
          <w:rFonts w:ascii="Calibri" w:hAnsi="Calibri"/>
        </w:rPr>
        <w:t xml:space="preserve">Συστημική απόκλιση σύμφωνα με το άρθρο 94 παράγραφος 2, πρώτη εναλλακτική MStV</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Αποφασιστικής σημασίας για την εκτίμηση του κατά πόσον υφίσταται παράβαση του άρθρου 94 παράγραφος 2 πρώτη εναλλακτική MStV</w:t>
      </w:r>
    </w:p>
    <w:p w:rsidR="00D87095" w:rsidRP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είναι τα κριτήρια και οι πληροφορίες σχετικά με τη στάθμιση των κριτηρίων που δημοσιεύει ο ενδιάμεσος μέσων για την εκπλήρωση της υποχρέωσής του σύμφωνα με το άρθρο 93 παράγραφος 1 MStV ή</w:t>
      </w:r>
    </w:p>
    <w:p w:rsid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τα κριτήρια και οι πληροφορίες σχετικά με τη στάθμιση των κριτηρίων που θα έπρεπε να δημοσιεύσει ο ενδιάμεσος μέσων για την εκπλήρωση της υποχρέωσής του σύμφωνα με το άρθρο 93 παράγραφος 1 MStV.</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Θεωρείται ότι υπάρχει παρέκκλιση κατά την έννοια του άρθρου 94 παράγραφος 2, πρώτη εναλλακτική MStV, ιδίως εάν ο πάροχος ενδιαμέσου μέσων</w:t>
      </w:r>
      <w:r>
        <w:rPr>
          <w:sz w:val="22"/>
          <w:rFonts w:ascii="Calibri" w:hAnsi="Calibri"/>
        </w:rPr>
        <w:t xml:space="preserve"> </w:t>
      </w:r>
    </w:p>
    <w:p w:rsidR="00D87095" w:rsidRP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δεν εφαρμόζει τα δημοσιευμένα κριτήρια ή κριτήρια πλην εκείνων που δημοσιεύονται σύμφωνα με το άρθρο 93 παράγραφος 1 σημεία 1 και 2 MStV, ή</w:t>
      </w:r>
    </w:p>
    <w:p w:rsid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αποκλίνει από τη δημοσιευμένη στάθμιση των βασικών κριτηρίων συγκέντρωσης, επιλογής και παρουσίασης του περιεχομένου.</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Ο συστηματικός χαρακτήρας της παρέκκλισης κατά την έννοια του άρθρου 94 παράγραφος 2, πρώτη εναλλακτική MStV είναι συστηματική, καθορίζεται βάσει συνολικής θεώρησης όλων των περιστάσεων.</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Ειδικότερα, λαμβάνεται υπόψη η διάρκεια, η κανονικότητα, η επανάληψη και ο προγραμματισμός της παρέκκλισης .</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(4) Παρέκκλιση δικαιολογείται εάν οφείλεται σε αντικειμενική αιτιολογία.</w:t>
      </w:r>
      <w:r>
        <w:rPr>
          <w:sz w:val="22"/>
          <w:rFonts w:ascii="Calibri" w:hAnsi="Calibri"/>
        </w:rPr>
        <w:t xml:space="preserve"> </w:t>
      </w:r>
      <w:r>
        <w:rPr>
          <w:sz w:val="22"/>
          <w:rFonts w:ascii="Calibri" w:hAnsi="Calibri"/>
        </w:rPr>
        <w:t xml:space="preserve">Οι λόγοι μπορεί να είναι ιδίως</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νομικές απαγορεύσεις ή νομικές υποχρεώσεις·</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τεχνικοί όροι κατά την παρουσίαση στον χρήστη·</w:t>
      </w:r>
    </w:p>
    <w:p w:rsid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απαιτήσεις για την προστασία της ακεραιότητας της υπηρεσίας.</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(5) Το κατά πόσον υπάρχει αντικειμενική αιτιολογία αξιολογείται μετά τη στάθμιση των συμφερόντων των εμπλεκομένων μερών, λαμβάνοντας υπόψη τον στόχο του MStV για τη διασφάλιση της πολυφωνίας.</w:t>
      </w:r>
      <w:r>
        <w:rPr>
          <w:sz w:val="22"/>
          <w:rFonts w:ascii="Calibri" w:hAnsi="Calibri"/>
        </w:rPr>
        <w:t xml:space="preserve">  </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Άρθρο 9.</w:t>
      </w: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Αδικαιολόγητη παρεμπόδιση σύμφωνα με το άρθρο 94 παράγραφος 2, δεύτερη εναλλακτική MStV</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Παρεμπόδιση κατά την έννοια του άρθρου 94 παράγραφος 2, δεύτερη εναλλακτική MStV είναι η άμεση ή έμμεση αδυναμία όσον αφορά την πρόσβαση σε δημοσιογραφική παροχή ή τη δυνατότητα εύρεσης αυτής.</w:t>
      </w: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Το άρθρο 8 παράγραφος 1 εφαρμόζεται αναλόγως.</w:t>
      </w:r>
    </w:p>
    <w:p w:rsidR="006E5D47"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Ο συστηματικός χαρακτήρας της παρεμπόδισης κατά την έννοια του άρθρου 94 παράγραφος 2, δεύτερη εναλλακτική MStV προσδιορίζεται βάσει συνολικής θεώρησης όλων των περιστάσεων.</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Πρέπει να λαμβάνονται υπόψη η διάρκεια, η κανονικότητα, η επανάληψη και η κανονικότητα της παρεμπόδισης.</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w:t>
      </w:r>
      <w:r>
        <w:rPr>
          <w:sz w:val="22"/>
          <w:vertAlign w:val="superscript"/>
          <w:rFonts w:ascii="Calibri" w:hAnsi="Calibri"/>
        </w:rPr>
        <w:t xml:space="preserve">1</w:t>
      </w:r>
      <w:r>
        <w:rPr>
          <w:sz w:val="22"/>
          <w:rFonts w:ascii="Calibri" w:hAnsi="Calibri"/>
        </w:rPr>
        <w:t xml:space="preserve">Το αδικαιολόγητο της παρεμπόδισης αξιολογείται βάσει στάθμισης των συμφερόντων των μερών, λαμβάνοντας υπόψη τον στόχο της σύμβασης MStV για τη διασφάλιση της πολυφωνίας.</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Το αδικαιολόγητο της παρεμπόδισης μπορεί να προκύψει από μεμονωμένα κριτήρια ή από σωρευτική αλληλεπίδραση διάφορων κριτηρίων.</w:t>
      </w:r>
      <w:r>
        <w:rPr>
          <w:sz w:val="22"/>
          <w:rFonts w:ascii="Calibri" w:hAnsi="Calibri"/>
        </w:rPr>
        <w:t xml:space="preserve">  </w:t>
      </w:r>
    </w:p>
    <w:p w:rsidR="00D87095" w:rsidRDefault="00D87095" w:rsidP="006E5D47">
      <w:pPr>
        <w:spacing w:line="276" w:lineRule="auto"/>
        <w:jc w:val="center"/>
        <w:rPr>
          <w:rFonts w:ascii="Calibri" w:eastAsia="Calibri" w:hAnsi="Calibri"/>
          <w:b/>
          <w:sz w:val="22"/>
          <w:szCs w:val="22"/>
          <w:lang w:eastAsia="en-US"/>
        </w:rPr>
      </w:pP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6E5D47" w:rsidP="006E5D47">
      <w:pPr>
        <w:spacing w:line="276" w:lineRule="auto"/>
        <w:jc w:val="center"/>
        <w:rPr>
          <w:b/>
          <w:sz w:val="22"/>
          <w:szCs w:val="22"/>
          <w:rFonts w:ascii="Calibri" w:eastAsia="Calibri" w:hAnsi="Calibri"/>
        </w:rPr>
      </w:pPr>
      <w:r>
        <w:rPr>
          <w:b/>
          <w:sz w:val="22"/>
          <w:rFonts w:ascii="Calibri" w:hAnsi="Calibri"/>
        </w:rPr>
        <w:t xml:space="preserve">Τμήμα 4:</w:t>
      </w:r>
      <w:r>
        <w:rPr>
          <w:b/>
          <w:sz w:val="22"/>
          <w:rFonts w:ascii="Calibri" w:hAnsi="Calibri"/>
        </w:rPr>
        <w:t xml:space="preserve"> </w:t>
      </w:r>
      <w:r>
        <w:rPr>
          <w:b/>
          <w:sz w:val="22"/>
          <w:rFonts w:ascii="Calibri" w:hAnsi="Calibri"/>
        </w:rPr>
        <w:t xml:space="preserve">Διαδικασία και έρευνα</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Άρθρο 10.</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Αρμοδιότητα της επιτροπής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Για τα καθήκοντα που πρέπει να ασκούνται στο πλαίσιο του παρόντος καταστατικού, το αρμόδιο όργανο είναι η Επιτροπή Αδειοδότησης και Εποπτείας (ZAK) της αρμόδιας ομοσπονδιακής αρχής για τα μέσα μαζικής ενημέρωσης (άρθρο 104 παράγραφος 2 πρόταση 1 αριθ. 1, άρθρο 105 παράγραφος 1 πρόταση 1 αριθ. 10 MStV σε συνδυασμό με τον κανονισμό της επιτροπής ZAK – GVO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Η αρμόδια ομοσπονδιακή αρχή για τα μέσα μαζικής ενημέρωσης διαβιβάζει αμέσως καταγγελίες στην ZAK μέσω του κοινού γραφείου σύμφωνα με το άρθρο 11 και την ενημερώνει για τους αυτεπάγγελτους ελέγχους.</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Η ZAK διεξάγει τη διαδικασία μέχρι την έκδοση απόφασης.</w:t>
      </w:r>
    </w:p>
    <w:p w:rsidR="006E5D47" w:rsidRPr="006E5D47"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Άρθρο 11.</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Διαδικασία που δεν συνεπάγεται διακρίσεις</w:t>
      </w: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Η αρμόδια ομοσπονδιακή αρχή για τα μέσα μαζικής ενημέρωσης εξετάζει μέσω της ZAK, βάσει καταγγελίας ή σε προφανείς αυτεπάγγελτες υποθέσεις, εάν ο πάροχος ενδιαμέσου μέσων ενημέρωσης παραβιάζει τις διατάξεις του άρθρου 94 παράγραφοι 1 και 2 της MStV ή των άρθρων 8 και 9.</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Δικαίωμα προσφυγής κατά την έννοια του άρθρου 94 παράγραφος 3 πρόταση 1 MStV εκχωρείται σε</w:t>
      </w:r>
      <w:r>
        <w:rPr>
          <w:sz w:val="22"/>
          <w:rFonts w:ascii="Calibri" w:hAnsi="Calibri"/>
        </w:rPr>
        <w:t xml:space="preserve"> </w:t>
      </w:r>
    </w:p>
    <w:p w:rsidR="00D87095" w:rsidRP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παρόχους δημοσιογραφικού περιεχομένου και</w:t>
      </w:r>
      <w:r>
        <w:rPr>
          <w:sz w:val="22"/>
          <w:rFonts w:ascii="Calibri" w:hAnsi="Calibri"/>
        </w:rPr>
        <w:t xml:space="preserve"> </w:t>
      </w:r>
    </w:p>
    <w:p w:rsid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παρόχους πλατφορμών μέσων ενημέρωσης και διεπαφών χρηστών, εφόσον καταγγέλλουν διακρίσεις εις βάρος των πακέτων δημοσιογραφικού περιεχομένου που παρέχουν.</w:t>
      </w:r>
    </w:p>
    <w:p w:rsidR="006E5D47" w:rsidRPr="00D87095" w:rsidRDefault="006E5D47" w:rsidP="006E5D47">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Ο καταγγέλλων αιτιολογεί την προσφυγή του.</w:t>
      </w:r>
      <w:r>
        <w:rPr>
          <w:sz w:val="22"/>
          <w:rFonts w:ascii="Calibri" w:hAnsi="Calibri"/>
        </w:rPr>
        <w:t xml:space="preserve"> </w:t>
      </w:r>
      <w:r>
        <w:rPr>
          <w:sz w:val="22"/>
          <w:rFonts w:ascii="Calibri" w:hAnsi="Calibri"/>
        </w:rPr>
        <w:t xml:space="preserve">Για τον σκοπό αυτό, προσκομίζονται κατάλληλα στοιχεία από τα οποία προκύπτουν επαρκείς αποδείξεις για την εικαζόμενη διάκριση εις βάρος του δημοσιογραφικού περιεχομένου κατά την έννοια του άρθρου 94 παράγραφος 2 MStV ή των άρθρων 8 και 9.</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Ειδικότερα, υποβάλλονται τα εξής:</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αξιολογήσεις της δυνατότητας εύρεσης του δημοσιογραφικού περιεχομένου του ενδιαμέσου μέσων ενημέρωσης και</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κατάλληλες μελέτες.</w:t>
      </w: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3</w:t>
      </w:r>
      <w:r>
        <w:rPr>
          <w:sz w:val="22"/>
          <w:rFonts w:ascii="Calibri" w:hAnsi="Calibri"/>
        </w:rPr>
        <w:t xml:space="preserve">Επιπλέον, ο καταγγέλλων προσκομίζει, εφόσον είναι δυνατόν, κατάλληλες αποδείξεις από τις οποίες προκύπτουν επαρκή αποδεικτικά στοιχεία για την ιδιαίτερα υψηλή επιρροή του ενδιαμέσου μέσων ενημέρωσης στην αντιληπτότητα του δημοσιογραφικού περιεχομένου κατά την έννοια του άρθρου 94 παράγραφος 1 MStV.</w:t>
      </w:r>
      <w:r>
        <w:rPr>
          <w:sz w:val="22"/>
          <w:rFonts w:ascii="Calibri" w:hAnsi="Calibri"/>
        </w:rPr>
        <w:t xml:space="preserve"> </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Υπάρχει προφανής περίπτωση σύμφωνα με το άρθρο 94 παράγραφος 3 πρότασης 2 MStV και παράγραφος 1, εάν τα πραγματικά περιστατικά της παραβίασης της απαγόρευσης διακρίσεων είναι σαφώς αναγνωρίσιμα για τρίτα μέρη.</w:t>
      </w:r>
      <w:r>
        <w:rPr>
          <w:sz w:val="22"/>
          <w:rFonts w:ascii="Calibri" w:hAnsi="Calibri"/>
        </w:rPr>
        <w:t xml:space="preserve"> </w:t>
      </w:r>
    </w:p>
    <w:p w:rsidR="00D87095" w:rsidRPr="00D87095" w:rsidRDefault="00D87095"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Άρθρο 12.</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Διόρθωση</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Αν η αρμόδια ομοσπονδιακή αρχή μέσων μαζικής ενημέρωσης διαπιστώσει μέσω της ZAK ότι ο πάροχος ενδιαμέσου μέσων ενημέρωσης παραβιάζει τα άρθρα 92 έως 94 MStV ή διατάξεις του παρόντος καταστατικού, ο πάροχος του ενδιαμέσου μέσων ενημέρωσης διορθώνει τον ενδιάμεσο μέσων ενημέρωσης.</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Ο πάροχος του ενδιαμέσου μέσων ενημέρωσης υποχρεούται να προσκομίσει αποδεικτικά στοιχεία της διόρθωσης στην αρμόδια ομοσπονδιακή αρχή μέσων μαζικής ενημέρωσης με κατάλληλο και κατανοητό τρόπο.</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Άρθρο 13.</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Ενημέρωση και υποβολή εγγράφων</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Για τη διαπίστωση πιθανής παράβασης, ο πάροχος ενδιαμέσου μέσων ενημέρωσης υποχρεούται να παρέχει όλες τις απαραίτητες πληροφορίες, να διαθέτει πληροφορίες και να υποβάλλει έγγραφα.</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Η αρμόδια ομοσπονδιακή αρχή για τα μέσα μαζικής ενημέρωσης μπορεί ειδικότερα να</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απαιτήσει την υποβολή όλων των εγγράφων που αποδεικνύουν τα κριτήρια κατά την έννοια του άρθρου 93 παράγραφος 1 σημείο 1 MStV ή των βασικών κριτηρίων και της στάθμισής τους, καθώς και της λειτουργίας των χρησιμοποιούμενων αλγορίθμων κατά την έννοια του άρθρου 93 παράγραφος 1 σημείο 2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να ακούσει ως μάρτυρες τους εργαζόμενους του παρόχου ενδιαμέσου μέσων ενημέρωσης που συμμετέχουν στον ορισμό, την τεχνική εφαρμογή και την τροποποίηση των κριτηρίων κατά την έννοια του άρθρου 93 παράγραφος 1 σημείο 1 MStV ή των βασικών κριτηρίων και της στάθμισής τους, καθώς και των χρησιμοποιούμενων αλγορίθμων κατά την έννοια του άρθρου 93 παράγραφος 1 σημείο 2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να απαιτήσει από τον πάροχο ενδιαμέσου μέσων ενημέρωσης υπεύθυνη δήλωση σχετικά με τις πληροφορίες που πρέπει να καθίστανται διαφανείς σύμφωνα με το άρθρο 93 παράγραφος 1 MStV και το άρθρο 6·</w:t>
      </w:r>
    </w:p>
    <w:p w:rsid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απαιτήσει την υποβολή συμβατικών συμφωνιών, δεσμεύσεων ή άλλων υποχρεώσεων που σχετίζονται αντικειμενικά με την πρόσβαση και τη διατήρηση του περιεχομένου στον ενδιάμεσο μέσων ενημέρωσης, ιδίως εφόσον αφορούν την ενσωμάτωση, παρουσίαση και διατήρηση δημοσιογραφικού περιεχομένου.</w:t>
      </w:r>
    </w:p>
    <w:p w:rsidR="00D622FF" w:rsidRPr="00D87095" w:rsidRDefault="00D622FF" w:rsidP="00D622FF">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Κατά την υποβολή των εγγράφων που αναφέρονται στην παράγραφο 1, ο ενδιάμεσος μέσων ενημέρωσης επισημαίνει τα τμήματα των εγγράφων που περιέχουν επιχειρηματικά ή εμπορικά απόρρητα.</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Σε αυτή την περίπτωση, πρέπει επίσης να υποβάλει έκδοση η οποία, από την άποψη τους, μπορεί να εξεταστεί από τρίτα μέρη χωρίς να αποκαλύπτονται επιχειρηματικά ή εμπορικά μυστικά.</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Εάν αυτό δεν συμβεί, η ομοσπονδιακή αρχή μέσων μαζικής ενημέρωσης μπορεί να λάβει άδεια ελέγχου, εκτός εάν γνωρίζει ειδικές περιστάσεις που δεν δικαιολογούν μια τέτοια υπόθεση.</w:t>
      </w:r>
      <w:r>
        <w:rPr>
          <w:sz w:val="22"/>
          <w:rFonts w:ascii="Calibri" w:hAnsi="Calibri"/>
        </w:rPr>
        <w:t xml:space="preserve"> </w:t>
      </w:r>
      <w:r>
        <w:rPr>
          <w:sz w:val="22"/>
          <w:vertAlign w:val="superscript"/>
          <w:rFonts w:ascii="Calibri" w:hAnsi="Calibri"/>
        </w:rPr>
        <w:t xml:space="preserve">4</w:t>
      </w:r>
      <w:r>
        <w:rPr>
          <w:sz w:val="22"/>
          <w:rFonts w:ascii="Calibri" w:hAnsi="Calibri"/>
        </w:rPr>
        <w:t xml:space="preserve">Αν η ομοσπονδιακή αρχή μέσων ενημέρωσης θεωρεί αδικαιολόγητη την επισήμανση των εγγράφων ως εμπορικά ή επιχειρηματικά μυστικά, πρέπει να παρέχει στον πάροχο τη δυνατότητα σχολιασμού πριν αποφασίσει αν θα χορηγήσει πρόσβαση σε τρίτα μέρη.</w:t>
      </w:r>
    </w:p>
    <w:p w:rsid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 </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Τμήμα 5:</w:t>
      </w:r>
      <w:r>
        <w:rPr>
          <w:b/>
          <w:sz w:val="22"/>
          <w:rFonts w:ascii="Calibri" w:hAnsi="Calibri"/>
        </w:rPr>
        <w:t xml:space="preserve"> </w:t>
      </w:r>
      <w:r>
        <w:rPr>
          <w:b/>
          <w:sz w:val="22"/>
          <w:rFonts w:ascii="Calibri" w:hAnsi="Calibri"/>
        </w:rPr>
        <w:t xml:space="preserve">Τελικές διατάξεις</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Άρθρο 14.</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Αξιολόγηση</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DF0BF7">
      <w:pPr>
        <w:spacing w:after="200" w:line="276" w:lineRule="auto"/>
        <w:contextualSpacing/>
        <w:rPr>
          <w:sz w:val="22"/>
          <w:szCs w:val="22"/>
          <w:rFonts w:ascii="Calibri" w:eastAsia="Calibri" w:hAnsi="Calibri"/>
        </w:rPr>
      </w:pPr>
      <w:r>
        <w:rPr>
          <w:sz w:val="22"/>
          <w:rFonts w:ascii="Calibri" w:hAnsi="Calibri"/>
        </w:rPr>
        <w:t xml:space="preserve">Η ZAK επανεξετάζει το παρόν καταστατικό τουλάχιστον ανά τριετία, λαμβάνοντας ιδίως υπόψη</w:t>
      </w:r>
      <w:r>
        <w:rPr>
          <w:sz w:val="22"/>
          <w:rFonts w:ascii="Calibri" w:hAnsi="Calibri"/>
        </w:rPr>
        <w:tab/>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την εμπειρία που έχει αποκτηθεί από την πρακτική εφαρμογή του παρόντος καταστατικού·</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τις τεχνικές και οικονομικές εξελίξεις στον ρυθμιστικό τομέα·</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τη σημασία των μεμονωμένων ενδιαμέσων μέσων ενημέρωσης για τη διαμόρφωση της κοινής γνώμης·</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τις συν-ρυθμιστικές εξελίξεις, όπως οι δεσμεύσεις σε επίπεδο κλάδου·</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την ανάπτυξη της έρευνας για τη διαφάνεια και τις διακρίσεις·</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την ανάπτυξη της έρευνας και της επιστήμης στον τομέα της ανάλυσης δεδομένων, της τεχνητής νοημοσύνης και της μηχανικής μάθησης.</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Άρθρο 15.</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Έναρξη ισχύος</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8C60A0" w:rsidRPr="008C60A0" w:rsidRDefault="006E5D47" w:rsidP="00DF0BF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Το παρόν καταστατικό τίθεται σε ισχύ την 1η Σεπτεμβρίου 2021.</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Εάν, έως τις 31 Αυγούστου 2021, τα αντίστοιχα καταστατικά δεν έχουν θεσπιστεί και δημοσιευθεί από όλες τις ομοσπονδιακές αρχές μέσων ενημέρωσης, το παρόν καταστατικό καθίσταται ανίσχυρο.</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Ο πρόεδρος της Διάσκεψης των Διευθυντών των Ομοσπονδιακών Αρχών Μέσων Ενημέρωσης (DLM) δημοσιεύει στο διαδίκτυο υπό τον γενικό τίτλο «die medienanstalten» εάν όλες οι ομοσπονδιακές αρχές μέσων ενημέρωσης έχουν θεσπίσει και δημοσιεύσει αντίστοιχα καταστατικά εντός της προθεσμίας που ορίζεται στην πρόταση 2.</w:t>
      </w:r>
      <w:r w:rsidR="00CF50DB">
        <w:rPr>
          <w:rStyle w:val="Funotenzeichen"/>
          <w:rFonts w:asciiTheme="minorHAnsi" w:eastAsia="Calibri" w:hAnsiTheme="minorHAnsi" w:cstheme="minorHAnsi"/>
          <w:sz w:val="22"/>
          <w:szCs w:val="22"/>
          <w:lang w:eastAsia="en-US"/>
        </w:rPr>
        <w:footnoteReference w:id="1"/>
      </w:r>
    </w:p>
    <w:sectPr w:rsidR="008C60A0" w:rsidRPr="008C60A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DB6" w:rsidRDefault="00F32DB6" w:rsidP="00986629">
      <w:r>
        <w:separator/>
      </w:r>
    </w:p>
  </w:endnote>
  <w:endnote w:type="continuationSeparator" w:id="0">
    <w:p w:rsidR="00F32DB6" w:rsidRDefault="00F32DB6"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344168373"/>
      <w:docPartObj>
        <w:docPartGallery w:val="Page Numbers (Bottom of Page)"/>
        <w:docPartUnique/>
      </w:docPartObj>
    </w:sdtPr>
    <w:sdtEndPr/>
    <w:sdtContent>
      <w:p w:rsidR="00C41351" w:rsidRPr="00C41351" w:rsidRDefault="00C41351">
        <w:pPr>
          <w:pStyle w:val="Fuzeile"/>
          <w:jc w:val="center"/>
          <w:rPr>
            <w:sz w:val="22"/>
            <w:szCs w:val="22"/>
            <w:rFonts w:asciiTheme="minorHAnsi" w:hAnsiTheme="minorHAnsi" w:cstheme="minorHAnsi"/>
          </w:rPr>
        </w:pPr>
        <w:r w:rsidRPr="00C41351">
          <w:rPr>
            <w:sz w:val="22"/>
            <w:rFonts w:asciiTheme="minorHAnsi" w:hAnsiTheme="minorHAnsi" w:cstheme="minorHAnsi"/>
          </w:rPr>
          <w:fldChar w:fldCharType="begin"/>
        </w:r>
        <w:r w:rsidRPr="00C41351">
          <w:rPr>
            <w:sz w:val="22"/>
            <w:rFonts w:asciiTheme="minorHAnsi" w:hAnsiTheme="minorHAnsi" w:cstheme="minorHAnsi"/>
          </w:rPr>
          <w:instrText>PAGE   \* MERGEFORMAT</w:instrText>
        </w:r>
        <w:r w:rsidRPr="00C41351">
          <w:rPr>
            <w:sz w:val="22"/>
            <w:rFonts w:asciiTheme="minorHAnsi" w:hAnsiTheme="minorHAnsi" w:cstheme="minorHAnsi"/>
          </w:rPr>
          <w:fldChar w:fldCharType="separate"/>
        </w:r>
        <w:r w:rsidR="00673759">
          <w:rPr>
            <w:sz w:val="22"/>
            <w:rFonts w:asciiTheme="minorHAnsi" w:hAnsiTheme="minorHAnsi" w:cstheme="minorHAnsi"/>
          </w:rPr>
          <w:t>8</w:t>
        </w:r>
        <w:r w:rsidRPr="00C41351">
          <w:rPr>
            <w:sz w:val="22"/>
            <w:rFonts w:asciiTheme="minorHAnsi" w:hAnsiTheme="minorHAnsi" w:cstheme="minorHAnsi"/>
          </w:rPr>
          <w:fldChar w:fldCharType="end"/>
        </w:r>
      </w:p>
    </w:sdtContent>
  </w:sdt>
  <w:p w:rsidR="00793947" w:rsidRDefault="007939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DB6" w:rsidRDefault="00F32DB6" w:rsidP="00986629">
      <w:r>
        <w:separator/>
      </w:r>
    </w:p>
  </w:footnote>
  <w:footnote w:type="continuationSeparator" w:id="0">
    <w:p w:rsidR="00F32DB6" w:rsidRDefault="00F32DB6" w:rsidP="00986629">
      <w:r>
        <w:continuationSeparator/>
      </w:r>
    </w:p>
  </w:footnote>
  <w:footnote w:id="1">
    <w:p w:rsidR="00CF50DB" w:rsidRDefault="00CF50DB" w:rsidP="00CF50DB">
      <w:pPr>
        <w:pStyle w:val="Funotentext"/>
      </w:pPr>
      <w:r>
        <w:rPr>
          <w:rStyle w:val="Funotenzeichen"/>
        </w:rPr>
        <w:footnoteRef/>
      </w:r>
      <w:r>
        <w:t xml:space="preserve"> </w:t>
      </w:r>
      <w:r>
        <w:rPr>
          <w:rFonts w:asciiTheme="minorHAnsi" w:hAnsiTheme="minorHAnsi"/>
        </w:rPr>
        <w:t xml:space="preserve">Κοινοποιήθηκε σύμφωνα με την οδηγία (ΕΕ) 2015/1535 του Ευρωπαϊκού Κοινοβουλίου και του Συμβουλίου, της 9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17.9.2015, σ.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Pr="00986629" w:rsidRDefault="00986629">
    <w:pPr>
      <w:pStyle w:val="Kopfzeile"/>
      <w:rPr>
        <w:sz w:val="16"/>
      </w:rPr>
    </w:pPr>
    <w:r>
      <w:rPr>
        <w:sz w:val="20"/>
      </w:rPr>
      <w:br/>
    </w:r>
    <w:r>
      <w:drawing>
        <wp:anchor distT="0" distB="0" distL="114300" distR="114300" simplePos="0" relativeHeight="251658240" behindDoc="0" locked="1" layoutInCell="1" allowOverlap="1">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br/>
    </w:r>
    <w:r>
      <w:rPr>
        <w:sz w:val="20"/>
      </w:rPr>
      <w:br/>
    </w:r>
  </w:p>
  <w:p w:rsidR="00986629" w:rsidRDefault="009866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E2F"/>
    <w:multiLevelType w:val="hybridMultilevel"/>
    <w:tmpl w:val="18DABD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6051896"/>
    <w:multiLevelType w:val="hybridMultilevel"/>
    <w:tmpl w:val="EFC056D6"/>
    <w:lvl w:ilvl="0" w:tplc="683A071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7184E44"/>
    <w:multiLevelType w:val="hybridMultilevel"/>
    <w:tmpl w:val="90D252CA"/>
    <w:lvl w:ilvl="0" w:tplc="232480C8">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63BE0"/>
    <w:multiLevelType w:val="hybridMultilevel"/>
    <w:tmpl w:val="985221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A35CF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E5509B"/>
    <w:multiLevelType w:val="hybridMultilevel"/>
    <w:tmpl w:val="51242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7D09E5"/>
    <w:multiLevelType w:val="hybridMultilevel"/>
    <w:tmpl w:val="20A49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6E209C"/>
    <w:multiLevelType w:val="hybridMultilevel"/>
    <w:tmpl w:val="26E44C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34F459E"/>
    <w:multiLevelType w:val="hybridMultilevel"/>
    <w:tmpl w:val="D2EC5AA2"/>
    <w:lvl w:ilvl="0" w:tplc="18A608C6">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07088F"/>
    <w:multiLevelType w:val="hybridMultilevel"/>
    <w:tmpl w:val="5A586D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ED627A"/>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D4295E"/>
    <w:multiLevelType w:val="hybridMultilevel"/>
    <w:tmpl w:val="5F7A48D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2" w15:restartNumberingAfterBreak="0">
    <w:nsid w:val="36ED5ED2"/>
    <w:multiLevelType w:val="hybridMultilevel"/>
    <w:tmpl w:val="102A79D4"/>
    <w:lvl w:ilvl="0" w:tplc="533E0752">
      <w:start w:val="4"/>
      <w:numFmt w:val="bullet"/>
      <w:lvlText w:val="•"/>
      <w:lvlJc w:val="left"/>
      <w:pPr>
        <w:ind w:left="1146" w:hanging="360"/>
      </w:pPr>
      <w:rPr>
        <w:rFonts w:ascii="Calibri" w:eastAsia="Times New Roman" w:hAnsi="Calibri"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38107676"/>
    <w:multiLevelType w:val="hybridMultilevel"/>
    <w:tmpl w:val="A37424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A021B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E023A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BF55E0"/>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611B0F"/>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0A4431"/>
    <w:multiLevelType w:val="hybridMultilevel"/>
    <w:tmpl w:val="2EBEBD2A"/>
    <w:lvl w:ilvl="0" w:tplc="71568D74">
      <w:start w:val="1"/>
      <w:numFmt w:val="decimal"/>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DB1BCD"/>
    <w:multiLevelType w:val="hybridMultilevel"/>
    <w:tmpl w:val="AE6A8532"/>
    <w:lvl w:ilvl="0" w:tplc="2DF45302">
      <w:start w:val="1"/>
      <w:numFmt w:val="decimal"/>
      <w:lvlText w:val="%1."/>
      <w:lvlJc w:val="left"/>
      <w:pPr>
        <w:ind w:left="720" w:hanging="360"/>
      </w:pPr>
      <w:rPr>
        <w:strike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371A26"/>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AA1800"/>
    <w:multiLevelType w:val="hybridMultilevel"/>
    <w:tmpl w:val="FA22ABB6"/>
    <w:lvl w:ilvl="0" w:tplc="0407000F">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C8C61D4"/>
    <w:multiLevelType w:val="hybridMultilevel"/>
    <w:tmpl w:val="578E6428"/>
    <w:lvl w:ilvl="0" w:tplc="1E38CAD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DCA13AA"/>
    <w:multiLevelType w:val="hybridMultilevel"/>
    <w:tmpl w:val="079668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CB732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743BE5"/>
    <w:multiLevelType w:val="hybridMultilevel"/>
    <w:tmpl w:val="0E88EBC8"/>
    <w:lvl w:ilvl="0" w:tplc="274A954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8685FB1"/>
    <w:multiLevelType w:val="hybridMultilevel"/>
    <w:tmpl w:val="F01601A0"/>
    <w:lvl w:ilvl="0" w:tplc="24ECC67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4070C1"/>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CF0F6C"/>
    <w:multiLevelType w:val="hybridMultilevel"/>
    <w:tmpl w:val="5356724C"/>
    <w:lvl w:ilvl="0" w:tplc="2D9C354C">
      <w:start w:val="1"/>
      <w:numFmt w:val="decimal"/>
      <w:lvlText w:val="%1."/>
      <w:lvlJc w:val="left"/>
      <w:pPr>
        <w:ind w:left="360" w:hanging="360"/>
      </w:pPr>
      <w:rPr>
        <w:rFonts w:asciiTheme="minorHAnsi" w:hAnsiTheme="minorHAnsi" w:cstheme="minorHAns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1B679E"/>
    <w:multiLevelType w:val="hybridMultilevel"/>
    <w:tmpl w:val="18E8C4F4"/>
    <w:lvl w:ilvl="0" w:tplc="ABD6BEB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B310F1"/>
    <w:multiLevelType w:val="hybridMultilevel"/>
    <w:tmpl w:val="49C8E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9256E5"/>
    <w:multiLevelType w:val="hybridMultilevel"/>
    <w:tmpl w:val="9C448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BF2FD9"/>
    <w:multiLevelType w:val="hybridMultilevel"/>
    <w:tmpl w:val="BC302260"/>
    <w:lvl w:ilvl="0" w:tplc="B422F4C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901D5B"/>
    <w:multiLevelType w:val="hybridMultilevel"/>
    <w:tmpl w:val="37307526"/>
    <w:lvl w:ilvl="0" w:tplc="951E0C1C">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715989"/>
    <w:multiLevelType w:val="hybridMultilevel"/>
    <w:tmpl w:val="C7B611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6507B0"/>
    <w:multiLevelType w:val="hybridMultilevel"/>
    <w:tmpl w:val="D9DA2D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072854"/>
    <w:multiLevelType w:val="hybridMultilevel"/>
    <w:tmpl w:val="230E27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B94F96"/>
    <w:multiLevelType w:val="hybridMultilevel"/>
    <w:tmpl w:val="7F9018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B2C0987"/>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BD45114"/>
    <w:multiLevelType w:val="hybridMultilevel"/>
    <w:tmpl w:val="4FACE3C8"/>
    <w:lvl w:ilvl="0" w:tplc="9FF4C736">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E8053D"/>
    <w:multiLevelType w:val="hybridMultilevel"/>
    <w:tmpl w:val="712C2D8E"/>
    <w:lvl w:ilvl="0" w:tplc="90C0BA8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DFB5C93"/>
    <w:multiLevelType w:val="hybridMultilevel"/>
    <w:tmpl w:val="664E4A22"/>
    <w:lvl w:ilvl="0" w:tplc="0D56F5BE">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6"/>
  </w:num>
  <w:num w:numId="5">
    <w:abstractNumId w:val="11"/>
  </w:num>
  <w:num w:numId="6">
    <w:abstractNumId w:val="1"/>
  </w:num>
  <w:num w:numId="7">
    <w:abstractNumId w:val="0"/>
  </w:num>
  <w:num w:numId="8">
    <w:abstractNumId w:val="22"/>
  </w:num>
  <w:num w:numId="9">
    <w:abstractNumId w:val="31"/>
  </w:num>
  <w:num w:numId="10">
    <w:abstractNumId w:val="12"/>
  </w:num>
  <w:num w:numId="11">
    <w:abstractNumId w:val="4"/>
  </w:num>
  <w:num w:numId="12">
    <w:abstractNumId w:val="34"/>
  </w:num>
  <w:num w:numId="13">
    <w:abstractNumId w:val="23"/>
  </w:num>
  <w:num w:numId="14">
    <w:abstractNumId w:val="37"/>
  </w:num>
  <w:num w:numId="15">
    <w:abstractNumId w:val="5"/>
  </w:num>
  <w:num w:numId="16">
    <w:abstractNumId w:val="30"/>
  </w:num>
  <w:num w:numId="17">
    <w:abstractNumId w:val="36"/>
  </w:num>
  <w:num w:numId="18">
    <w:abstractNumId w:val="28"/>
  </w:num>
  <w:num w:numId="19">
    <w:abstractNumId w:val="35"/>
  </w:num>
  <w:num w:numId="20">
    <w:abstractNumId w:val="7"/>
  </w:num>
  <w:num w:numId="21">
    <w:abstractNumId w:val="18"/>
  </w:num>
  <w:num w:numId="22">
    <w:abstractNumId w:val="19"/>
  </w:num>
  <w:num w:numId="23">
    <w:abstractNumId w:val="21"/>
  </w:num>
  <w:num w:numId="24">
    <w:abstractNumId w:val="8"/>
  </w:num>
  <w:num w:numId="25">
    <w:abstractNumId w:val="25"/>
  </w:num>
  <w:num w:numId="26">
    <w:abstractNumId w:val="41"/>
  </w:num>
  <w:num w:numId="27">
    <w:abstractNumId w:val="40"/>
  </w:num>
  <w:num w:numId="28">
    <w:abstractNumId w:val="26"/>
  </w:num>
  <w:num w:numId="29">
    <w:abstractNumId w:val="39"/>
  </w:num>
  <w:num w:numId="30">
    <w:abstractNumId w:val="29"/>
  </w:num>
  <w:num w:numId="31">
    <w:abstractNumId w:val="32"/>
  </w:num>
  <w:num w:numId="32">
    <w:abstractNumId w:val="33"/>
  </w:num>
  <w:num w:numId="33">
    <w:abstractNumId w:val="2"/>
  </w:num>
  <w:num w:numId="34">
    <w:abstractNumId w:val="16"/>
  </w:num>
  <w:num w:numId="35">
    <w:abstractNumId w:val="20"/>
  </w:num>
  <w:num w:numId="36">
    <w:abstractNumId w:val="38"/>
  </w:num>
  <w:num w:numId="37">
    <w:abstractNumId w:val="24"/>
  </w:num>
  <w:num w:numId="38">
    <w:abstractNumId w:val="14"/>
  </w:num>
  <w:num w:numId="39">
    <w:abstractNumId w:val="27"/>
  </w:num>
  <w:num w:numId="40">
    <w:abstractNumId w:val="17"/>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45F8"/>
    <w:rsid w:val="00011024"/>
    <w:rsid w:val="000C657E"/>
    <w:rsid w:val="00133120"/>
    <w:rsid w:val="001333BE"/>
    <w:rsid w:val="001607B9"/>
    <w:rsid w:val="001D1CDD"/>
    <w:rsid w:val="001D2E17"/>
    <w:rsid w:val="00202046"/>
    <w:rsid w:val="00251322"/>
    <w:rsid w:val="002644D4"/>
    <w:rsid w:val="00281091"/>
    <w:rsid w:val="002A4057"/>
    <w:rsid w:val="002A4368"/>
    <w:rsid w:val="002C21BC"/>
    <w:rsid w:val="003564B3"/>
    <w:rsid w:val="003C28A6"/>
    <w:rsid w:val="003D2EE7"/>
    <w:rsid w:val="003E6BAD"/>
    <w:rsid w:val="004303CE"/>
    <w:rsid w:val="0045797A"/>
    <w:rsid w:val="004F1AEC"/>
    <w:rsid w:val="00511D74"/>
    <w:rsid w:val="00521970"/>
    <w:rsid w:val="00575BA9"/>
    <w:rsid w:val="005C3C1E"/>
    <w:rsid w:val="005D5943"/>
    <w:rsid w:val="00650B4F"/>
    <w:rsid w:val="00673759"/>
    <w:rsid w:val="00691044"/>
    <w:rsid w:val="006E5D47"/>
    <w:rsid w:val="00702C72"/>
    <w:rsid w:val="007417F7"/>
    <w:rsid w:val="00793947"/>
    <w:rsid w:val="007D4A2A"/>
    <w:rsid w:val="00816EE9"/>
    <w:rsid w:val="00817E45"/>
    <w:rsid w:val="0083446E"/>
    <w:rsid w:val="00862E68"/>
    <w:rsid w:val="0089595F"/>
    <w:rsid w:val="008C60A0"/>
    <w:rsid w:val="008F77BA"/>
    <w:rsid w:val="009217BC"/>
    <w:rsid w:val="00986629"/>
    <w:rsid w:val="009C24A4"/>
    <w:rsid w:val="00AD10EE"/>
    <w:rsid w:val="00AE0EB4"/>
    <w:rsid w:val="00AE3223"/>
    <w:rsid w:val="00AF7A0C"/>
    <w:rsid w:val="00B126BF"/>
    <w:rsid w:val="00B21DD1"/>
    <w:rsid w:val="00B25AAD"/>
    <w:rsid w:val="00B50565"/>
    <w:rsid w:val="00B82C25"/>
    <w:rsid w:val="00B93BDE"/>
    <w:rsid w:val="00BA4949"/>
    <w:rsid w:val="00C41351"/>
    <w:rsid w:val="00C65B4D"/>
    <w:rsid w:val="00C902B9"/>
    <w:rsid w:val="00C90B7C"/>
    <w:rsid w:val="00CF50DB"/>
    <w:rsid w:val="00D234F3"/>
    <w:rsid w:val="00D622FF"/>
    <w:rsid w:val="00D87095"/>
    <w:rsid w:val="00DC1A2C"/>
    <w:rsid w:val="00DD3710"/>
    <w:rsid w:val="00DF0BF7"/>
    <w:rsid w:val="00E14290"/>
    <w:rsid w:val="00E52E94"/>
    <w:rsid w:val="00EF480D"/>
    <w:rsid w:val="00F32DB6"/>
    <w:rsid w:val="00F33CAE"/>
    <w:rsid w:val="00F40F94"/>
    <w:rsid w:val="00F65A92"/>
    <w:rsid w:val="00FA6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jc w:val="center"/>
      <w:outlineLvl w:val="0"/>
    </w:pPr>
    <w:rPr>
      <w:rFonts w:ascii="Arial" w:hAnsi="Arial"/>
      <w:b/>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Textkrper">
    <w:name w:val="Body Text"/>
    <w:basedOn w:val="Standard"/>
    <w:rPr>
      <w:rFonts w:ascii="Arial" w:hAnsi="Arial"/>
      <w:sz w:val="21"/>
    </w:rPr>
  </w:style>
  <w:style w:type="character" w:customStyle="1" w:styleId="KommentartextZchn">
    <w:name w:val="Kommentartext Zchn"/>
    <w:link w:val="Kommentartext"/>
    <w:locked/>
    <w:rPr>
      <w:lang w:val="el-GR" w:eastAsia="de-DE" w:bidi="ar-SA"/>
    </w:rPr>
  </w:style>
  <w:style w:type="paragraph" w:styleId="Kopfzeile">
    <w:name w:val="header"/>
    <w:basedOn w:val="Standard"/>
    <w:link w:val="KopfzeileZchn"/>
    <w:rsid w:val="00986629"/>
    <w:pPr>
      <w:tabs>
        <w:tab w:val="center" w:pos="4536"/>
        <w:tab w:val="right" w:pos="9072"/>
      </w:tabs>
    </w:pPr>
  </w:style>
  <w:style w:type="character" w:customStyle="1" w:styleId="KopfzeileZchn">
    <w:name w:val="Kopfzeile Zchn"/>
    <w:link w:val="Kopfzeile"/>
    <w:uiPriority w:val="99"/>
    <w:rsid w:val="00986629"/>
    <w:rPr>
      <w:sz w:val="24"/>
      <w:szCs w:val="24"/>
    </w:rPr>
  </w:style>
  <w:style w:type="paragraph" w:styleId="Fuzeile">
    <w:name w:val="footer"/>
    <w:basedOn w:val="Standard"/>
    <w:link w:val="FuzeileZchn"/>
    <w:uiPriority w:val="99"/>
    <w:rsid w:val="00986629"/>
    <w:pPr>
      <w:tabs>
        <w:tab w:val="center" w:pos="4536"/>
        <w:tab w:val="right" w:pos="9072"/>
      </w:tabs>
    </w:pPr>
  </w:style>
  <w:style w:type="character" w:customStyle="1" w:styleId="FuzeileZchn">
    <w:name w:val="Fußzeile Zchn"/>
    <w:link w:val="Fuzeile"/>
    <w:uiPriority w:val="99"/>
    <w:rsid w:val="00986629"/>
    <w:rPr>
      <w:sz w:val="24"/>
      <w:szCs w:val="24"/>
    </w:rPr>
  </w:style>
  <w:style w:type="paragraph" w:customStyle="1" w:styleId="GGSZ">
    <w:name w:val="GGS ZÜ"/>
    <w:basedOn w:val="Standard"/>
    <w:link w:val="GGSZZchn"/>
    <w:uiPriority w:val="4"/>
    <w:qFormat/>
    <w:rsid w:val="005D5943"/>
    <w:pPr>
      <w:spacing w:before="120"/>
    </w:pPr>
    <w:rPr>
      <w:rFonts w:asciiTheme="minorHAnsi" w:hAnsiTheme="minorHAnsi"/>
      <w:b/>
      <w:sz w:val="22"/>
    </w:rPr>
  </w:style>
  <w:style w:type="character" w:customStyle="1" w:styleId="GGSZZchn">
    <w:name w:val="GGS ZÜ Zchn"/>
    <w:basedOn w:val="Absatz-Standardschriftart"/>
    <w:link w:val="GGSZ"/>
    <w:uiPriority w:val="4"/>
    <w:rsid w:val="005D5943"/>
    <w:rPr>
      <w:rFonts w:asciiTheme="minorHAnsi" w:hAnsiTheme="minorHAnsi"/>
      <w:b/>
      <w:sz w:val="22"/>
      <w:szCs w:val="24"/>
    </w:rPr>
  </w:style>
  <w:style w:type="paragraph" w:styleId="Listenabsatz">
    <w:name w:val="List Paragraph"/>
    <w:basedOn w:val="Standard"/>
    <w:uiPriority w:val="34"/>
    <w:qFormat/>
    <w:rsid w:val="00650B4F"/>
    <w:pPr>
      <w:ind w:left="720"/>
      <w:contextualSpacing/>
    </w:pPr>
  </w:style>
  <w:style w:type="paragraph" w:styleId="Funotentext">
    <w:name w:val="footnote text"/>
    <w:basedOn w:val="Standard"/>
    <w:link w:val="FunotentextZchn"/>
    <w:rsid w:val="00CF50DB"/>
    <w:rPr>
      <w:sz w:val="20"/>
      <w:szCs w:val="20"/>
    </w:rPr>
  </w:style>
  <w:style w:type="character" w:customStyle="1" w:styleId="FunotentextZchn">
    <w:name w:val="Fußnotentext Zchn"/>
    <w:basedOn w:val="Absatz-Standardschriftart"/>
    <w:link w:val="Funotentext"/>
    <w:rsid w:val="00CF50DB"/>
  </w:style>
  <w:style w:type="character" w:styleId="Funotenzeichen">
    <w:name w:val="footnote reference"/>
    <w:basedOn w:val="Absatz-Standardschriftart"/>
    <w:rsid w:val="00CF5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0007-F058-44F5-87D7-C0DBC8F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2426</Words>
  <Characters>15768</Characters>
  <Application>Microsoft Office Word</Application>
  <DocSecurity>4</DocSecurity>
  <Lines>131</Lines>
  <Paragraphs>36</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Redmann, Petra, EC2</cp:lastModifiedBy>
  <cp:revision>2</cp:revision>
  <cp:lastPrinted>2014-01-13T11:15:00Z</cp:lastPrinted>
  <dcterms:created xsi:type="dcterms:W3CDTF">2021-03-16T11:15:00Z</dcterms:created>
  <dcterms:modified xsi:type="dcterms:W3CDTF">2021-03-16T11:15:00Z</dcterms:modified>
</cp:coreProperties>
</file>