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22" w:rsidRPr="00FC0D01" w:rsidRDefault="00251322" w:rsidP="00251322">
      <w:pPr>
        <w:spacing w:before="120" w:line="320" w:lineRule="exact"/>
        <w:rPr>
          <w:sz w:val="16"/>
          <w:szCs w:val="16"/>
          <w:rFonts w:ascii="Verdana" w:hAnsi="Verdana"/>
        </w:rPr>
      </w:pPr>
      <w:r>
        <w:rPr>
          <w:sz w:val="16"/>
          <w:rFonts w:ascii="Verdana" w:hAnsi="Verdana"/>
        </w:rPr>
        <w:t xml:space="preserve">Na dan:</w:t>
      </w:r>
      <w:r>
        <w:rPr>
          <w:sz w:val="16"/>
          <w:rFonts w:ascii="Verdana" w:hAnsi="Verdana"/>
        </w:rPr>
        <w:t xml:space="preserve"> </w:t>
      </w:r>
      <w:r>
        <w:rPr>
          <w:sz w:val="16"/>
          <w:rFonts w:ascii="Verdana" w:hAnsi="Verdana"/>
        </w:rPr>
        <w:t xml:space="preserve">15. ožujka 2021.</w:t>
      </w:r>
    </w:p>
    <w:p w:rsidR="002C21BC" w:rsidRPr="00B93BDE" w:rsidRDefault="009C24A4">
      <w:pPr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__________________________________________________________________________________</w:t>
      </w:r>
    </w:p>
    <w:p w:rsidR="009C24A4" w:rsidRPr="009C24A4" w:rsidRDefault="009C24A4" w:rsidP="003564B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8C60A0" w:rsidRPr="008C60A0" w:rsidRDefault="00D87095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Statut o Pravilniku o medijskim posrednicima u skladu s člankom 96. Ugovora o državnim medijima</w:t>
      </w:r>
    </w:p>
    <w:p w:rsidR="008C60A0" w:rsidRPr="008C60A0" w:rsidRDefault="008C60A0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br/>
      </w:r>
      <w:r>
        <w:rPr>
          <w:b/>
          <w:sz w:val="22"/>
          <w:rFonts w:ascii="Calibri" w:hAnsi="Calibri"/>
        </w:rPr>
        <w:t xml:space="preserve">(MI Statut)</w:t>
      </w:r>
    </w:p>
    <w:p w:rsidR="008C60A0" w:rsidRPr="008C60A0" w:rsidRDefault="008C60A0" w:rsidP="003564B3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br/>
      </w:r>
      <w:r>
        <w:rPr>
          <w:sz w:val="22"/>
          <w:b/>
          <w:rFonts w:ascii="Calibri" w:hAnsi="Calibri"/>
        </w:rPr>
        <w:t xml:space="preserve">od ...</w:t>
      </w:r>
    </w:p>
    <w:p w:rsidR="008C60A0" w:rsidRPr="008C60A0" w:rsidRDefault="008C60A0" w:rsidP="003564B3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C60A0" w:rsidRPr="008C60A0" w:rsidRDefault="008C60A0" w:rsidP="003564B3">
      <w:pPr>
        <w:spacing w:line="276" w:lineRule="auto"/>
        <w:rPr>
          <w:bCs/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Na temelju članka 96. rečenice 1. Ugovora o državnim medijima (MStV) od 14. do 28. travnja 2020. (... upućivanje), [naziv saveznog tijela za državne medije], u dogovoru s drugim saveznim tijelima za državne medije, donosi sljedeći Statut: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Opće odredbe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1.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Svrha i cilj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U skladu s člankom 96. MStV-a ovim se statutom uređuju pojedinosti o materijalnim i postupovnim specifikacijama pravnih odredaba za reguliranje posrednika u medijima i pružatelja medijskih posrednika (članci 91. do 95. MStV-a).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Ovaj statut služi očuvanju raznolikosti mišljenja (raznolikost ponude i pružatelja usluga).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Vodeća uloga medijskih posrednika za dotične skupine korisnika uzima se u obzir pri primjeni ovog statuta.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2.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Područje primjene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Područje primjene statuta uključuje medijske posrednike, integrirane medijske posrednike i njihove pružatelje.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Pojam „integrirani medijski posrednik” u skladu s člankom 91. stavkom 1. MStV-a obuhvaća svako uvođenje posredničke funkcije u ponude trećih strana, koja korisnicima ponuda treće strane omogućuje da upotrebljavaju posredničku funkciju.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Broj korisnika u skladu s člankom 91. stavkom (2) podstavkom 1. MStV-a zbroj je mjesečnih jedinstvenih korisnika.</w:t>
      </w:r>
      <w:r>
        <w:rPr>
          <w:sz w:val="22"/>
          <w:rFonts w:ascii="Calibri" w:hAnsi="Calibri"/>
        </w:rPr>
        <w:t xml:space="preserve"> 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Ako se pružatelj medija poziva na Uredbu iz članka 91. stavka 2. podstavka 1. MStV, on na zahtjev nadležnog saveznog tijela za državne medije mora predstaviti i potkrijepiti broj korisnika u roku od jednog mjeseca te dostaviti dokumente i podatke potrebne za pregled.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Ako posredničke funkcije još nisu ponuđene ili su bile ponuđene manje od šest mjeseci, pružatelj medijskog posrednika na zahtjev nadležnog saveznog tijela za državne medije predviđa napredovanje korisničkih brojeva u smislu članka 91. stavka 2. podstavka 1., dostavlja vjerodostojne dokaze te prilaže dokumente i podatke potrebne za pregled.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3.</w:t>
      </w: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Ovlašteni agent</w:t>
      </w:r>
    </w:p>
    <w:p w:rsidR="00D87095" w:rsidRP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Ovlašteni agent može biti fizička ili pravna osoba.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Fizičke osobe moraju imati domicil ili uobičajeno boravište, pravne osobe moraju imati registrirano sjedište svojeg glavnog mjesta poslovanja u Saveznoj Republici Njemačkoj.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Mora se naznačiti adresa na koju je moguće slati pozive.</w:t>
      </w:r>
    </w:p>
    <w:p w:rsidR="00D87095" w:rsidRDefault="00D87095" w:rsidP="00D8709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Zahtjevi u skladu s člankom 92. rečenicom 1., drugom polovicom rečenice MStV-a obično se ispunjavaju ako je ovlašteni agent određen u okviru područja primjene informacija propisanih člankom 5. stavkom 1. Zakona o elektroničkim medijima (TMG) i člankom 18 stavkom 1. MStV-a.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Odjeljak 2: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Transparentnost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4.</w:t>
      </w:r>
    </w:p>
    <w:p w:rsidR="00D87095" w:rsidRDefault="00D87095" w:rsidP="00D87095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Svrha i cilj</w:t>
      </w:r>
    </w:p>
    <w:p w:rsidR="00D87095" w:rsidRPr="00D87095" w:rsidRDefault="00D87095" w:rsidP="00D87095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2A4057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Odredbe ovog odjeljka namijenjene su osiguravanju odgovarajuće transparentnosti za korisnike medijskih posrednika u vezi s informacijama navedenim u članku 93. stavku 1. MStV-a i članku 6. (podaci trebaju biti transparentni).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Konkretno, to bi trebalo omogućiti informiranu upotrebu medijskog posrednika u pogledu objedinjavanja, odabira i predstavljanja novinsko-uredničkog sadržaja.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Također se odnose na pružatelje digitalnih uredničkih sadržaja.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5.</w:t>
      </w: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Formalni zahtjevi</w:t>
      </w:r>
    </w:p>
    <w:p w:rsidR="00D87095" w:rsidRPr="00D87095" w:rsidRDefault="00D87095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Informacije u skladu s člankom 93. stavkom 1. MStV-a, izmjene u skladu s člankom 93. stavkom 3. MStV-a i informacije u skladu s člankom 6. moraju biti transparentne na njemačkom jeziku.</w:t>
      </w:r>
    </w:p>
    <w:p w:rsidR="002A4057" w:rsidRPr="00D87095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Podaci koje treba učiniti transparentnima lako su uočljivi u smislu članka 93. MStV-a, ako se nalaze u jasno uočljivom položaju za prosječnog korisnika, uzimajući u obzir tipičnu situaciju korištenja posrednika u medijima.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To je obično slučaj ako se informacije koje treba učiniti transparentnima očito razlikuju od ostatka sadržaja i izravno se odnose na ulazne ili navigacijske opcije koje su ključne za upotrebu medijskog posrednika.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Kada se upotrebljava mrežna poveznica koja upućuje na informacije koje je potrebno učiniti transparentnima, prethodno navedeni zahtjevi primjenjuju se na odgovarajući način.</w:t>
      </w:r>
      <w:r>
        <w:rPr>
          <w:sz w:val="22"/>
          <w:rFonts w:ascii="Calibri" w:hAnsi="Calibri"/>
        </w:rPr>
        <w:t xml:space="preserve"> 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Podaci koje treba učiniti transparentnima odmah su dostupni u smislu članka 93. MStV-a, ako su vidljivi korisniku bez značajnih posrednih koraka.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Ovo nije slučaj ako su informacije dostupne s više od dvije poveznice na internetu i/ili ako dohvat podataka ovisi o prethodnoj registraciji ili prijavi.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Podaci koje treba učiniti transparentnima uvijek su dostupni u smislu članka 93. MStV-a, ako mu korisnik može pristupiti u bilo kojem trenutku.</w:t>
      </w:r>
      <w:r>
        <w:rPr>
          <w:sz w:val="22"/>
          <w:rFonts w:ascii="Calibri" w:hAnsi="Calibri"/>
        </w:rPr>
        <w:t xml:space="preserve"> 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(5) Informacije koje treba učiniti transparentnima dostupne su na razumljivom jeziku u smislu članka 93. MStV-a ako se njima prosječnom korisniku može osigurati osnovno razumijevanje okolnosti iz članka 93. stavka 1. MStV-a koji su potrebni za informiranu uporabu medijskog posrednika.</w:t>
      </w:r>
    </w:p>
    <w:p w:rsidR="002A4057" w:rsidRDefault="002A4057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(6) Ako se medijski posrednika pretežito koristi glasovnim putem, informacije koje je potrebno učiniti transparentnima trebalo bi na zahtjev korisnika reproducirati na pouzdani način, pri čemu je dovoljan zvučni podatak o tome gdje se osigurava transparentnost informacija.</w:t>
      </w: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6.</w:t>
      </w: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Obveze obavješćivanja</w:t>
      </w:r>
    </w:p>
    <w:p w:rsidR="00D87095" w:rsidRPr="00D87095" w:rsidRDefault="00D87095" w:rsidP="002A405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Pružatelj medijskog posrednika obvezan je pružiti transparentne kriterije kojima se određuje pristup sadržaja medijima i njegovo zadržavanje (članak 93. stavak 1. podstavak 1. MStV-a).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U tu svrhu pružatelj medijskog posrednika mora posebno pružiti sljedeće informacije:</w:t>
      </w:r>
    </w:p>
    <w:p w:rsidR="00D87095" w:rsidRP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Opis tehničkih i gospodarskih uvjeta, uvjeta povezanih s pružateljem, s korisnicima i sa sadržajem, a kojima se utvrđuje je li sadržaj učinjen prepoznatljivim putem medijskog posrednika,</w:t>
      </w:r>
    </w:p>
    <w:p w:rsidR="00D87095" w:rsidRP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u slučaju da je određeni sadržaj filtriran ili degradiran ili nadograđen u smislu prepoznatljivosti pri pristupanju i zadržavanju u medijskom posredniku, posebno upotrebom automatskih sustava, navodi se kategorija predmetnog sadržaja i ciljevi filtriranja ili razvrstavanja i</w:t>
      </w:r>
    </w:p>
    <w:p w:rsidR="00D87095" w:rsidRDefault="00D87095" w:rsidP="002A4057">
      <w:pPr>
        <w:numPr>
          <w:ilvl w:val="0"/>
          <w:numId w:val="1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informacije o tome jesu li i, ako je tako, na koji način se na pristup i zadržavanje sadržaja u medijskom posredniku utječe ili može utjecati plaćanjima ili drugim izravnim ili neizravnim davanjima u naravi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Pružatelj medijskog posrednika obvezan je u skladu s člankom 93. stavkom 1. podstavkom 2. MStV-a utvrditi središnje kriterije za objedinjavanje, odabir i predstavljanje sadržaja i njegovo ponderiranje, uključujući informacije o funkcioniranju korištenih algoritama.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U tu svrhu pružatelj medijskog posrednika mora posebno pružiti sljedeće informacije: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opis središnjih kriterija za agregiranje, odabir i predstavljanje kojima se koristi pružatelj medijskih posrednika,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opis relativnog ponderiranja središnjih kriterija u međusobnom odnosu te u odnosu na nesredišnje kriterije, a da se ti kriteriji ne učine transparentnima,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opis ciljeva optimizacije koji se nastoje postići središnjim kriterijima,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informacije o mogućnosti pronalaženja sadržaja u medijskom posredniku i, ako je to moguće, je li ili može biti pod utjecajem plaćanja pristojbi ili drugih izravnih ili neizravnih naknada,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opis osnovnih postupaka na kojima se temelji agregacija, odabir i predstavljanje sadržaja, uključujući koji su osobni i drugi podaci obuhvaćeni agregiranjem, odabirom i predstavljanjem,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informacije o vrsti i opsegu personalizacije te, ako postoji, kako se sadržaj procjenjuje prema relevantnosti za korisnika,</w:t>
      </w:r>
    </w:p>
    <w:p w:rsidR="00D87095" w:rsidRP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informacije o tome može li i na koji način ponašanje korisnika u medijskom posredniku utjecati na agregiranje, odabir i predstavljanje sadržaja, uključujući naznake mogućnosti utjecaja dostupnog korisniku putem postavki i djelomičnih funkcija te</w:t>
      </w:r>
    </w:p>
    <w:p w:rsidR="00D87095" w:rsidRDefault="00D87095" w:rsidP="002A4057">
      <w:pPr>
        <w:numPr>
          <w:ilvl w:val="0"/>
          <w:numId w:val="34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informacije o tome obrađuje li i, ako obrađuje, kako pružatelj medijskog posrednika postupa s vlastitim sadržajem, sadržajem povezanog društva (članak 15. Zakona o dioničkim društvima (AktG)) ili sadržajem partnera u suradnji na poseban način tijekom objedinjavanja, odabira i/ili predstavljanja.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Važne izmjene kriterija koji se moraju učiniti transparentnima u skladu s člankom 93. stavkom 1. MStV-a odmah moraju biti uočljive.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U tu svrhu pružatelj medijskog posrednika čuva na raspolaganju pregled znatnih promjena koje su s vremenom nastale.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Sve ostale izmjene kriterija koje je potrebno učiniti transparentnima u skladu s člankom 93. stavkom 1. MStV-a objavljuju se najmanje svaka četiri mjeseca od stupanja na snagu ovog statuta.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Članak 5. primjenjuje se na odgovarajući način.</w:t>
      </w:r>
    </w:p>
    <w:p w:rsid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2A4057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Odjeljak 3: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Nediskriminacija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 7.</w:t>
      </w:r>
      <w:r>
        <w:rPr>
          <w:b/>
          <w:sz w:val="22"/>
          <w:rFonts w:ascii="Calibri" w:hAnsi="Calibri"/>
        </w:rPr>
        <w:t xml:space="preserve"> Opće odredbe</w:t>
      </w:r>
    </w:p>
    <w:p w:rsidR="002A4057" w:rsidRPr="00D87095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Obveza medijskog posrednika u skladu s odjeljkom 94. stavkom 1. MStV-a obuhvaća i moguće utvrdive dijelove i doprinose uredničke ponude.</w:t>
      </w:r>
    </w:p>
    <w:p w:rsidR="002A4057" w:rsidRPr="00D87095" w:rsidRDefault="002A4057" w:rsidP="002A405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Prilikom utvrđivanja posebno visokog utjecaja u smislu članka 94. stavka 1. MStVa-, odlučujući je utjecaj medijskog posrednika na zamjetljivost uredničkog sadržaja u procesu oblikovanja mišljenja.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Procjena može posebno uzeti u obzir</w:t>
      </w:r>
    </w:p>
    <w:p w:rsidR="00D87095" w:rsidRPr="00D87095" w:rsidRDefault="00D87095" w:rsidP="002A4057">
      <w:pPr>
        <w:numPr>
          <w:ilvl w:val="0"/>
          <w:numId w:val="3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položaj medijskog posrednika na odgovarajućim tržištima;</w:t>
      </w:r>
    </w:p>
    <w:p w:rsidR="00D87095" w:rsidRPr="00D87095" w:rsidRDefault="00D87095" w:rsidP="002A4057">
      <w:pPr>
        <w:numPr>
          <w:ilvl w:val="0"/>
          <w:numId w:val="35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ukupan pregled upotrebe, na primjer na temelju raspoloživog raspona uporabe, broja korisnika, trajanja i aktivnosti korisnika ili broja prikaza po korisniku.</w:t>
      </w:r>
      <w:r>
        <w:rPr>
          <w:sz w:val="22"/>
          <w:rFonts w:ascii="Calibri" w:hAnsi="Calibri"/>
        </w:rPr>
        <w:t xml:space="preserve"> </w:t>
      </w:r>
    </w:p>
    <w:p w:rsidR="002A4057" w:rsidRPr="002A4057" w:rsidRDefault="002A4057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8.</w:t>
      </w:r>
      <w:r>
        <w:rPr>
          <w:b/>
          <w:sz w:val="22"/>
          <w:rFonts w:ascii="Calibri" w:hAnsi="Calibri"/>
        </w:rPr>
        <w:br/>
      </w:r>
      <w:r>
        <w:rPr>
          <w:b/>
          <w:sz w:val="22"/>
          <w:rFonts w:ascii="Calibri" w:hAnsi="Calibri"/>
        </w:rPr>
        <w:t xml:space="preserve">Sustavno odstupanje u skladu s člankom 94. stavkom 2., prvi alternativni MStV</w:t>
      </w:r>
    </w:p>
    <w:p w:rsidR="00D87095" w:rsidRPr="00D87095" w:rsidRDefault="00D87095" w:rsidP="002A405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Odlučujuću ulogu u ocjenjivanju o tome primjenjuje li se povreda članka 94. stavka 2. prva alternativa MStV-u</w:t>
      </w:r>
    </w:p>
    <w:p w:rsidR="00D87095" w:rsidRPr="00D87095" w:rsidRDefault="00D87095" w:rsidP="002A4057">
      <w:pPr>
        <w:numPr>
          <w:ilvl w:val="0"/>
          <w:numId w:val="3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imaju kriteriji i informacije o ponderiranju kriterija koje pružatelj medijskih posrednika objavljuje kako bi ispunio svoju obvezu u skladu s člankom 93 stavkom 1. MStV-a ili</w:t>
      </w:r>
    </w:p>
    <w:p w:rsidR="00D87095" w:rsidRDefault="00D87095" w:rsidP="002A4057">
      <w:pPr>
        <w:numPr>
          <w:ilvl w:val="0"/>
          <w:numId w:val="36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kriteriji i informacije o ponderiranju kriterija koje bi pružatelj medijskih usluga trebao objaviti kako bi ispunio svoju obvezu u skladu s člankom 93 stavkom 1. MStV-a.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Odstupanje u smislu članka 94. stavka 2., smatra se da postoji prvi alternativni MStV posebno ako pružatelj medijskih posrednika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2A4057">
      <w:pPr>
        <w:numPr>
          <w:ilvl w:val="0"/>
          <w:numId w:val="3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ne primjenjuje objavljene kriterije ili kriterije koji se ne objavljuju u skladu s člankom 93. stavkom 1. podstavkom 1. i 2. MStV-a, ili</w:t>
      </w:r>
    </w:p>
    <w:p w:rsidR="00D87095" w:rsidRDefault="00D87095" w:rsidP="002A4057">
      <w:pPr>
        <w:numPr>
          <w:ilvl w:val="0"/>
          <w:numId w:val="37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odstupa od objavljenog ponderiranja središnjih kriterija za objedinjavanje, odabir i predstavljanje sadržaja.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Je li odstupanje u smislu članka 94. stavka 2., prvi alternativni MStV, sustavno, utvrđuje se na temelju općeg pregleda svih okolnosti.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Posebno se uzima u obzir trajanje, redovitost, ponavljanje i raspored odstupanja.</w:t>
      </w:r>
    </w:p>
    <w:p w:rsidR="002A4057" w:rsidRPr="00D87095" w:rsidRDefault="002A4057" w:rsidP="002A405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Odstupanje je opravdano ako je njegov razlog objektivno opravdan.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Razlozi za to posebno mogu biti</w:t>
      </w:r>
    </w:p>
    <w:p w:rsidR="00D87095" w:rsidRP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zakonske zabrane ili zakonske obveze;</w:t>
      </w:r>
    </w:p>
    <w:p w:rsidR="00D87095" w:rsidRP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tehnički uvjeti u predstavljanju korisniku;</w:t>
      </w:r>
    </w:p>
    <w:p w:rsidR="00D87095" w:rsidRDefault="00D87095" w:rsidP="002A4057">
      <w:pPr>
        <w:numPr>
          <w:ilvl w:val="0"/>
          <w:numId w:val="38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zahtjevi za zaštitu cjelovitosti usluge.</w:t>
      </w:r>
    </w:p>
    <w:p w:rsidR="002A4057" w:rsidRPr="00D87095" w:rsidRDefault="002A4057" w:rsidP="002A405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2A405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(5) Postoji li objektivno opravdan razlog ocjenjuje se nakon procjene interesa uključenih strana, uzimajući u obzir cilj MSTV-a da osigura raznolikost mišljenja.</w:t>
      </w:r>
      <w:r>
        <w:rPr>
          <w:sz w:val="22"/>
          <w:rFonts w:ascii="Calibri" w:hAnsi="Calibri"/>
        </w:rPr>
        <w:t xml:space="preserve">  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9.</w:t>
      </w: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Nerazumno ometanje u skladu s člankom 94. stavkom 2., drugi alternativni MStV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Prepreka u smislu članka 94. stavka 2., drugi alternativni MStV je izravna ili neizravna smetnja u smislu pristupa ili mogućnosti pronalaženja novinsko-uredničke ponude.</w:t>
      </w: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Članak 8. stavak 1. primjenjuje se na odgovarajući način.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Je li prepreka u smislu članka 94. stavka 2. drugog alternativnog MStVa- sustavno se utvrđuje na temelju ukupnog stanja svih okolnosti.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Trajanje, pravilnost, ponavljanje i regularnost prepreka moraju se uzeti u obzir.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Nerazumna narav prepreke ocjenjuje se na temelju ravnoteže između interesa stranaka, uzimajući u obzir cilj MStV-a da se očuva raznolikost mišljenja.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Nerazumna narav prepreke može biti posljedica pojedinačnih kriterija ili kumulativnog međudjelovanja nekoliko kriterija.</w:t>
      </w:r>
      <w:r>
        <w:rPr>
          <w:sz w:val="22"/>
          <w:rFonts w:ascii="Calibri" w:hAnsi="Calibri"/>
        </w:rPr>
        <w:t xml:space="preserve">  </w:t>
      </w:r>
    </w:p>
    <w:p w:rsid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E5D47" w:rsidRPr="00D87095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Odjeljak 4: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Postupak i istraga</w:t>
      </w:r>
    </w:p>
    <w:p w:rsidR="00D87095" w:rsidRPr="00D87095" w:rsidRDefault="00D87095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10.</w:t>
      </w:r>
    </w:p>
    <w:p w:rsid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Nadležnost ZAK-a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Za zadaće koje treba obavljati u okviru ovog statuta, prikladno je tijelo Komisija za izdavanje dozvola i nadzor (ZAK) nadležnog saveznog tijela za državne medije (članak 104 stavak 2. rečenica 1. br. 1, članak 105. stavak 1. rečenica 1., br. 10 MStV-a u vezi s Poslovnikom ZAK -a – GVO ZAK).</w:t>
      </w:r>
    </w:p>
    <w:p w:rsidR="006E5D47" w:rsidRPr="00D87095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Nadležno savezno tijelo za državne medije odmah mora proslijediti pritužbe ZAK-u putem Zajedničkog ureda u skladu s člankom 11. i obavijestiti ga o ispitivanjima po službenoj dužnosti.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ZAK vodi postupak sve dok odluka ne bude spremna.</w:t>
      </w:r>
    </w:p>
    <w:p w:rsidR="006E5D47" w:rsidRPr="006E5D47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11.</w:t>
      </w:r>
    </w:p>
    <w:p w:rsidR="00D87095" w:rsidRDefault="00D87095" w:rsidP="006E5D47">
      <w:pPr>
        <w:spacing w:line="276" w:lineRule="auto"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Postupak koji se odnosi na nediskriminaciju</w:t>
      </w:r>
    </w:p>
    <w:p w:rsidR="006E5D47" w:rsidRPr="00D87095" w:rsidRDefault="006E5D47" w:rsidP="006E5D47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Nadležno savezno tijelo za državne medije ispituje putem ZAK-a, na temelju pritužbe ili u očitim slučajevima po službenoj dužnosti, krši li pružatelj medijske usluge odredbe članka 94. stavka 1. i stavka 2. MStV- a ili članaka 8. i 9.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Pravo na žalbu u smislu članka 94. stavka 3. rečenica 1. MStV-a imaju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6E5D47">
      <w:pPr>
        <w:numPr>
          <w:ilvl w:val="0"/>
          <w:numId w:val="3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pružatelji novinsko-uredničkog uredništva i</w:t>
      </w:r>
      <w:r>
        <w:rPr>
          <w:sz w:val="22"/>
          <w:rFonts w:ascii="Calibri" w:hAnsi="Calibri"/>
        </w:rPr>
        <w:t xml:space="preserve"> </w:t>
      </w:r>
    </w:p>
    <w:p w:rsidR="00D87095" w:rsidRDefault="00D87095" w:rsidP="006E5D47">
      <w:pPr>
        <w:numPr>
          <w:ilvl w:val="0"/>
          <w:numId w:val="39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pružatelji medijskih platformi i korisničkih sučelja, u mjeri u kojoj se žale na diskriminaciju u odnosu na pakete novinsko-uredničkog sadržaja koje nude.</w:t>
      </w:r>
    </w:p>
    <w:p w:rsidR="006E5D47" w:rsidRPr="00D87095" w:rsidRDefault="006E5D47" w:rsidP="006E5D4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(3)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Podnositelj pritužbe obrazlaže svoju žalbu.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U tu svrhu osigurava odgovarajući dokaz o tome, a koje će biti dostatan dokaz o navodnoj diskriminaciji novinsko-uredničkog sadržaja u smislu članka 94. stavka 2. MStV- a ili članaka 8. i 9.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Posebno se može dostaviti sljedeće:</w:t>
      </w:r>
    </w:p>
    <w:p w:rsidR="00D87095" w:rsidRPr="00D87095" w:rsidRDefault="00D87095" w:rsidP="006E5D47">
      <w:pPr>
        <w:numPr>
          <w:ilvl w:val="0"/>
          <w:numId w:val="40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ocjenjivanja mogućnosti pronalaženja vlastitog novinsko-uredničkog sadržaja u medijskom posredniku i</w:t>
      </w:r>
    </w:p>
    <w:p w:rsidR="00D87095" w:rsidRPr="00D87095" w:rsidRDefault="00D87095" w:rsidP="006E5D47">
      <w:pPr>
        <w:numPr>
          <w:ilvl w:val="0"/>
          <w:numId w:val="40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prikladna ispitivanja.</w:t>
      </w:r>
    </w:p>
    <w:p w:rsidR="00D87095" w:rsidRPr="00D87095" w:rsidRDefault="006E5D47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Osim toga, podnositelj pritužbe, ako je to moguće, mora dostaviti odgovarajući dokaz iz kojeg postoji dovoljno dokaza o posebno visokom utjecaju medijskog posrednika na prepoznatljivost novinsko-uredničkog sadržaja u smislu članka 94. stavka 1. MStV-a.</w:t>
      </w:r>
      <w:r>
        <w:rPr>
          <w:sz w:val="22"/>
          <w:rFonts w:ascii="Calibri" w:hAnsi="Calibri"/>
        </w:rPr>
        <w:t xml:space="preserve"> </w:t>
      </w:r>
    </w:p>
    <w:p w:rsidR="006E5D47" w:rsidRDefault="006E5D47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(4) Očiti slučaj u skladu s člankom 94. stavkom 3. rečenicom 2. MStV-a i stavkom 1. postoji ako su činjenice na kojima se temelji kršenje zabrane diskriminacije jasno prepoznatljive za treće osobe.</w:t>
      </w:r>
      <w:r>
        <w:rPr>
          <w:sz w:val="22"/>
          <w:rFonts w:ascii="Calibri" w:hAnsi="Calibri"/>
        </w:rPr>
        <w:t xml:space="preserve"> </w:t>
      </w:r>
    </w:p>
    <w:p w:rsidR="00D87095" w:rsidRPr="00D87095" w:rsidRDefault="00D87095" w:rsidP="006E5D47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12.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Ispravljanje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Ako nadležno savezno tijelo za državne medije posredstvom ZAK-a utvrdi da pružatelj medijskih posrednika krši članke 92. do 94. MStV-a ili odredbe ovog statuta, pružatelj medijskog posrednika odmah ispravlja medijskog posrednika.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Pružatelj medijskog posrednika dužan je nadležnom saveznom tijelu za državne medije na prikladan i razumljiv način dostaviti dokaz o ispravku.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13.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Informiranje i podnošenje dokumenata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(1)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Kako bi se provjerila moguća povreda, pružatelj medijskih posrednika obvezan je dostaviti sve potrebne informacije, staviti na raspolaganje sve potrebne informacije i dostaviti dokumente.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Nadležno savezno tijelo za državne medije može posebno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zahtijevati podnošenje cjelokupne dokumentacije koja dokazuje kriterije u smislu članka 93. stavka 1. podstavka 1. MStV-a ili središnje kriterije i njihovo ponderiranje te funkcioniranje algoritama koji se upotrebljavaju u smislu članka 93. stavka 1. podstavka 2. MStV-a;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kao svjedoke saslušati zaposlenike pružatelja medijskih posrednika koji su uključeni u definiranje, tehničku provedbu i izmjenu kriterija u smislu članka 93. stavka 1., podstavka 1. MStV-a ili središnjih kriterija i njihovo ponderiranje te također korištenih algoritama u smislu članka 93. stavka 1. podstavka 2. MStV-a;</w:t>
      </w:r>
    </w:p>
    <w:p w:rsidR="00D87095" w:rsidRP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zahtijevati od pružatelja medijskih posrednika izjavu pod prisegom u vezi s transparentnošću informacija u skladu s člankom 93 stavkom 1. MStV-a i članka 6.;</w:t>
      </w:r>
    </w:p>
    <w:p w:rsidR="00D87095" w:rsidRDefault="00D87095" w:rsidP="006E5D47">
      <w:pPr>
        <w:numPr>
          <w:ilvl w:val="0"/>
          <w:numId w:val="41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zahtijevati podnošenje ugovornih sporazuma, dužnosti ili drugih obveza koji su objektivno povezani s pristupom i čuvanjem sadržaja u medijskim posrednicima, posebno u mjeri u kojoj se odnose na uključivanje, predstavljanje i zadržavanje novinsko-uredničkog sadržaja.</w:t>
      </w:r>
    </w:p>
    <w:p w:rsidR="00D622FF" w:rsidRPr="00D87095" w:rsidRDefault="00D622FF" w:rsidP="00D622FF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(2) </w:t>
      </w: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Prilikom podnošenja dokumenata iz stavka 1. pružatelj medijskih posrednika označava one dijelove dokumenata koji sadržavaju poslovne ili trgovačke tajne.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U ovom slučaju, oni moraju podnijeti i verziju koju, prema njihovu mišljenju, smiju vidjeti i treće strane bez otkrivanja poslovne tajne ili trgovačke tajne.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Ako to nije učinjeno, savezno tijelo za državne medije može pretpostaviti pristanak na nadzor, osim ako je upoznato s posebnim okolnostima koje ne opravdavaju takvu pretpostavku.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4</w:t>
      </w:r>
      <w:r>
        <w:rPr>
          <w:sz w:val="22"/>
          <w:rFonts w:ascii="Calibri" w:hAnsi="Calibri"/>
        </w:rPr>
        <w:t xml:space="preserve">Ako savezno tijelo za državne medije smatra da je označavanje dokumenata kao trgovačkih ili poslovnih tajni neopravdano, mora dati pružatelju mogućnost da iznese komentare prije donošenja odluke o odobravanju pristupa trećim stranama.</w:t>
      </w:r>
    </w:p>
    <w:p w:rsidR="00D87095" w:rsidRDefault="006E5D47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 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6E5D47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Odjeljak 5:</w:t>
      </w:r>
      <w:r>
        <w:rPr>
          <w:b/>
          <w:sz w:val="22"/>
          <w:rFonts w:ascii="Calibri" w:hAnsi="Calibri"/>
        </w:rPr>
        <w:t xml:space="preserve"> </w:t>
      </w:r>
      <w:r>
        <w:rPr>
          <w:b/>
          <w:sz w:val="22"/>
          <w:rFonts w:ascii="Calibri" w:hAnsi="Calibri"/>
        </w:rPr>
        <w:t xml:space="preserve">– Završne odredbe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14.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Evaluacija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DF0BF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ZAK preispituje ovaj statut najmanje svake tri godine, posebno uzimajući u obzir</w:t>
      </w:r>
      <w:r>
        <w:rPr>
          <w:sz w:val="22"/>
          <w:rFonts w:ascii="Calibri" w:hAnsi="Calibri"/>
        </w:rPr>
        <w:tab/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iskustvo stečeno praktičnom primjenom ovog statuta;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tehnički i ekonomski razvoj u području regulative;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važnost pojedinačnih medijskih posrednika za oblikovanje javnog mnijenja;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razvoj koregulacije, kao što su obveze u cijeloj industriji;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razvoj istraživanja o transparentnosti i diskriminaciji;</w:t>
      </w:r>
    </w:p>
    <w:p w:rsidR="00D87095" w:rsidRPr="00D87095" w:rsidRDefault="00D87095" w:rsidP="00DF0BF7">
      <w:pPr>
        <w:numPr>
          <w:ilvl w:val="0"/>
          <w:numId w:val="42"/>
        </w:num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rFonts w:ascii="Calibri" w:hAnsi="Calibri"/>
        </w:rPr>
        <w:t xml:space="preserve">razvoj istraživanja i znanosti u području analize podataka, umjetne inteligencije i strojnog učenja.</w:t>
      </w: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87095" w:rsidRP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Članak 15.</w:t>
      </w:r>
    </w:p>
    <w:p w:rsidR="00D87095" w:rsidRDefault="00D87095" w:rsidP="006E5D47">
      <w:pPr>
        <w:spacing w:after="200" w:line="276" w:lineRule="auto"/>
        <w:contextualSpacing/>
        <w:jc w:val="center"/>
        <w:rPr>
          <w:b/>
          <w:sz w:val="22"/>
          <w:szCs w:val="22"/>
          <w:rFonts w:ascii="Calibri" w:eastAsia="Calibri" w:hAnsi="Calibri"/>
        </w:rPr>
      </w:pPr>
      <w:r>
        <w:rPr>
          <w:b/>
          <w:sz w:val="22"/>
          <w:rFonts w:ascii="Calibri" w:hAnsi="Calibri"/>
        </w:rPr>
        <w:t xml:space="preserve">Stupanje na snagu</w:t>
      </w:r>
    </w:p>
    <w:p w:rsidR="006E5D47" w:rsidRPr="00D87095" w:rsidRDefault="006E5D47" w:rsidP="006E5D47">
      <w:pPr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8C60A0" w:rsidRPr="008C60A0" w:rsidRDefault="006E5D47" w:rsidP="00DF0BF7">
      <w:pPr>
        <w:spacing w:after="200" w:line="276" w:lineRule="auto"/>
        <w:contextualSpacing/>
        <w:rPr>
          <w:sz w:val="22"/>
          <w:szCs w:val="22"/>
          <w:rFonts w:ascii="Calibri" w:eastAsia="Calibri" w:hAnsi="Calibri"/>
        </w:rPr>
      </w:pPr>
      <w:r>
        <w:rPr>
          <w:sz w:val="22"/>
          <w:vertAlign w:val="superscript"/>
          <w:rFonts w:ascii="Calibri" w:hAnsi="Calibri"/>
        </w:rPr>
        <w:t xml:space="preserve">1</w:t>
      </w:r>
      <w:r>
        <w:rPr>
          <w:sz w:val="22"/>
          <w:rFonts w:ascii="Calibri" w:hAnsi="Calibri"/>
        </w:rPr>
        <w:t xml:space="preserve">Ovaj statut stupa na snagu 1. rujna 2021.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Ako do 31. kolovoza 2021. sva savezna medijska tijela nisu donijela i objavila odgovarajuće statute, ovaj statut zastarijeva.</w:t>
      </w:r>
      <w:r>
        <w:rPr>
          <w:sz w:val="22"/>
          <w:rFonts w:ascii="Calibri" w:hAnsi="Calibri"/>
        </w:rPr>
        <w:t xml:space="preserve"> 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Predsjednik Konferencije ravnatelja saveznih tijela za državne medije (DLM) na internetu, u okviru krovnog žiga „die medienanstalten”, objavljuje jesu li sva savezna tijela za državne medije donijela i objavila odgovarajuće statute u roku navedenom u rečenici 2.</w:t>
      </w:r>
      <w:r w:rsidR="00CF50DB">
        <w:rPr>
          <w:rStyle w:val="Funotenzeichen"/>
          <w:rFonts w:asciiTheme="minorHAnsi" w:eastAsia="Calibri" w:hAnsiTheme="minorHAnsi" w:cstheme="minorHAnsi"/>
          <w:sz w:val="22"/>
          <w:szCs w:val="22"/>
          <w:lang w:eastAsia="en-US"/>
        </w:rPr>
        <w:footnoteReference w:id="1"/>
      </w:r>
    </w:p>
    <w:sectPr w:rsidR="008C60A0" w:rsidRPr="008C60A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DB6" w:rsidRDefault="00F32DB6" w:rsidP="00986629">
      <w:r>
        <w:separator/>
      </w:r>
    </w:p>
  </w:endnote>
  <w:endnote w:type="continuationSeparator" w:id="0">
    <w:p w:rsidR="00F32DB6" w:rsidRDefault="00F32DB6" w:rsidP="0098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344168373"/>
      <w:docPartObj>
        <w:docPartGallery w:val="Page Numbers (Bottom of Page)"/>
        <w:docPartUnique/>
      </w:docPartObj>
    </w:sdtPr>
    <w:sdtEndPr/>
    <w:sdtContent>
      <w:p w:rsidR="00C41351" w:rsidRPr="00C41351" w:rsidRDefault="00C41351">
        <w:pPr>
          <w:pStyle w:val="Fuzeile"/>
          <w:jc w:val="center"/>
          <w:rPr>
            <w:sz w:val="22"/>
            <w:szCs w:val="22"/>
            <w:rFonts w:asciiTheme="minorHAnsi" w:hAnsiTheme="minorHAnsi" w:cstheme="minorHAnsi"/>
          </w:rPr>
        </w:pPr>
        <w:r w:rsidRPr="00C41351">
          <w:rPr>
            <w:sz w:val="22"/>
            <w:rFonts w:asciiTheme="minorHAnsi" w:hAnsiTheme="minorHAnsi" w:cstheme="minorHAnsi"/>
          </w:rPr>
          <w:fldChar w:fldCharType="begin"/>
        </w:r>
        <w:r w:rsidRPr="00C41351">
          <w:rPr>
            <w:sz w:val="22"/>
            <w:rFonts w:asciiTheme="minorHAnsi" w:hAnsiTheme="minorHAnsi" w:cstheme="minorHAnsi"/>
          </w:rPr>
          <w:instrText>PAGE   \* MERGEFORMAT</w:instrText>
        </w:r>
        <w:r w:rsidRPr="00C41351">
          <w:rPr>
            <w:sz w:val="22"/>
            <w:rFonts w:asciiTheme="minorHAnsi" w:hAnsiTheme="minorHAnsi" w:cstheme="minorHAnsi"/>
          </w:rPr>
          <w:fldChar w:fldCharType="separate"/>
        </w:r>
        <w:r w:rsidR="00673759">
          <w:rPr>
            <w:sz w:val="22"/>
            <w:rFonts w:asciiTheme="minorHAnsi" w:hAnsiTheme="minorHAnsi" w:cstheme="minorHAnsi"/>
          </w:rPr>
          <w:t>8</w:t>
        </w:r>
        <w:r w:rsidRPr="00C41351">
          <w:rPr>
            <w:sz w:val="22"/>
            <w:rFonts w:asciiTheme="minorHAnsi" w:hAnsiTheme="minorHAnsi" w:cstheme="minorHAnsi"/>
          </w:rPr>
          <w:fldChar w:fldCharType="end"/>
        </w:r>
      </w:p>
    </w:sdtContent>
  </w:sdt>
  <w:p w:rsidR="00793947" w:rsidRDefault="007939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DB6" w:rsidRDefault="00F32DB6" w:rsidP="00986629">
      <w:r>
        <w:separator/>
      </w:r>
    </w:p>
  </w:footnote>
  <w:footnote w:type="continuationSeparator" w:id="0">
    <w:p w:rsidR="00F32DB6" w:rsidRDefault="00F32DB6" w:rsidP="00986629">
      <w:r>
        <w:continuationSeparator/>
      </w:r>
    </w:p>
  </w:footnote>
  <w:footnote w:id="1">
    <w:p w:rsidR="00CF50DB" w:rsidRDefault="00CF50DB" w:rsidP="00CF50DB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Theme="minorHAnsi" w:hAnsiTheme="minorHAnsi"/>
        </w:rPr>
        <w:t xml:space="preserve">Priopćeno u skladu s Direktivom (EU) 2015/1535 Europskog parlamenta i Vijeća od 9. rujna 2015. o utvrđivanju postupka pružanja informacija u području tehničkih propisa i pravila o uslugama informacijskog društva (SL L 241, 17.9.2015., str. 1.).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629" w:rsidRPr="00986629" w:rsidRDefault="00986629">
    <w:pPr>
      <w:pStyle w:val="Kopfzeile"/>
      <w:rPr>
        <w:sz w:val="16"/>
      </w:rPr>
    </w:pPr>
    <w:r>
      <w:rPr>
        <w:sz w:val="20"/>
      </w:rPr>
      <w:br/>
    </w:r>
    <w: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4425950</wp:posOffset>
          </wp:positionH>
          <wp:positionV relativeFrom="page">
            <wp:posOffset>400685</wp:posOffset>
          </wp:positionV>
          <wp:extent cx="2172970" cy="510540"/>
          <wp:effectExtent l="0" t="0" r="0" b="3810"/>
          <wp:wrapNone/>
          <wp:docPr id="2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br/>
    </w:r>
    <w:r>
      <w:rPr>
        <w:sz w:val="20"/>
      </w:rPr>
      <w:br/>
    </w:r>
  </w:p>
  <w:p w:rsidR="00986629" w:rsidRDefault="009866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E2F"/>
    <w:multiLevelType w:val="hybridMultilevel"/>
    <w:tmpl w:val="18DABDC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051896"/>
    <w:multiLevelType w:val="hybridMultilevel"/>
    <w:tmpl w:val="EFC056D6"/>
    <w:lvl w:ilvl="0" w:tplc="683A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84E44"/>
    <w:multiLevelType w:val="hybridMultilevel"/>
    <w:tmpl w:val="90D252CA"/>
    <w:lvl w:ilvl="0" w:tplc="232480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BE0"/>
    <w:multiLevelType w:val="hybridMultilevel"/>
    <w:tmpl w:val="985221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CFB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5509B"/>
    <w:multiLevelType w:val="hybridMultilevel"/>
    <w:tmpl w:val="51242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9E5"/>
    <w:multiLevelType w:val="hybridMultilevel"/>
    <w:tmpl w:val="20A49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E209C"/>
    <w:multiLevelType w:val="hybridMultilevel"/>
    <w:tmpl w:val="26E44CA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F459E"/>
    <w:multiLevelType w:val="hybridMultilevel"/>
    <w:tmpl w:val="D2EC5AA2"/>
    <w:lvl w:ilvl="0" w:tplc="18A608C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7088F"/>
    <w:multiLevelType w:val="hybridMultilevel"/>
    <w:tmpl w:val="5A586D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627A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295E"/>
    <w:multiLevelType w:val="hybridMultilevel"/>
    <w:tmpl w:val="5F7A48D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ED5ED2"/>
    <w:multiLevelType w:val="hybridMultilevel"/>
    <w:tmpl w:val="102A79D4"/>
    <w:lvl w:ilvl="0" w:tplc="533E0752">
      <w:start w:val="4"/>
      <w:numFmt w:val="bullet"/>
      <w:lvlText w:val="•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107676"/>
    <w:multiLevelType w:val="hybridMultilevel"/>
    <w:tmpl w:val="A37424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21BB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023A2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55E0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11B0F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4431"/>
    <w:multiLevelType w:val="hybridMultilevel"/>
    <w:tmpl w:val="2EBEBD2A"/>
    <w:lvl w:ilvl="0" w:tplc="71568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B1BCD"/>
    <w:multiLevelType w:val="hybridMultilevel"/>
    <w:tmpl w:val="AE6A8532"/>
    <w:lvl w:ilvl="0" w:tplc="2DF453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71A26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A1800"/>
    <w:multiLevelType w:val="hybridMultilevel"/>
    <w:tmpl w:val="FA22ABB6"/>
    <w:lvl w:ilvl="0" w:tplc="0407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C61D4"/>
    <w:multiLevelType w:val="hybridMultilevel"/>
    <w:tmpl w:val="578E6428"/>
    <w:lvl w:ilvl="0" w:tplc="1E38CA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CA13AA"/>
    <w:multiLevelType w:val="hybridMultilevel"/>
    <w:tmpl w:val="079668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B7322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43BE5"/>
    <w:multiLevelType w:val="hybridMultilevel"/>
    <w:tmpl w:val="0E88EBC8"/>
    <w:lvl w:ilvl="0" w:tplc="274A954C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85FB1"/>
    <w:multiLevelType w:val="hybridMultilevel"/>
    <w:tmpl w:val="F01601A0"/>
    <w:lvl w:ilvl="0" w:tplc="24ECC6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4070C1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F0F6C"/>
    <w:multiLevelType w:val="hybridMultilevel"/>
    <w:tmpl w:val="5356724C"/>
    <w:lvl w:ilvl="0" w:tplc="2D9C35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679E"/>
    <w:multiLevelType w:val="hybridMultilevel"/>
    <w:tmpl w:val="18E8C4F4"/>
    <w:lvl w:ilvl="0" w:tplc="ABD6BE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310F1"/>
    <w:multiLevelType w:val="hybridMultilevel"/>
    <w:tmpl w:val="49C8E2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56E5"/>
    <w:multiLevelType w:val="hybridMultilevel"/>
    <w:tmpl w:val="9C448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2FD9"/>
    <w:multiLevelType w:val="hybridMultilevel"/>
    <w:tmpl w:val="BC302260"/>
    <w:lvl w:ilvl="0" w:tplc="B422F4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01D5B"/>
    <w:multiLevelType w:val="hybridMultilevel"/>
    <w:tmpl w:val="37307526"/>
    <w:lvl w:ilvl="0" w:tplc="951E0C1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15989"/>
    <w:multiLevelType w:val="hybridMultilevel"/>
    <w:tmpl w:val="C7B61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07B0"/>
    <w:multiLevelType w:val="hybridMultilevel"/>
    <w:tmpl w:val="D9DA2D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72854"/>
    <w:multiLevelType w:val="hybridMultilevel"/>
    <w:tmpl w:val="230E27C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B94F96"/>
    <w:multiLevelType w:val="hybridMultilevel"/>
    <w:tmpl w:val="7F9018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C0987"/>
    <w:multiLevelType w:val="hybridMultilevel"/>
    <w:tmpl w:val="7B6E9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45114"/>
    <w:multiLevelType w:val="hybridMultilevel"/>
    <w:tmpl w:val="4FACE3C8"/>
    <w:lvl w:ilvl="0" w:tplc="9FF4C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8053D"/>
    <w:multiLevelType w:val="hybridMultilevel"/>
    <w:tmpl w:val="712C2D8E"/>
    <w:lvl w:ilvl="0" w:tplc="90C0BA8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FB5C93"/>
    <w:multiLevelType w:val="hybridMultilevel"/>
    <w:tmpl w:val="664E4A22"/>
    <w:lvl w:ilvl="0" w:tplc="0D56F5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22"/>
  </w:num>
  <w:num w:numId="9">
    <w:abstractNumId w:val="31"/>
  </w:num>
  <w:num w:numId="10">
    <w:abstractNumId w:val="12"/>
  </w:num>
  <w:num w:numId="11">
    <w:abstractNumId w:val="4"/>
  </w:num>
  <w:num w:numId="12">
    <w:abstractNumId w:val="34"/>
  </w:num>
  <w:num w:numId="13">
    <w:abstractNumId w:val="23"/>
  </w:num>
  <w:num w:numId="14">
    <w:abstractNumId w:val="37"/>
  </w:num>
  <w:num w:numId="15">
    <w:abstractNumId w:val="5"/>
  </w:num>
  <w:num w:numId="16">
    <w:abstractNumId w:val="30"/>
  </w:num>
  <w:num w:numId="17">
    <w:abstractNumId w:val="36"/>
  </w:num>
  <w:num w:numId="18">
    <w:abstractNumId w:val="28"/>
  </w:num>
  <w:num w:numId="19">
    <w:abstractNumId w:val="35"/>
  </w:num>
  <w:num w:numId="20">
    <w:abstractNumId w:val="7"/>
  </w:num>
  <w:num w:numId="21">
    <w:abstractNumId w:val="18"/>
  </w:num>
  <w:num w:numId="22">
    <w:abstractNumId w:val="19"/>
  </w:num>
  <w:num w:numId="23">
    <w:abstractNumId w:val="21"/>
  </w:num>
  <w:num w:numId="24">
    <w:abstractNumId w:val="8"/>
  </w:num>
  <w:num w:numId="25">
    <w:abstractNumId w:val="25"/>
  </w:num>
  <w:num w:numId="26">
    <w:abstractNumId w:val="41"/>
  </w:num>
  <w:num w:numId="27">
    <w:abstractNumId w:val="40"/>
  </w:num>
  <w:num w:numId="28">
    <w:abstractNumId w:val="26"/>
  </w:num>
  <w:num w:numId="29">
    <w:abstractNumId w:val="39"/>
  </w:num>
  <w:num w:numId="30">
    <w:abstractNumId w:val="29"/>
  </w:num>
  <w:num w:numId="31">
    <w:abstractNumId w:val="32"/>
  </w:num>
  <w:num w:numId="32">
    <w:abstractNumId w:val="33"/>
  </w:num>
  <w:num w:numId="33">
    <w:abstractNumId w:val="2"/>
  </w:num>
  <w:num w:numId="34">
    <w:abstractNumId w:val="16"/>
  </w:num>
  <w:num w:numId="35">
    <w:abstractNumId w:val="20"/>
  </w:num>
  <w:num w:numId="36">
    <w:abstractNumId w:val="38"/>
  </w:num>
  <w:num w:numId="37">
    <w:abstractNumId w:val="24"/>
  </w:num>
  <w:num w:numId="38">
    <w:abstractNumId w:val="14"/>
  </w:num>
  <w:num w:numId="39">
    <w:abstractNumId w:val="27"/>
  </w:num>
  <w:num w:numId="40">
    <w:abstractNumId w:val="17"/>
  </w:num>
  <w:num w:numId="41">
    <w:abstractNumId w:val="1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25"/>
    <w:rsid w:val="000045F8"/>
    <w:rsid w:val="00011024"/>
    <w:rsid w:val="000C657E"/>
    <w:rsid w:val="00133120"/>
    <w:rsid w:val="001333BE"/>
    <w:rsid w:val="001607B9"/>
    <w:rsid w:val="001D1CDD"/>
    <w:rsid w:val="001D2E17"/>
    <w:rsid w:val="00202046"/>
    <w:rsid w:val="00251322"/>
    <w:rsid w:val="002644D4"/>
    <w:rsid w:val="00281091"/>
    <w:rsid w:val="002A4057"/>
    <w:rsid w:val="002A4368"/>
    <w:rsid w:val="002C21BC"/>
    <w:rsid w:val="003564B3"/>
    <w:rsid w:val="003C28A6"/>
    <w:rsid w:val="003D2EE7"/>
    <w:rsid w:val="003E6BAD"/>
    <w:rsid w:val="004303CE"/>
    <w:rsid w:val="0045797A"/>
    <w:rsid w:val="004F1AEC"/>
    <w:rsid w:val="00511D74"/>
    <w:rsid w:val="00521970"/>
    <w:rsid w:val="00575BA9"/>
    <w:rsid w:val="005C3C1E"/>
    <w:rsid w:val="005D5943"/>
    <w:rsid w:val="00650B4F"/>
    <w:rsid w:val="00673759"/>
    <w:rsid w:val="00691044"/>
    <w:rsid w:val="006E5D47"/>
    <w:rsid w:val="00702C72"/>
    <w:rsid w:val="007417F7"/>
    <w:rsid w:val="00793947"/>
    <w:rsid w:val="007D4A2A"/>
    <w:rsid w:val="00816EE9"/>
    <w:rsid w:val="00817E45"/>
    <w:rsid w:val="0083446E"/>
    <w:rsid w:val="00862E68"/>
    <w:rsid w:val="0089595F"/>
    <w:rsid w:val="008C60A0"/>
    <w:rsid w:val="008F77BA"/>
    <w:rsid w:val="009217BC"/>
    <w:rsid w:val="00986629"/>
    <w:rsid w:val="009C24A4"/>
    <w:rsid w:val="00AD10EE"/>
    <w:rsid w:val="00AE0EB4"/>
    <w:rsid w:val="00AE3223"/>
    <w:rsid w:val="00AF7A0C"/>
    <w:rsid w:val="00B126BF"/>
    <w:rsid w:val="00B21DD1"/>
    <w:rsid w:val="00B25AAD"/>
    <w:rsid w:val="00B50565"/>
    <w:rsid w:val="00B82C25"/>
    <w:rsid w:val="00B93BDE"/>
    <w:rsid w:val="00BA4949"/>
    <w:rsid w:val="00C41351"/>
    <w:rsid w:val="00C65B4D"/>
    <w:rsid w:val="00C902B9"/>
    <w:rsid w:val="00C90B7C"/>
    <w:rsid w:val="00CF50DB"/>
    <w:rsid w:val="00D234F3"/>
    <w:rsid w:val="00D622FF"/>
    <w:rsid w:val="00D87095"/>
    <w:rsid w:val="00DC1A2C"/>
    <w:rsid w:val="00DD3710"/>
    <w:rsid w:val="00DF0BF7"/>
    <w:rsid w:val="00E14290"/>
    <w:rsid w:val="00E52E94"/>
    <w:rsid w:val="00EF480D"/>
    <w:rsid w:val="00F32DB6"/>
    <w:rsid w:val="00F33CAE"/>
    <w:rsid w:val="00F40F94"/>
    <w:rsid w:val="00F65A92"/>
    <w:rsid w:val="00F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877444-1310-4159-A6DA-9FFF7C7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Calibri" w:hAnsi="Calibri"/>
      <w:color w:val="000000"/>
      <w:sz w:val="24"/>
    </w:rPr>
  </w:style>
  <w:style w:type="paragraph" w:styleId="Textkrper">
    <w:name w:val="Body Text"/>
    <w:basedOn w:val="Standard"/>
    <w:rPr>
      <w:rFonts w:ascii="Arial" w:hAnsi="Arial"/>
      <w:sz w:val="21"/>
    </w:rPr>
  </w:style>
  <w:style w:type="character" w:customStyle="1" w:styleId="KommentartextZchn">
    <w:name w:val="Kommentartext Zchn"/>
    <w:link w:val="Kommentartext"/>
    <w:locked/>
    <w:rPr>
      <w:lang w:val="hr-HR" w:eastAsia="de-DE" w:bidi="ar-SA"/>
    </w:rPr>
  </w:style>
  <w:style w:type="paragraph" w:styleId="Kopfzeile">
    <w:name w:val="header"/>
    <w:basedOn w:val="Standard"/>
    <w:link w:val="KopfzeileZchn"/>
    <w:rsid w:val="00986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8662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86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6629"/>
    <w:rPr>
      <w:sz w:val="24"/>
      <w:szCs w:val="24"/>
    </w:rPr>
  </w:style>
  <w:style w:type="paragraph" w:customStyle="1" w:styleId="GGSZ">
    <w:name w:val="GGS ZÜ"/>
    <w:basedOn w:val="Standard"/>
    <w:link w:val="GGSZZchn"/>
    <w:uiPriority w:val="4"/>
    <w:qFormat/>
    <w:rsid w:val="005D5943"/>
    <w:pPr>
      <w:spacing w:before="120"/>
    </w:pPr>
    <w:rPr>
      <w:rFonts w:asciiTheme="minorHAnsi" w:hAnsiTheme="minorHAnsi"/>
      <w:b/>
      <w:sz w:val="22"/>
    </w:rPr>
  </w:style>
  <w:style w:type="character" w:customStyle="1" w:styleId="GGSZZchn">
    <w:name w:val="GGS ZÜ Zchn"/>
    <w:basedOn w:val="Absatz-Standardschriftart"/>
    <w:link w:val="GGSZ"/>
    <w:uiPriority w:val="4"/>
    <w:rsid w:val="005D5943"/>
    <w:rPr>
      <w:rFonts w:asciiTheme="minorHAnsi" w:hAnsiTheme="minorHAnsi"/>
      <w:b/>
      <w:sz w:val="22"/>
      <w:szCs w:val="24"/>
    </w:rPr>
  </w:style>
  <w:style w:type="paragraph" w:styleId="Listenabsatz">
    <w:name w:val="List Paragraph"/>
    <w:basedOn w:val="Standard"/>
    <w:uiPriority w:val="34"/>
    <w:qFormat/>
    <w:rsid w:val="00650B4F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CF50D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F50DB"/>
  </w:style>
  <w:style w:type="character" w:styleId="Funotenzeichen">
    <w:name w:val="footnote reference"/>
    <w:basedOn w:val="Absatz-Standardschriftart"/>
    <w:rsid w:val="00CF5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0007-F058-44F5-87D7-C0DBC8FA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2426</Words>
  <Characters>15768</Characters>
  <Application>Microsoft Office Word</Application>
  <DocSecurity>4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Geschäfts- und Verfahrensordnung</vt:lpstr>
    </vt:vector>
  </TitlesOfParts>
  <Company>Bayer. Sozialgerichtsbarkeit</Company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Geschäfts- und Verfahrensordnung</dc:title>
  <dc:subject/>
  <dc:creator>Sigmar.Roll</dc:creator>
  <cp:keywords/>
  <cp:lastModifiedBy>Redmann, Petra, EC2</cp:lastModifiedBy>
  <cp:revision>2</cp:revision>
  <cp:lastPrinted>2014-01-13T11:15:00Z</cp:lastPrinted>
  <dcterms:created xsi:type="dcterms:W3CDTF">2021-03-16T11:15:00Z</dcterms:created>
  <dcterms:modified xsi:type="dcterms:W3CDTF">2021-03-16T11:15:00Z</dcterms:modified>
</cp:coreProperties>
</file>