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322" w:rsidRPr="00FC0D01" w:rsidRDefault="00251322" w:rsidP="00251322">
      <w:pPr>
        <w:spacing w:before="120" w:line="320" w:lineRule="exact"/>
        <w:rPr>
          <w:sz w:val="16"/>
          <w:szCs w:val="16"/>
          <w:rFonts w:ascii="Verdana" w:hAnsi="Verdana"/>
        </w:rPr>
      </w:pPr>
      <w:r>
        <w:rPr>
          <w:sz w:val="16"/>
          <w:rFonts w:ascii="Verdana" w:hAnsi="Verdana"/>
        </w:rPr>
        <w:t xml:space="preserve">Az alábbi dátummal:</w:t>
      </w:r>
      <w:r>
        <w:rPr>
          <w:sz w:val="16"/>
          <w:rFonts w:ascii="Verdana" w:hAnsi="Verdana"/>
        </w:rPr>
        <w:t xml:space="preserve"> </w:t>
      </w:r>
      <w:r>
        <w:rPr>
          <w:sz w:val="16"/>
          <w:rFonts w:ascii="Verdana" w:hAnsi="Verdana"/>
        </w:rPr>
        <w:t xml:space="preserve">2021. március 15.</w:t>
      </w:r>
    </w:p>
    <w:p w:rsidR="002C21BC" w:rsidRPr="00B93BDE" w:rsidRDefault="009C24A4">
      <w:pPr>
        <w:rPr>
          <w:sz w:val="22"/>
          <w:szCs w:val="22"/>
          <w:rFonts w:ascii="Calibri" w:hAnsi="Calibri"/>
        </w:rPr>
      </w:pPr>
      <w:r>
        <w:rPr>
          <w:sz w:val="22"/>
          <w:rFonts w:ascii="Calibri" w:hAnsi="Calibri"/>
        </w:rPr>
        <w:t xml:space="preserve">__________________________________________________________________________________</w:t>
      </w:r>
    </w:p>
    <w:p w:rsidR="009C24A4" w:rsidRPr="009C24A4" w:rsidRDefault="009C24A4" w:rsidP="003564B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8C60A0" w:rsidRPr="008C60A0" w:rsidRDefault="00D87095" w:rsidP="003564B3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A médiaközvetítőknek az állami médiaszerződés 96. §-a szerinti rendeletéről szóló alapokmány</w:t>
      </w:r>
    </w:p>
    <w:p w:rsidR="008C60A0" w:rsidRPr="008C60A0" w:rsidRDefault="008C60A0" w:rsidP="003564B3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br/>
      </w:r>
      <w:r>
        <w:rPr>
          <w:b/>
          <w:sz w:val="22"/>
          <w:rFonts w:ascii="Calibri" w:hAnsi="Calibri"/>
        </w:rPr>
        <w:t xml:space="preserve">(MI alapokmány)</w:t>
      </w:r>
    </w:p>
    <w:p w:rsidR="008C60A0" w:rsidRPr="008C60A0" w:rsidRDefault="008C60A0" w:rsidP="003564B3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br/>
      </w:r>
      <w:r>
        <w:rPr>
          <w:sz w:val="22"/>
          <w:b/>
          <w:rFonts w:ascii="Calibri" w:hAnsi="Calibri"/>
        </w:rPr>
        <w:t xml:space="preserve">Dátum: ...</w:t>
      </w:r>
    </w:p>
    <w:p w:rsidR="008C60A0" w:rsidRPr="008C60A0" w:rsidRDefault="008C60A0" w:rsidP="003564B3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C60A0" w:rsidRPr="008C60A0" w:rsidRDefault="008C60A0" w:rsidP="003564B3">
      <w:pPr>
        <w:spacing w:line="276" w:lineRule="auto"/>
        <w:rPr>
          <w:bCs/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Az állami médiaszerződés (MStV) 96. §-ának 1. mondata alapján (2020. április 14. és 28. között) (... hivatkozás), [a szövetségi állami médiahatóság neve], a többi szövetségi állami médiahatósággal egyetértésben, a következő alapokmányt hirdeti ki: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1. főfejezet: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Általános rendelkezések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1. §</w:t>
      </w: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Cél és célkitűzés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Az MStV 96. §-a értelmében ez az alapokmány szabályozza a médiaközvetítők és médiaközvetítők szolgáltatóinak szabályozására vonatkozó jogi rendelkezések anyagi és eljárási előírásait (§ 91–95 MStV).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Ez az alapokmány a vélemények sokféleségének (a kínálat és a szolgáltató sokféleségének) megőrzését szolgálja.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Ezen alapokmány alkalmazásakor figyelembe kell venni az adott felhasználói csoportok médiaközvetítőinek irányadó szerepét.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2. §</w:t>
      </w: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Hatály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Az alapokmány alkalmazási köre magában foglalja a médiaközvetítőket, az integrált médiaközvetítőket és azok szolgáltatóit.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Az „integrált médiaközvetítő” kifejezés az MStV 91. § (1) bekezdése értelmében magában foglalja a közvetítői funkció harmadik felek kínálatába történő integrálását, amely lehetővé teszi a harmadik felek ajánlatai felhasználói számára a közvetítői funkció használatát.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A felhasználók száma az MStV 91. § (2) bekezdésének 1. albekezdése szerint a havi egyedi felhasználók összessége.</w:t>
      </w:r>
      <w:r>
        <w:rPr>
          <w:sz w:val="22"/>
          <w:rFonts w:ascii="Calibri" w:hAnsi="Calibri"/>
        </w:rPr>
        <w:t xml:space="preserve"> 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Ha a médiaközvetítő szolgáltató az MStV 91. § (2) bekezdésének 1. albekezdésében hivatkozik a rendeletre, az illetékes szövetségi állami médiahatóság kérésére egy hónapon belül bemutatja és igazolja a felhasználók számát, és benyújtja a vizsgálathoz szükséges dokumentumokat és információkat.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Ha a közvetítői funkciót még nem ajánlották fel vagy hat hónapnál rövidebb időre ajánlották fel, a médiaközvetítő szolgáltató az illetékes szövetségi médiahatóság kérésére előrejelzi a felhasználói számok alakulását az MStV 91. § (2) bekezdésének 1. albekezdése értelmében, és hiteles bizonyítékot szolgáltat, valamint benyújtja a vizsgálathoz szükséges dokumentumokat és információkat.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3. §</w:t>
      </w: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Meghatalmazott ügynök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A meghatalmazott ügynök lehet természetes vagy jogi személy.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 természetes személyeknek lakóhellyel vagy szokásos tartózkodási hellyel kell rendelkezniük, a jogi személyeknek a Német Szövetségi Köztársaságban székhellyel kell rendelkezniük.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Meg kell jelölni az idézhető címet.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Az MStV 92. §-a 1. mondatának második félmondata szerinti követelmények általában akkor teljesülnek, ha a meghatalmazott ügynök a Telemedia Act (TMG) 5. § (1) bekezdésében és az MStV 18. § (1) bekezdésében előírt információk hatálya alá tartozik.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2. főfejezet: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Átláthatóság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4. §</w:t>
      </w:r>
    </w:p>
    <w:p w:rsid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Cél és célkitűzés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2A4057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E szakasz rendelkezéseinek célja, hogy megfelelő átláthatóságot biztosítsanak a médiaközvetítők felhasználói számára az MStV 93. § (1) bekezdésében és a 6. §-ban felsorolt információk tekintetében (átlátható információ).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Ennek különösen lehetővé kell tennie a médiaközvetítő tájékozott használatát az újságírói-szerkesztői tartalmak összesítése, kiválasztása és bemutatása tekintetében.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Az újságírói-szerkesztői tartalmak szolgáltatóival is foglalkoznak.</w:t>
      </w:r>
    </w:p>
    <w:p w:rsidR="00D87095" w:rsidRP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5. §</w:t>
      </w: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Alaki követelmények</w:t>
      </w:r>
    </w:p>
    <w:p w:rsidR="00D87095" w:rsidRPr="00D87095" w:rsidRDefault="00D87095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Az MStV 93. § (1) bekezdése szerinti információkat, az MStV 93. § (3) bekezdése szerinti módosításokat és a 6. § szerinti információkat németül átláthatóvá kell tenni.</w:t>
      </w:r>
    </w:p>
    <w:p w:rsidR="002A4057" w:rsidRPr="00D87095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Az átláthatóvá nyilvánítandó információ könnyen észrevehető az MStV 93. §-a értelmében, ha azt egy átlagos felhasználó számára világosan érzékelhető helyzetbe helyezik, figyelembe véve a médiaközvetítő tipikus használati helyzetét.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Általában ez a helyzet, ha az átláthatóvá tenni kívánt információ egyértelműen megkülönböztethető a tartalom többi részétől, és közvetlenül kapcsolódik a médiaközvetítő használatához elengedhetetlen bemeneti vagy navigációs lehetőségekhez.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A fent említett követelmények ennek megfelelően érvényesek, ha egy internetes hivatkozást használnak az átláthatóvá teendő információkra.</w:t>
      </w:r>
      <w:r>
        <w:rPr>
          <w:sz w:val="22"/>
          <w:rFonts w:ascii="Calibri" w:hAnsi="Calibri"/>
        </w:rPr>
        <w:t xml:space="preserve"> 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Az átláthatóvá teendő információk azonnal hozzáférhetők az MStV 93. §-a értelmében, ha azok jelentős közbenső lépések nélkül érzékelhetők a felhasználó számára.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Kifejezetten nem ez a helyzet, ha az információ több mint két internetes hivatkozással érhető el, és/vagy az információ visszakeresése előzetes regisztrációtól vagy bejelentkezéstől függ.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Ha a felhasználó bármikor hozzáférhet, az MStV 93. §-a értelmében átláthatóvá kell tenni az információt.</w:t>
      </w:r>
      <w:r>
        <w:rPr>
          <w:sz w:val="22"/>
          <w:rFonts w:ascii="Calibri" w:hAnsi="Calibri"/>
        </w:rPr>
        <w:t xml:space="preserve"> 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(5) Az átláthatóvá nyilvánítandó információkat az MStV 93. §-a értelmében érthető nyelven nyújtják, amennyiben azok az átlagos felhasználó számára lehetővé teszik a médiaközvetítő tájékozott használatához szükséges, az MStV 93. § (1) bekezdésében említett körülmények alapvető megértését.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(6) Ha a médiaközvetítő használata túlnyomórészt hangvezérelt, a felhasználó kérésére az átláthatóvá teendő információkat akusztikus módon is meg kell ismételni, és elegendő annak akusztikus jelzése, hogy hol kell az átláthatóvá tenni az információt.</w:t>
      </w:r>
    </w:p>
    <w:p w:rsidR="002A4057" w:rsidRPr="00D87095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6. §</w:t>
      </w: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Tájékoztatási kötelezettségek</w:t>
      </w:r>
    </w:p>
    <w:p w:rsidR="00D87095" w:rsidRPr="00D87095" w:rsidRDefault="00D87095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 médiaközvetítő szolgáltató köteles átláthatóvá tenni azokat a kritériumokat, amelyek meghatározzák a tartalom médiaközvetítőhöz való hozzáférését és megőrzését (a 93. § (1) bekezdésének 1. albekezdése).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Ebből a célból a médiaközvetítő szolgáltatónak különösen a következő információkat kell megadnia:</w:t>
      </w:r>
    </w:p>
    <w:p w:rsidR="00D87095" w:rsidRPr="00D87095" w:rsidRDefault="00D87095" w:rsidP="002A4057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Azon műszaki, gazdasági, szolgáltatói, felhasználói és tartalmi feltételek leírása, amelyek meghatározzák, hogy a tartalom médiaközvetítőn keresztül érzékelhető-e,</w:t>
      </w:r>
    </w:p>
    <w:p w:rsidR="00D87095" w:rsidRPr="00D87095" w:rsidRDefault="00D87095" w:rsidP="002A4057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abban az esetben, ha bizonyos tartalmakat a médiaközvetítőhöz való hozzáférés és az abban való maradás során – különösen automatikus rendszerek használata révén – átszűrnek, vagy leminősítenek, vagy frissítenek az érzékelhetőség tekintetében, fel kell tüntetni az érintett tartalom kategóriáját és a szűrés vagy osztályozás céljait, és</w:t>
      </w:r>
    </w:p>
    <w:p w:rsidR="00D87095" w:rsidRDefault="00D87095" w:rsidP="002A4057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arra vonatkozó információk feltüntetése, hogy a médiaközvetítőben a tartalomhoz való hozzáférésre és annak megőrzésére hatással vannak-e vagy befolyásolhatják-e ezeket a fizetések, illetve egyéb, közvetlen vagy közvetett természetbeni előnyök.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 médiaközvetítő szolgáltató az MStV 93. § (1) bekezdésének 2. albekezdése értelmében köteles átláthatóvá tenni a tartalom összesítésére, kiválasztására és megjelenítésére, valamint súlyozására vonatkozó központi kritériumokat, beleértve az alkalmazott algoritmusok működésére vonatkozó információkat is.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Ebből a célból a médiaközvetítő szolgáltatónak különösen a következő információkat kell megadnia: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médiaközvetítő által használt összesítési, kiválasztási és megjelenítési központi kritériumok leírása,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központi kritériumok egymáshoz viszonyított és a nem központi kritériumokhoz viszonyított súlyozásának leírása, az utóbbiak átláthatóvá tétele nélkül,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központi kritériumok által követett optimalizálási célkitűzések leírása,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tájékoztatás arról, hogy a médiaközvetítőben a tartalom megtalálhatóságát a díjak megfizetése vagy más közvetlen vagy közvetett díjazási megfontolások befolyásolhatják-e, és ha igen, hogyan,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tartalom összesítését, kiválasztását és megjelenítését alátámasztó alapvető folyamatlépések leírása, beleértve azt is, hogy mely személyes és egyéb adatok szerepelnek az összesítésben, a kiválasztásban és a megjelenítésben,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az alkalmazott megszemélyesítés típusára és mértékére, valamint arra vonatkozó információk, hogy a tartalom releváns-e az adott felhasználó számára, és ha igen, hogyan,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arra vonatkozó információk, hogy a felhasználók médiaközvetítői magatartása befolyásolhatja-e a tartalom összesítését, kiválasztását és megjelenítését, beleértve a beállításokon és részleges funkciókon keresztül a felhasználó rendelkezésére álló befolyásolási lehetőségekre vonatkozó jelzéseket, és ha igen, hogyan</w:t>
      </w:r>
    </w:p>
    <w:p w:rsid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arra vonatkozó információk, hogy a médiaközvetítő szolgáltató különleges módon kezeli-e a saját tartalmát, egy kapcsolt vállalat tartalmát (a Stock Corporation Act (AktG) 15. §-a) vagy az együttműködési partnerek tartalmát az összesítés, a kiválasztás és/vagy a bemutatás során, és ha igen, hogyan.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Az MStV 93. § (1) bekezdése értelmében átláthatóvá teendő kritériumok lényeges módosításait azonnal észrevehetővé kell tenni.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Ebből a célból a médiaközvetítő szolgáltatónak olyan áttekintést kell biztosítania, amely bemutatja az időben bekövetkezett jelentős változásokat.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Az MStV 93. § (1) bekezdése értelmében átláthatóvá teendő kritériumok minden egyéb módosítását az alapokmány hatálybalépésétől számított legalább négyhavonta közzé kell tenni.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Az 5. §-t ennek megfelelően kell alkalmazni.</w:t>
      </w:r>
    </w:p>
    <w:p w:rsid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A4057" w:rsidRPr="00D87095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2A4057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3. főfejezet: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A megkülönböztetés tilalma</w:t>
      </w:r>
    </w:p>
    <w:p w:rsidR="00D87095" w:rsidRP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7. § Általános rendelkezések</w:t>
      </w:r>
    </w:p>
    <w:p w:rsidR="002A4057" w:rsidRPr="00D87095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A médiaközvetítőnek az MStV 94. szakaszának (1) bekezdése szerinti kötelezettsége magában foglalja az újságírói-szerkesztői ajánlat meghatározható részeit és hozzájárulásait is.</w:t>
      </w:r>
    </w:p>
    <w:p w:rsidR="002A4057" w:rsidRPr="00D87095" w:rsidRDefault="002A4057" w:rsidP="002A405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Az MStV 94. § (1) bekezdése szerinti különösen nagy befolyás meghatározásában döntő fontosságú a médiaközvetítő befolyása az újságírói-szerkesztői tartalom érzékelhetőségére a véleményformáló folyamatban.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Az értékelés különösen figyelembe veheti</w:t>
      </w:r>
    </w:p>
    <w:p w:rsidR="00D87095" w:rsidRPr="00D87095" w:rsidRDefault="00D87095" w:rsidP="002A4057">
      <w:pPr>
        <w:numPr>
          <w:ilvl w:val="0"/>
          <w:numId w:val="35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médiaközvetítő helyzetét az érintett piacokon;</w:t>
      </w:r>
    </w:p>
    <w:p w:rsidR="00D87095" w:rsidRPr="00D87095" w:rsidRDefault="00D87095" w:rsidP="002A4057">
      <w:pPr>
        <w:numPr>
          <w:ilvl w:val="0"/>
          <w:numId w:val="35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használat általános áttekintését, például a rendelkezésre álló felhasználási tartomány, a felhasználói számok, a felhasználók ideje és aktivitása, illetve a felhasználókra jutó megtekintések száma alapján.</w:t>
      </w:r>
      <w:r>
        <w:rPr>
          <w:sz w:val="22"/>
          <w:rFonts w:ascii="Calibri" w:hAnsi="Calibri"/>
        </w:rPr>
        <w:t xml:space="preserve"> </w:t>
      </w:r>
    </w:p>
    <w:p w:rsidR="002A4057" w:rsidRPr="002A4057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§ 8</w:t>
      </w:r>
      <w:r>
        <w:rPr>
          <w:b/>
          <w:sz w:val="22"/>
          <w:rFonts w:ascii="Calibri" w:hAnsi="Calibri"/>
        </w:rPr>
        <w:br/>
      </w:r>
      <w:r>
        <w:rPr>
          <w:b/>
          <w:sz w:val="22"/>
          <w:rFonts w:ascii="Calibri" w:hAnsi="Calibri"/>
        </w:rPr>
        <w:t xml:space="preserve">Rendszeres eltérés a 94. § (2) bekezdése szerint, első alternatív MStV</w:t>
      </w:r>
    </w:p>
    <w:p w:rsidR="00D87095" w:rsidRP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Az értékelés szempontjából meghatározó, hogy az első alternatív MStV 94. § (2) bekezdésének megsértése esetén alkalmazandóak-e</w:t>
      </w:r>
    </w:p>
    <w:p w:rsidR="00D87095" w:rsidRPr="00D87095" w:rsidRDefault="00D87095" w:rsidP="002A4057">
      <w:pPr>
        <w:numPr>
          <w:ilvl w:val="0"/>
          <w:numId w:val="36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médiaközvetítő szolgáltató által közzétett azon kritériumok súlyozására vonatkozó kritériumok és információk, amelyeket az MStV 93. §-ának (1) bekezdése szerinti kötelezettségének teljesítése érdekében közzétesz, vagy</w:t>
      </w:r>
    </w:p>
    <w:p w:rsidR="00D87095" w:rsidRDefault="00D87095" w:rsidP="002A4057">
      <w:pPr>
        <w:numPr>
          <w:ilvl w:val="0"/>
          <w:numId w:val="36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médiaközvetítő szolgáltatónak az MStV 93. § (1) bekezdése szerinti kötelezettségének teljesítése érdekében közzéteendő kritériumok és azok súlyozására vonatkozó információk.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Az első alternatív MStV 94. § (2) bekezdése szerinti eltérést különösen akkor kell létezőnek tekinteni, ha a médiaközvetítő szolgáltatója</w:t>
      </w:r>
      <w:r>
        <w:rPr>
          <w:sz w:val="22"/>
          <w:rFonts w:ascii="Calibri" w:hAnsi="Calibri"/>
        </w:rPr>
        <w:t xml:space="preserve"> </w:t>
      </w:r>
    </w:p>
    <w:p w:rsidR="00D87095" w:rsidRPr="00D87095" w:rsidRDefault="00D87095" w:rsidP="002A4057">
      <w:pPr>
        <w:numPr>
          <w:ilvl w:val="0"/>
          <w:numId w:val="37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nem alkalmazza a közzétett kritériumokat vagy más kritériumokat, kivéve azokat, amelyeket az MStV 93. § (1) bekezdésének 1. és 2. albekezdése alapján közzé kell tenni, vagy</w:t>
      </w:r>
    </w:p>
    <w:p w:rsidR="00D87095" w:rsidRDefault="00D87095" w:rsidP="002A4057">
      <w:pPr>
        <w:numPr>
          <w:ilvl w:val="0"/>
          <w:numId w:val="37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eltér a tartalom összesítésére, kiválasztására és megjelenítésére vonatkozó központi kritériumok közzétett súlyozásától.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Hogy az első alternatív MStV 94. § (2) bekezdése szerinti eltérés szisztematikus-e, azt minden körülmény átfogó megítélése alapján kell meghatározni.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Különösen figyelembe kell venni az eltérés időtartamát, szabályszerűségét, ismétlődését és ütemezését.</w:t>
      </w:r>
    </w:p>
    <w:p w:rsidR="002A4057" w:rsidRPr="00D87095" w:rsidRDefault="002A4057" w:rsidP="002A405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Az eltérés akkor indokolt, ha ez objektíven igazolt indok miatt történik.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Ennek sajátos okai lehetnek</w:t>
      </w:r>
    </w:p>
    <w:p w:rsidR="00D87095" w:rsidRPr="00D87095" w:rsidRDefault="00D87095" w:rsidP="002A4057">
      <w:pPr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jogi tilalmak vagy jogi kötelezettségek;</w:t>
      </w:r>
    </w:p>
    <w:p w:rsidR="00D87095" w:rsidRPr="00D87095" w:rsidRDefault="00D87095" w:rsidP="002A4057">
      <w:pPr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felhasználónak történő bemutatás technikai feltételei;</w:t>
      </w:r>
    </w:p>
    <w:p w:rsidR="00D87095" w:rsidRDefault="00D87095" w:rsidP="002A4057">
      <w:pPr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szolgáltatás integritásának védelmére vonatkozó követelmények.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(5) Az érintett felek érdekeinek mérlegelése után, figyelembe véve az MStV azon célkitűzését, hogy biztosítsák a vélemény sokszínűségét, az objektíven igazolt indokot kell értékelni.</w:t>
      </w:r>
      <w:r>
        <w:rPr>
          <w:sz w:val="22"/>
          <w:rFonts w:ascii="Calibri" w:hAnsi="Calibri"/>
        </w:rPr>
        <w:t xml:space="preserve">  </w:t>
      </w:r>
    </w:p>
    <w:p w:rsidR="00D87095" w:rsidRP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9. §</w:t>
      </w: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Észszerűtlen akadályozás a 94. § (2) bekezdése szerint, második alternatív MStV</w:t>
      </w:r>
    </w:p>
    <w:p w:rsidR="00D87095" w:rsidRP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A második alternatív MStV 94. § (2) bekezdése szerinti akadályozás az újságírói-szerkesztői ajánlathoz való hozzáférés vagy annak megtalálhatóságának közvetlen vagy közvetett károsodása.</w:t>
      </w: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A 8. § (1) bekezdését ennek megfelelően kell alkalmazni.</w:t>
      </w:r>
    </w:p>
    <w:p w:rsidR="006E5D47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Hogy a második alternatív MStV 94. § (2) bekezdése szerinti akadályozás szisztematikus-e, azt minden körülmény átfogó megítélése alapján kell meghatározni.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Az akadályozás időtartamát, szabályszerűségét, ismétlődését és szabályszerűségét figyelembe kell venni.</w:t>
      </w:r>
    </w:p>
    <w:p w:rsidR="006E5D47" w:rsidRPr="00D87095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Az akadályozás észszerűtlen jellegét a felek érdekei közötti egyensúly alapján kell értékelni, figyelembe véve az MStV-nek a vélemény sokszínűségének megőrzésére irányuló célkitűzését.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Az akadályozás észszerűtlen jellege egyedi kritériumokból vagy több kritérium halmozott kölcsönhatásából eredhet.</w:t>
      </w:r>
      <w:r>
        <w:rPr>
          <w:sz w:val="22"/>
          <w:rFonts w:ascii="Calibri" w:hAnsi="Calibri"/>
        </w:rPr>
        <w:t xml:space="preserve">  </w:t>
      </w:r>
    </w:p>
    <w:p w:rsid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E5D47" w:rsidRPr="00D87095" w:rsidRDefault="006E5D47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6E5D47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4. főfejezet: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Eljárás és vizsgálat</w:t>
      </w:r>
    </w:p>
    <w:p w:rsidR="00D87095" w:rsidRP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10. §</w:t>
      </w:r>
    </w:p>
    <w:p w:rsid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A ZAK hatásköre</w:t>
      </w:r>
    </w:p>
    <w:p w:rsidR="006E5D47" w:rsidRPr="00D87095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Az ezen alapokmány keretében elvégzendő feladatok tekintetében az illetékes szövetségi állami médiahatóság engedélyezési és felügyeleti bizottsága (ZAK) megfelelő szervként szolgál (az MStV 104. § (2) bekezdésének 1. mondata, 1. pont, a 105. § (1) bekezdésének 1. mondata, 10. pont, összefüggésben a ZAK eljárási szabályzatával – GVO ZAK).</w:t>
      </w:r>
    </w:p>
    <w:p w:rsidR="006E5D47" w:rsidRPr="00D87095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Az illetékes szövetségi állami médiahatóság a 11. §-nak megfelelően haladéktalanul továbbítja a panaszt a ZAK részére a Közös Hivatalon keresztül, és tájékoztatja a hivatalból elvégzett vizsgálatokról.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A ZAK a határozat meghozataláig folytatja le az eljárást.</w:t>
      </w:r>
    </w:p>
    <w:p w:rsidR="006E5D47" w:rsidRPr="006E5D47" w:rsidRDefault="006E5D47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11. §</w:t>
      </w:r>
    </w:p>
    <w:p w:rsid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Megkülönböztetésmentességi eljárás</w:t>
      </w:r>
    </w:p>
    <w:p w:rsidR="006E5D47" w:rsidRPr="00D87095" w:rsidRDefault="006E5D47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Az illetékes szövetségi állami médiahatóság a ZAK-on keresztül, panasz alapján vagy nyilvánvaló esetben hivatalból megvizsgálja, hogy a médiaközvetítő szolgáltató megsérti-e az MStV 94. §-ának (1) és (2) bekezdését, illetve 8. és 9. §-át.</w:t>
      </w:r>
    </w:p>
    <w:p w:rsidR="006E5D47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A fellebbezésre az MStV 94. § (3) bekezdésének 1. mondata értelmében jogosultak</w:t>
      </w:r>
      <w:r>
        <w:rPr>
          <w:sz w:val="22"/>
          <w:rFonts w:ascii="Calibri" w:hAnsi="Calibri"/>
        </w:rPr>
        <w:t xml:space="preserve"> </w:t>
      </w:r>
    </w:p>
    <w:p w:rsidR="00D87095" w:rsidRPr="00D87095" w:rsidRDefault="00D87095" w:rsidP="006E5D47">
      <w:pPr>
        <w:numPr>
          <w:ilvl w:val="0"/>
          <w:numId w:val="39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az újságírói-szerkesztői tartalom szolgáltatói és</w:t>
      </w:r>
      <w:r>
        <w:rPr>
          <w:sz w:val="22"/>
          <w:rFonts w:ascii="Calibri" w:hAnsi="Calibri"/>
        </w:rPr>
        <w:t xml:space="preserve"> </w:t>
      </w:r>
    </w:p>
    <w:p w:rsidR="00D87095" w:rsidRDefault="00D87095" w:rsidP="006E5D47">
      <w:pPr>
        <w:numPr>
          <w:ilvl w:val="0"/>
          <w:numId w:val="39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médiaplatformok és felhasználói felületek szolgáltatói, amennyiben panaszt tesznek az általuk kínált újságírói-szerkesztői tartalomcsomagokkal szembeni hátrányos megkülönböztetés miatt.</w:t>
      </w:r>
    </w:p>
    <w:p w:rsidR="006E5D47" w:rsidRPr="00D87095" w:rsidRDefault="006E5D47" w:rsidP="006E5D4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 panaszosnak meg kell indokolnia fellebbezését.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 célból megfelelő bizonyítékot kell szolgáltatni, amelyből elegendő adat kiderül az újságírói-szerkesztői tartalomnak az MStV 94. §-ának (2) bekezdése vagy a 8. és 9. §-a szerinti állítólagos megkülönböztetésére.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Különösen a következőket lehet benyújtani:</w:t>
      </w:r>
    </w:p>
    <w:p w:rsidR="00D87095" w:rsidRPr="00D87095" w:rsidRDefault="00D87095" w:rsidP="006E5D47">
      <w:pPr>
        <w:numPr>
          <w:ilvl w:val="0"/>
          <w:numId w:val="40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médiaközvetítő saját újságírói-szerkesztői tartalma megtalálhatóságának értékelését és</w:t>
      </w:r>
    </w:p>
    <w:p w:rsidR="00D87095" w:rsidRPr="00D87095" w:rsidRDefault="00D87095" w:rsidP="006E5D47">
      <w:pPr>
        <w:numPr>
          <w:ilvl w:val="0"/>
          <w:numId w:val="40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megfelelő tanulmányokat.</w:t>
      </w:r>
    </w:p>
    <w:p w:rsidR="00D87095" w:rsidRPr="00D87095" w:rsidRDefault="006E5D47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A panaszosnak lehetőség szerint megfelelő bizonyítékot kell szolgáltatnia arra vonatkozóan, hogy a médiaközvetítő különösen nagy hatást gyakorol az MStV 94. § (1) bekezdése értelmében vett újságírói-szerkesztői tartalom érzékelhetőségére.</w:t>
      </w:r>
      <w:r>
        <w:rPr>
          <w:sz w:val="22"/>
          <w:rFonts w:ascii="Calibri" w:hAnsi="Calibri"/>
        </w:rPr>
        <w:t xml:space="preserve"> </w:t>
      </w:r>
    </w:p>
    <w:p w:rsidR="006E5D47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Az MStV 94. § (3) bekezdésének 2. mondata és (1) bekezdése szerinti nyilvánvaló eset akkor áll fenn, ha a megkülönböztetés tilalmának megsértését alátámasztó tények harmadik személyek számára egyértelműen azonosíthatók.</w:t>
      </w:r>
      <w:r>
        <w:rPr>
          <w:sz w:val="22"/>
          <w:rFonts w:ascii="Calibri" w:hAnsi="Calibri"/>
        </w:rPr>
        <w:t xml:space="preserve"> </w:t>
      </w:r>
    </w:p>
    <w:p w:rsidR="00D87095" w:rsidRPr="00D87095" w:rsidRDefault="00D87095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12. §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Helyesbítés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6E5D47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Ha az illetékes szövetségi állami médiahatóság a ZAK-on keresztül megállapítja, hogy a médiaközvetítő megsérti az MStV 92–94 §-át vagy ezen alapokmány rendelkezéseit, a médiaközvetítő szolgáltatónak haladéktalanul helyesbítenie kell a médiaközvetítőt.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A médiaközvetítő szolgáltató köteles a helyesbítést megfelelő és érthető módon bizonyítani az illetékes szövetségi állami médiahatóságnak.</w:t>
      </w: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13. §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Tájékoztatás és a dokumentumok benyújtása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Egy esetleges jogsértés ellenőrzése érdekében a médiaközvetítő szolgáltató köteles minden szükséges információt megadni, az információkat hozzáférhetővé tenni és a dokumentumokat benyújtani.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Az illetékes szövetségi állami médiahatóság kifejezetten</w:t>
      </w:r>
    </w:p>
    <w:p w:rsidR="00D87095" w:rsidRP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követelheti valamennyi olyan dokumentáció benyújtását, amely az MStV 93. § (1) bekezdésének 1. albekezdése szerinti kritériumokat vagy a központi kritériumokat és azok súlyozását, továbbá az MStV 93. § (1) bekezdésének 2. albekezdése szerinti algoritmusok működését igazolja;</w:t>
      </w:r>
    </w:p>
    <w:p w:rsidR="00D87095" w:rsidRP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tanúként meghallgathatja a médiaközvetítő alkalmazottait, akik részt vesznek a kritériumok meghatározásában, technikai végrehajtásában és módosításában az MStV 93. § (1) bekezdésének 1. albekezdése szerint, vagy a központi kritériumok és azok súlyozása, valamint az MStV 93. § (1) bekezdésének 2. albekezdése szerinti algoritmusok meghatározásában, technikai végrehajtásában és módosításában;</w:t>
      </w:r>
    </w:p>
    <w:p w:rsidR="00D87095" w:rsidRP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médiaközvetítő szolgáltatótól nyilatkozatot kér az MStV 93. §-ának (1) bekezdése és a 6. §-a alapján az információk átláthatóvá tételéről;</w:t>
      </w:r>
    </w:p>
    <w:p w:rsid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előírja olyan szerződéses megállapodások, kötelezettségvállalások vagy egyéb kötelezettségek benyújtását, amelyek objektíven kapcsolódnak a médiaközvetítő számára a tartalomhoz való hozzáféréshez és annak megőrzéséhez, amelyek különösen az újságírói-szerkesztői tartalom felvételére, megjelenítésére és megőrzésére vonatkoznak.</w:t>
      </w:r>
    </w:p>
    <w:p w:rsidR="00D622FF" w:rsidRPr="00D87095" w:rsidRDefault="00D622FF" w:rsidP="00D622FF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Az (1) bekezdésben említett dokumentumok benyújtásakor a médiaközvetítő szolgáltató megjelöli a dokumentumok azon részeit, amelyek üzleti vagy kereskedelmi titkokat tartalmaznak.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Ebben az esetben be kell nyújtaniuk továbbá egy olyan változatot, amely az ő szemszögükből nézve harmadik személyek számára üzleti vagy kereskedelmi titkok felfedése nélkül tekinthető meg.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Ha ez nem történik meg, a szövetségi állami médiahatóság beleegyezhet a vizsgálatba, kivéve, ha tudomása van olyan különleges körülményekről, amelyek nem indokolják ezt a vélelmet.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4</w:t>
      </w:r>
      <w:r>
        <w:rPr>
          <w:sz w:val="22"/>
          <w:rFonts w:ascii="Calibri" w:hAnsi="Calibri"/>
        </w:rPr>
        <w:t xml:space="preserve">Ha a szövetségi állami médiahatóság úgy ítéli meg, hogy a dokumentumok kereskedelmi vagy üzleti titokként történő megjelölése nem igazolható, lehetőséget kell adnia a szolgáltatónak arra, hogy észrevételeket tegyen, mielőtt eldöntené, hogy harmadik felek számára hozzáférést biztosít-e.</w:t>
      </w:r>
    </w:p>
    <w:p w:rsidR="00D87095" w:rsidRDefault="006E5D47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 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6E5D47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5. főfejezet: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Záró rendelkezések</w:t>
      </w: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14. §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Felülvizsgálat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F0BF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ZAK legalább háromévente felülvizsgálja ezt az alapokmányt, különös tekintettel a következőkre:</w:t>
      </w:r>
      <w:r>
        <w:rPr>
          <w:sz w:val="22"/>
          <w:rFonts w:ascii="Calibri" w:hAnsi="Calibri"/>
        </w:rPr>
        <w:tab/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az alapokmány gyakorlati alkalmazása során szerzett tapasztalatok;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műszaki és gazdasági fejlődés a szabályozás területén;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az egyes médiaközvetítők jelentősége a közvélemény kialakításában;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együttszabályozási fejlemények, mint például az egész iparágra kiterjedő kötelezettségvállalások;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az átláthatóságra és a megkülönböztetésre vonatkozó kutatás fejlesztése;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a kutatás és a tudomány fejlesztése az adatelemzés, a mesterséges intelligencia és a gépi tanulás területén.</w:t>
      </w: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15. §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Hatálybalépés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8C60A0" w:rsidRPr="008C60A0" w:rsidRDefault="006E5D47" w:rsidP="00DF0BF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Ez az alapokmány 2021. szeptember 1-én lép hatályba.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Ha a szövetségi állami médiahatóságok 2021. augusztus 31-ig nem léptetik életbe és nem teszik közzé a vonatkozó alapokmányokat, ez az alapokmány elavulttá válik.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A Szövetségi Állami Médiahatóságok Igazgatói Értekezletének (DLM) elnöke a „die Medienanstalten” ernyőnév alatt közzéteszi az interneten, hogy az összes szövetségi állami médiahatóság a 2. mondatban meghatározott határidőn belül elfogadta-e és közzétette-e a vonatkozó alapokmányt.</w:t>
      </w:r>
      <w:r w:rsidR="00CF50DB">
        <w:rPr>
          <w:rStyle w:val="Funotenzeichen"/>
          <w:rFonts w:asciiTheme="minorHAnsi" w:eastAsia="Calibri" w:hAnsiTheme="minorHAnsi" w:cstheme="minorHAnsi"/>
          <w:sz w:val="22"/>
          <w:szCs w:val="22"/>
          <w:lang w:eastAsia="en-US"/>
        </w:rPr>
        <w:footnoteReference w:id="1"/>
      </w:r>
    </w:p>
    <w:sectPr w:rsidR="008C60A0" w:rsidRPr="008C60A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DB6" w:rsidRDefault="00F32DB6" w:rsidP="00986629">
      <w:r>
        <w:separator/>
      </w:r>
    </w:p>
  </w:endnote>
  <w:endnote w:type="continuationSeparator" w:id="0">
    <w:p w:rsidR="00F32DB6" w:rsidRDefault="00F32DB6" w:rsidP="0098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344168373"/>
      <w:docPartObj>
        <w:docPartGallery w:val="Page Numbers (Bottom of Page)"/>
        <w:docPartUnique/>
      </w:docPartObj>
    </w:sdtPr>
    <w:sdtEndPr/>
    <w:sdtContent>
      <w:p w:rsidR="00C41351" w:rsidRPr="00C41351" w:rsidRDefault="00C41351">
        <w:pPr>
          <w:pStyle w:val="Fuzeile"/>
          <w:jc w:val="center"/>
          <w:rPr>
            <w:sz w:val="22"/>
            <w:szCs w:val="22"/>
            <w:rFonts w:asciiTheme="minorHAnsi" w:hAnsiTheme="minorHAnsi" w:cstheme="minorHAnsi"/>
          </w:rPr>
        </w:pPr>
        <w:r w:rsidRPr="00C41351">
          <w:rPr>
            <w:sz w:val="22"/>
            <w:rFonts w:asciiTheme="minorHAnsi" w:hAnsiTheme="minorHAnsi" w:cstheme="minorHAnsi"/>
          </w:rPr>
          <w:fldChar w:fldCharType="begin"/>
        </w:r>
        <w:r w:rsidRPr="00C41351">
          <w:rPr>
            <w:sz w:val="22"/>
            <w:rFonts w:asciiTheme="minorHAnsi" w:hAnsiTheme="minorHAnsi" w:cstheme="minorHAnsi"/>
          </w:rPr>
          <w:instrText>PAGE   \* MERGEFORMAT</w:instrText>
        </w:r>
        <w:r w:rsidRPr="00C41351">
          <w:rPr>
            <w:sz w:val="22"/>
            <w:rFonts w:asciiTheme="minorHAnsi" w:hAnsiTheme="minorHAnsi" w:cstheme="minorHAnsi"/>
          </w:rPr>
          <w:fldChar w:fldCharType="separate"/>
        </w:r>
        <w:r w:rsidR="00673759">
          <w:rPr>
            <w:sz w:val="22"/>
            <w:rFonts w:asciiTheme="minorHAnsi" w:hAnsiTheme="minorHAnsi" w:cstheme="minorHAnsi"/>
          </w:rPr>
          <w:t>8</w:t>
        </w:r>
        <w:r w:rsidRPr="00C41351">
          <w:rPr>
            <w:sz w:val="22"/>
            <w:rFonts w:asciiTheme="minorHAnsi" w:hAnsiTheme="minorHAnsi" w:cstheme="minorHAnsi"/>
          </w:rPr>
          <w:fldChar w:fldCharType="end"/>
        </w:r>
      </w:p>
    </w:sdtContent>
  </w:sdt>
  <w:p w:rsidR="00793947" w:rsidRDefault="007939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DB6" w:rsidRDefault="00F32DB6" w:rsidP="00986629">
      <w:r>
        <w:separator/>
      </w:r>
    </w:p>
  </w:footnote>
  <w:footnote w:type="continuationSeparator" w:id="0">
    <w:p w:rsidR="00F32DB6" w:rsidRDefault="00F32DB6" w:rsidP="00986629">
      <w:r>
        <w:continuationSeparator/>
      </w:r>
    </w:p>
  </w:footnote>
  <w:footnote w:id="1">
    <w:p w:rsidR="00CF50DB" w:rsidRDefault="00CF50DB" w:rsidP="00CF50DB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Theme="minorHAnsi" w:hAnsiTheme="minorHAnsi"/>
        </w:rPr>
        <w:t xml:space="preserve">E dokumentum a műszaki szabályokkal és az információs társadalom szolgáltatásaira vonatkozó szabályokkal kapcsolatos információszolgáltatási eljárás megállapításáról szóló, 2015. szeptember 9-i (EU) 2015/1535 európai parlamenti és tanácsi irányelvben (HL L 241., 2015.9.17., 1. o.) foglaltak szerint bejelentés tárgyát képezte.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629" w:rsidRPr="00986629" w:rsidRDefault="00986629">
    <w:pPr>
      <w:pStyle w:val="Kopfzeile"/>
      <w:rPr>
        <w:sz w:val="16"/>
      </w:rPr>
    </w:pPr>
    <w:r>
      <w:rPr>
        <w:sz w:val="20"/>
      </w:rPr>
      <w:br/>
    </w:r>
    <w: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4425950</wp:posOffset>
          </wp:positionH>
          <wp:positionV relativeFrom="page">
            <wp:posOffset>400685</wp:posOffset>
          </wp:positionV>
          <wp:extent cx="2172970" cy="510540"/>
          <wp:effectExtent l="0" t="0" r="0" b="3810"/>
          <wp:wrapNone/>
          <wp:docPr id="2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br/>
    </w:r>
    <w:r>
      <w:rPr>
        <w:sz w:val="20"/>
      </w:rPr>
      <w:br/>
    </w:r>
  </w:p>
  <w:p w:rsidR="00986629" w:rsidRDefault="009866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E2F"/>
    <w:multiLevelType w:val="hybridMultilevel"/>
    <w:tmpl w:val="18DABDC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051896"/>
    <w:multiLevelType w:val="hybridMultilevel"/>
    <w:tmpl w:val="EFC056D6"/>
    <w:lvl w:ilvl="0" w:tplc="683A0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84E44"/>
    <w:multiLevelType w:val="hybridMultilevel"/>
    <w:tmpl w:val="90D252CA"/>
    <w:lvl w:ilvl="0" w:tplc="232480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BE0"/>
    <w:multiLevelType w:val="hybridMultilevel"/>
    <w:tmpl w:val="985221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CFB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5509B"/>
    <w:multiLevelType w:val="hybridMultilevel"/>
    <w:tmpl w:val="51242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09E5"/>
    <w:multiLevelType w:val="hybridMultilevel"/>
    <w:tmpl w:val="20A49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E209C"/>
    <w:multiLevelType w:val="hybridMultilevel"/>
    <w:tmpl w:val="26E44CA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F459E"/>
    <w:multiLevelType w:val="hybridMultilevel"/>
    <w:tmpl w:val="D2EC5AA2"/>
    <w:lvl w:ilvl="0" w:tplc="18A608C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7088F"/>
    <w:multiLevelType w:val="hybridMultilevel"/>
    <w:tmpl w:val="5A586D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627A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4295E"/>
    <w:multiLevelType w:val="hybridMultilevel"/>
    <w:tmpl w:val="5F7A48D2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ED5ED2"/>
    <w:multiLevelType w:val="hybridMultilevel"/>
    <w:tmpl w:val="102A79D4"/>
    <w:lvl w:ilvl="0" w:tplc="533E0752">
      <w:start w:val="4"/>
      <w:numFmt w:val="bullet"/>
      <w:lvlText w:val="•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107676"/>
    <w:multiLevelType w:val="hybridMultilevel"/>
    <w:tmpl w:val="A37424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21BB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023A2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F55E0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11B0F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4431"/>
    <w:multiLevelType w:val="hybridMultilevel"/>
    <w:tmpl w:val="2EBEBD2A"/>
    <w:lvl w:ilvl="0" w:tplc="71568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B1BCD"/>
    <w:multiLevelType w:val="hybridMultilevel"/>
    <w:tmpl w:val="AE6A8532"/>
    <w:lvl w:ilvl="0" w:tplc="2DF453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71A26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A1800"/>
    <w:multiLevelType w:val="hybridMultilevel"/>
    <w:tmpl w:val="FA22ABB6"/>
    <w:lvl w:ilvl="0" w:tplc="0407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C61D4"/>
    <w:multiLevelType w:val="hybridMultilevel"/>
    <w:tmpl w:val="578E6428"/>
    <w:lvl w:ilvl="0" w:tplc="1E38CA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DCA13AA"/>
    <w:multiLevelType w:val="hybridMultilevel"/>
    <w:tmpl w:val="079668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B7322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43BE5"/>
    <w:multiLevelType w:val="hybridMultilevel"/>
    <w:tmpl w:val="0E88EBC8"/>
    <w:lvl w:ilvl="0" w:tplc="274A954C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685FB1"/>
    <w:multiLevelType w:val="hybridMultilevel"/>
    <w:tmpl w:val="F01601A0"/>
    <w:lvl w:ilvl="0" w:tplc="24ECC6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4070C1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F0F6C"/>
    <w:multiLevelType w:val="hybridMultilevel"/>
    <w:tmpl w:val="5356724C"/>
    <w:lvl w:ilvl="0" w:tplc="2D9C35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B679E"/>
    <w:multiLevelType w:val="hybridMultilevel"/>
    <w:tmpl w:val="18E8C4F4"/>
    <w:lvl w:ilvl="0" w:tplc="ABD6BE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310F1"/>
    <w:multiLevelType w:val="hybridMultilevel"/>
    <w:tmpl w:val="49C8E2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256E5"/>
    <w:multiLevelType w:val="hybridMultilevel"/>
    <w:tmpl w:val="9C448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F2FD9"/>
    <w:multiLevelType w:val="hybridMultilevel"/>
    <w:tmpl w:val="BC302260"/>
    <w:lvl w:ilvl="0" w:tplc="B422F4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01D5B"/>
    <w:multiLevelType w:val="hybridMultilevel"/>
    <w:tmpl w:val="37307526"/>
    <w:lvl w:ilvl="0" w:tplc="951E0C1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15989"/>
    <w:multiLevelType w:val="hybridMultilevel"/>
    <w:tmpl w:val="C7B61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07B0"/>
    <w:multiLevelType w:val="hybridMultilevel"/>
    <w:tmpl w:val="D9DA2D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72854"/>
    <w:multiLevelType w:val="hybridMultilevel"/>
    <w:tmpl w:val="230E27C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B94F96"/>
    <w:multiLevelType w:val="hybridMultilevel"/>
    <w:tmpl w:val="7F9018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C0987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45114"/>
    <w:multiLevelType w:val="hybridMultilevel"/>
    <w:tmpl w:val="4FACE3C8"/>
    <w:lvl w:ilvl="0" w:tplc="9FF4C7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8053D"/>
    <w:multiLevelType w:val="hybridMultilevel"/>
    <w:tmpl w:val="712C2D8E"/>
    <w:lvl w:ilvl="0" w:tplc="90C0BA8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FB5C93"/>
    <w:multiLevelType w:val="hybridMultilevel"/>
    <w:tmpl w:val="664E4A22"/>
    <w:lvl w:ilvl="0" w:tplc="0D56F5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22"/>
  </w:num>
  <w:num w:numId="9">
    <w:abstractNumId w:val="31"/>
  </w:num>
  <w:num w:numId="10">
    <w:abstractNumId w:val="12"/>
  </w:num>
  <w:num w:numId="11">
    <w:abstractNumId w:val="4"/>
  </w:num>
  <w:num w:numId="12">
    <w:abstractNumId w:val="34"/>
  </w:num>
  <w:num w:numId="13">
    <w:abstractNumId w:val="23"/>
  </w:num>
  <w:num w:numId="14">
    <w:abstractNumId w:val="37"/>
  </w:num>
  <w:num w:numId="15">
    <w:abstractNumId w:val="5"/>
  </w:num>
  <w:num w:numId="16">
    <w:abstractNumId w:val="30"/>
  </w:num>
  <w:num w:numId="17">
    <w:abstractNumId w:val="36"/>
  </w:num>
  <w:num w:numId="18">
    <w:abstractNumId w:val="28"/>
  </w:num>
  <w:num w:numId="19">
    <w:abstractNumId w:val="35"/>
  </w:num>
  <w:num w:numId="20">
    <w:abstractNumId w:val="7"/>
  </w:num>
  <w:num w:numId="21">
    <w:abstractNumId w:val="18"/>
  </w:num>
  <w:num w:numId="22">
    <w:abstractNumId w:val="19"/>
  </w:num>
  <w:num w:numId="23">
    <w:abstractNumId w:val="21"/>
  </w:num>
  <w:num w:numId="24">
    <w:abstractNumId w:val="8"/>
  </w:num>
  <w:num w:numId="25">
    <w:abstractNumId w:val="25"/>
  </w:num>
  <w:num w:numId="26">
    <w:abstractNumId w:val="41"/>
  </w:num>
  <w:num w:numId="27">
    <w:abstractNumId w:val="40"/>
  </w:num>
  <w:num w:numId="28">
    <w:abstractNumId w:val="26"/>
  </w:num>
  <w:num w:numId="29">
    <w:abstractNumId w:val="39"/>
  </w:num>
  <w:num w:numId="30">
    <w:abstractNumId w:val="29"/>
  </w:num>
  <w:num w:numId="31">
    <w:abstractNumId w:val="32"/>
  </w:num>
  <w:num w:numId="32">
    <w:abstractNumId w:val="33"/>
  </w:num>
  <w:num w:numId="33">
    <w:abstractNumId w:val="2"/>
  </w:num>
  <w:num w:numId="34">
    <w:abstractNumId w:val="16"/>
  </w:num>
  <w:num w:numId="35">
    <w:abstractNumId w:val="20"/>
  </w:num>
  <w:num w:numId="36">
    <w:abstractNumId w:val="38"/>
  </w:num>
  <w:num w:numId="37">
    <w:abstractNumId w:val="24"/>
  </w:num>
  <w:num w:numId="38">
    <w:abstractNumId w:val="14"/>
  </w:num>
  <w:num w:numId="39">
    <w:abstractNumId w:val="27"/>
  </w:num>
  <w:num w:numId="40">
    <w:abstractNumId w:val="17"/>
  </w:num>
  <w:num w:numId="41">
    <w:abstractNumId w:val="1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25"/>
    <w:rsid w:val="000045F8"/>
    <w:rsid w:val="00011024"/>
    <w:rsid w:val="000C657E"/>
    <w:rsid w:val="00133120"/>
    <w:rsid w:val="001333BE"/>
    <w:rsid w:val="001607B9"/>
    <w:rsid w:val="001D1CDD"/>
    <w:rsid w:val="001D2E17"/>
    <w:rsid w:val="00202046"/>
    <w:rsid w:val="00251322"/>
    <w:rsid w:val="002644D4"/>
    <w:rsid w:val="00281091"/>
    <w:rsid w:val="002A4057"/>
    <w:rsid w:val="002A4368"/>
    <w:rsid w:val="002C21BC"/>
    <w:rsid w:val="003564B3"/>
    <w:rsid w:val="003C28A6"/>
    <w:rsid w:val="003D2EE7"/>
    <w:rsid w:val="003E6BAD"/>
    <w:rsid w:val="004303CE"/>
    <w:rsid w:val="0045797A"/>
    <w:rsid w:val="004F1AEC"/>
    <w:rsid w:val="00511D74"/>
    <w:rsid w:val="00521970"/>
    <w:rsid w:val="00575BA9"/>
    <w:rsid w:val="005C3C1E"/>
    <w:rsid w:val="005D5943"/>
    <w:rsid w:val="00650B4F"/>
    <w:rsid w:val="00673759"/>
    <w:rsid w:val="00691044"/>
    <w:rsid w:val="006E5D47"/>
    <w:rsid w:val="00702C72"/>
    <w:rsid w:val="007417F7"/>
    <w:rsid w:val="00793947"/>
    <w:rsid w:val="007D4A2A"/>
    <w:rsid w:val="00816EE9"/>
    <w:rsid w:val="00817E45"/>
    <w:rsid w:val="0083446E"/>
    <w:rsid w:val="00862E68"/>
    <w:rsid w:val="0089595F"/>
    <w:rsid w:val="008C60A0"/>
    <w:rsid w:val="008F77BA"/>
    <w:rsid w:val="009217BC"/>
    <w:rsid w:val="00986629"/>
    <w:rsid w:val="009C24A4"/>
    <w:rsid w:val="00AD10EE"/>
    <w:rsid w:val="00AE0EB4"/>
    <w:rsid w:val="00AE3223"/>
    <w:rsid w:val="00AF7A0C"/>
    <w:rsid w:val="00B126BF"/>
    <w:rsid w:val="00B21DD1"/>
    <w:rsid w:val="00B25AAD"/>
    <w:rsid w:val="00B50565"/>
    <w:rsid w:val="00B82C25"/>
    <w:rsid w:val="00B93BDE"/>
    <w:rsid w:val="00BA4949"/>
    <w:rsid w:val="00C41351"/>
    <w:rsid w:val="00C65B4D"/>
    <w:rsid w:val="00C902B9"/>
    <w:rsid w:val="00C90B7C"/>
    <w:rsid w:val="00CF50DB"/>
    <w:rsid w:val="00D234F3"/>
    <w:rsid w:val="00D622FF"/>
    <w:rsid w:val="00D87095"/>
    <w:rsid w:val="00DC1A2C"/>
    <w:rsid w:val="00DD3710"/>
    <w:rsid w:val="00DF0BF7"/>
    <w:rsid w:val="00E14290"/>
    <w:rsid w:val="00E52E94"/>
    <w:rsid w:val="00EF480D"/>
    <w:rsid w:val="00F32DB6"/>
    <w:rsid w:val="00F33CAE"/>
    <w:rsid w:val="00F40F94"/>
    <w:rsid w:val="00F65A92"/>
    <w:rsid w:val="00FA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877444-1310-4159-A6DA-9FFF7C70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Calibri" w:hAnsi="Calibri"/>
      <w:color w:val="000000"/>
      <w:sz w:val="24"/>
    </w:rPr>
  </w:style>
  <w:style w:type="paragraph" w:styleId="Textkrper">
    <w:name w:val="Body Text"/>
    <w:basedOn w:val="Standard"/>
    <w:rPr>
      <w:rFonts w:ascii="Arial" w:hAnsi="Arial"/>
      <w:sz w:val="21"/>
    </w:rPr>
  </w:style>
  <w:style w:type="character" w:customStyle="1" w:styleId="KommentartextZchn">
    <w:name w:val="Kommentartext Zchn"/>
    <w:link w:val="Kommentartext"/>
    <w:locked/>
    <w:rPr>
      <w:lang w:val="hu-HU" w:eastAsia="de-DE" w:bidi="ar-SA"/>
    </w:rPr>
  </w:style>
  <w:style w:type="paragraph" w:styleId="Kopfzeile">
    <w:name w:val="header"/>
    <w:basedOn w:val="Standard"/>
    <w:link w:val="KopfzeileZchn"/>
    <w:rsid w:val="00986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8662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86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6629"/>
    <w:rPr>
      <w:sz w:val="24"/>
      <w:szCs w:val="24"/>
    </w:rPr>
  </w:style>
  <w:style w:type="paragraph" w:customStyle="1" w:styleId="GGSZ">
    <w:name w:val="GGS ZÜ"/>
    <w:basedOn w:val="Standard"/>
    <w:link w:val="GGSZZchn"/>
    <w:uiPriority w:val="4"/>
    <w:qFormat/>
    <w:rsid w:val="005D5943"/>
    <w:pPr>
      <w:spacing w:before="120"/>
    </w:pPr>
    <w:rPr>
      <w:rFonts w:asciiTheme="minorHAnsi" w:hAnsiTheme="minorHAnsi"/>
      <w:b/>
      <w:sz w:val="22"/>
    </w:rPr>
  </w:style>
  <w:style w:type="character" w:customStyle="1" w:styleId="GGSZZchn">
    <w:name w:val="GGS ZÜ Zchn"/>
    <w:basedOn w:val="Absatz-Standardschriftart"/>
    <w:link w:val="GGSZ"/>
    <w:uiPriority w:val="4"/>
    <w:rsid w:val="005D5943"/>
    <w:rPr>
      <w:rFonts w:asciiTheme="minorHAnsi" w:hAnsiTheme="minorHAnsi"/>
      <w:b/>
      <w:sz w:val="22"/>
      <w:szCs w:val="24"/>
    </w:rPr>
  </w:style>
  <w:style w:type="paragraph" w:styleId="Listenabsatz">
    <w:name w:val="List Paragraph"/>
    <w:basedOn w:val="Standard"/>
    <w:uiPriority w:val="34"/>
    <w:qFormat/>
    <w:rsid w:val="00650B4F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CF50D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F50DB"/>
  </w:style>
  <w:style w:type="character" w:styleId="Funotenzeichen">
    <w:name w:val="footnote reference"/>
    <w:basedOn w:val="Absatz-Standardschriftart"/>
    <w:rsid w:val="00CF50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0007-F058-44F5-87D7-C0DBC8FA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2426</Words>
  <Characters>15768</Characters>
  <Application>Microsoft Office Word</Application>
  <DocSecurity>4</DocSecurity>
  <Lines>131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Geschäfts- und Verfahrensordnung</vt:lpstr>
    </vt:vector>
  </TitlesOfParts>
  <Company>Bayer. Sozialgerichtsbarkeit</Company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Geschäfts- und Verfahrensordnung</dc:title>
  <dc:subject/>
  <dc:creator>Sigmar.Roll</dc:creator>
  <cp:keywords/>
  <cp:lastModifiedBy>Redmann, Petra, EC2</cp:lastModifiedBy>
  <cp:revision>2</cp:revision>
  <cp:lastPrinted>2014-01-13T11:15:00Z</cp:lastPrinted>
  <dcterms:created xsi:type="dcterms:W3CDTF">2021-03-16T11:15:00Z</dcterms:created>
  <dcterms:modified xsi:type="dcterms:W3CDTF">2021-03-16T11:15:00Z</dcterms:modified>
</cp:coreProperties>
</file>