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C753" w14:textId="77777777" w:rsidR="009F4B3F" w:rsidRPr="00377668" w:rsidRDefault="009F4B3F" w:rsidP="00406F2F">
      <w:pPr>
        <w:pStyle w:val="11Titel"/>
      </w:pPr>
      <w:r>
        <w:t xml:space="preserve">L-Ordinanza tal-Ministru Federali għall-Affarijiet Soċjali, is-Saħħa, il-Kura u l-Protezzjoni tal-Konsumatur dwar ir-rekwiżit li tiġi pprovduta informazzjoni dwar l-oriġini tal-laħam, il-ħalib u l-bajd tul il-katina tal-provvista tal-ikel </w:t>
      </w:r>
    </w:p>
    <w:p w14:paraId="4E728435" w14:textId="77777777" w:rsidR="009F4B3F" w:rsidRPr="00377668" w:rsidRDefault="009F4B3F" w:rsidP="00292EF1">
      <w:pPr>
        <w:pStyle w:val="12PromKlEinlSatz"/>
      </w:pPr>
      <w:r>
        <w:t>Bis-saħħa ta’ § 4(3) u § 6(1) u (2) tal-Att dwar is-Sikurezza Alimentari u l-Protezzjoni tal-Konsumatur – LMSVG, il-Gazzetta tal-Liġi Federali I Nru 13/2006, kif emendat l-aħħar mill-Att Federali ppromulgat fil-Gazzetta tal-Liġi Federali I Nru 104/2019, is-segwenti huwa b’dan ordnat bi qbil mal-Ministru Federali għall-Affarijiet Diġitali u Ekonomiċi:</w:t>
      </w:r>
    </w:p>
    <w:p w14:paraId="1A46C2EB" w14:textId="77777777" w:rsidR="009F4B3F" w:rsidRPr="00377668" w:rsidRDefault="00406F2F" w:rsidP="00292EF1">
      <w:pPr>
        <w:pStyle w:val="45UeberschrPara"/>
      </w:pPr>
      <w:r>
        <w:t>Objettiv</w:t>
      </w:r>
    </w:p>
    <w:p w14:paraId="27B066CC" w14:textId="77777777" w:rsidR="009F4B3F" w:rsidRPr="00377668" w:rsidRDefault="009F4B3F" w:rsidP="00430649">
      <w:pPr>
        <w:pStyle w:val="51Abs"/>
      </w:pPr>
      <w:r>
        <w:rPr>
          <w:rStyle w:val="991GldSymbol"/>
        </w:rPr>
        <w:t>§ 1.</w:t>
      </w:r>
      <w:r>
        <w:t xml:space="preserve"> L-objettiv ta’ din l-Ordinanza huwa r-rekċiżit li tiġi pprovduta informazzjoni dwar l-oriġini tal-laħam, tal-ħalib u tal-bajd tul il-katina tal-provvista tal-ikel.</w:t>
      </w:r>
    </w:p>
    <w:p w14:paraId="35646724" w14:textId="77777777" w:rsidR="003F0718" w:rsidRPr="00377668" w:rsidRDefault="003F0718" w:rsidP="00430649">
      <w:pPr>
        <w:pStyle w:val="45UeberschrPara"/>
      </w:pPr>
      <w:r>
        <w:t>Kamp ta’ applikazzjoni</w:t>
      </w:r>
    </w:p>
    <w:p w14:paraId="67D5B168" w14:textId="77777777" w:rsidR="009F4B3F" w:rsidRPr="00377668" w:rsidRDefault="009F4B3F" w:rsidP="003F0718">
      <w:pPr>
        <w:pStyle w:val="51Abs"/>
      </w:pPr>
      <w:r>
        <w:rPr>
          <w:rStyle w:val="991GldSymbol"/>
        </w:rPr>
        <w:t>§ 2.</w:t>
      </w:r>
      <w:r>
        <w:t xml:space="preserve"> Din l-Ordinanza għandha tapplika għal</w:t>
      </w:r>
    </w:p>
    <w:p w14:paraId="0C03E11D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biċċeriji u impjanti tat-tqattigħ,</w:t>
      </w:r>
    </w:p>
    <w:p w14:paraId="0BDFD275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impjanti tal-ħalib u</w:t>
      </w:r>
    </w:p>
    <w:p w14:paraId="24997978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impjanti tal-bajd lokali.</w:t>
      </w:r>
    </w:p>
    <w:p w14:paraId="2ED5B574" w14:textId="77777777" w:rsidR="009F4B3F" w:rsidRPr="00377668" w:rsidRDefault="00FA095C" w:rsidP="003F0718">
      <w:pPr>
        <w:pStyle w:val="51Abs"/>
      </w:pPr>
      <w:r>
        <w:t>li jipprovdu lin-negozji l-oħra tal-ikel bi prodotti tal-ikel mhux maħsuba għad-distribuzzjoni lill-konsumaturi finali.</w:t>
      </w:r>
    </w:p>
    <w:p w14:paraId="579EFA35" w14:textId="77777777" w:rsidR="009F4B3F" w:rsidRPr="00377668" w:rsidRDefault="009F4B3F" w:rsidP="00292EF1">
      <w:pPr>
        <w:pStyle w:val="45UeberschrPara"/>
      </w:pPr>
      <w:r>
        <w:t>Definizzjonijiet</w:t>
      </w:r>
    </w:p>
    <w:p w14:paraId="08F19FA5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Għall-finijiet ta’ din l-Ordinanza,</w:t>
      </w:r>
    </w:p>
    <w:p w14:paraId="38862EFF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“impjant tal-ħalib”: negozji tal-ikel li jipproduċu jew jipproċessaw il-ħalib jew il-prodotti tal-ħalib;</w:t>
      </w:r>
    </w:p>
    <w:p w14:paraId="0EC5AD01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“prodotti tal-ħalib”: ħalib tax-xorb, butir, krema qarsa, baqta, jogurt naturali, krema għat-tħabbit u ġobon artab;</w:t>
      </w:r>
    </w:p>
    <w:p w14:paraId="508AB3F6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“pjanti tal-bajd”: in-negozji tal-ikel li jipproduċu jew jipproċessaw il-bajd, il-bajd likwidu, l-isfar tal-bajd likwidu, l-abjad tal-bajd likwidu jew il-bajd niexef.</w:t>
      </w:r>
    </w:p>
    <w:p w14:paraId="7426D1D6" w14:textId="77777777" w:rsidR="009F4B3F" w:rsidRPr="00377668" w:rsidRDefault="009F4B3F" w:rsidP="000C31E5">
      <w:pPr>
        <w:pStyle w:val="45UeberschrPara"/>
      </w:pPr>
      <w:r>
        <w:t>Għoti ta’ informazzjoni</w:t>
      </w:r>
    </w:p>
    <w:p w14:paraId="104CE70C" w14:textId="77777777" w:rsidR="009F4B3F" w:rsidRPr="00377668" w:rsidRDefault="009F4B3F" w:rsidP="00292EF1">
      <w:pPr>
        <w:pStyle w:val="51Abs"/>
      </w:pPr>
      <w:r>
        <w:rPr>
          <w:rStyle w:val="991GldSymbol"/>
        </w:rPr>
        <w:t>§ 4.</w:t>
      </w:r>
      <w:r>
        <w:t xml:space="preserve"> (1) L-impjanti tal-biċċeriji u tat-tqattigħ lokali, fil-każ ta’ laħam tal-ħnieżer, tan-nagħaġ, tal-mogħoż u tat-tjur, għandhom jindikaw fid-dokumenti kummerċjali l-pajjiż tal-oriġini kif imsemmi fl-Artikolu 5 tar-Regolament ta’ Implimentazzjoni (UE) Nru 1337/2013 fir-rigward tal-indikazzjoni tal-pajjiż ta’ oriġini jew tal-post ta’ provenjenza għal laħam frisk, imkessaħ jew iffriżat tal-majjal, tan-nagħaġ, tal-mogħoż u tat-tjur, ĠU L 335, 14. 12. 2013, p. 19, kif ikkoreġut minn ĠU L 95, 29.3.2014, p. 70.</w:t>
      </w:r>
    </w:p>
    <w:p w14:paraId="714864D7" w14:textId="77777777" w:rsidR="009F4B3F" w:rsidRPr="00377668" w:rsidRDefault="009F4B3F" w:rsidP="00292EF1">
      <w:pPr>
        <w:pStyle w:val="51Abs"/>
      </w:pPr>
      <w:r>
        <w:t>(2) L-impjanti tal-ħalib għandhom, fil-każ ta’ ħalib u prodotti tal-ħalib kif definiti f’punt 2 ta’ § 3, jindikaw il-pajjiż ta’ oriġini (isem il-pajjiż li fih l-annimal ġie maħlub) fid-dokumenti kummerċjali.</w:t>
      </w:r>
    </w:p>
    <w:p w14:paraId="01516FC4" w14:textId="77777777" w:rsidR="009F4B3F" w:rsidRPr="00377668" w:rsidRDefault="009F4B3F" w:rsidP="00292EF1">
      <w:pPr>
        <w:pStyle w:val="51Abs"/>
      </w:pPr>
      <w:r>
        <w:t>(3) L-impjanti tal-bajd għandhom, fil-każ ta’ bajd, bajd likwidu, isfar tal-bajd likwidu, abjad tal-bajd likwidu u bajd niexef, jindikaw il-pajjiż tal-oriġini (isem il-pajjiż li fih inbiedet il-bajda) fid-dokumenti kummerċjali.</w:t>
      </w:r>
    </w:p>
    <w:p w14:paraId="2C3955CC" w14:textId="77777777" w:rsidR="009F4B3F" w:rsidRPr="00377668" w:rsidRDefault="00504F11" w:rsidP="00261365">
      <w:pPr>
        <w:pStyle w:val="51Abs"/>
      </w:pPr>
      <w:r>
        <w:t>(4) L-indikazzjoni tal-pajjiż tal-oriġini skont il-paragrafi (1) sa (3) għandha ssir skont l-Artikolu 2 tar-Regolament ta’ Implimentazzjoni (UE) 2018/775 li jistabbilixxi regoli għall-applikazzjoni tal-Artikolu 26(3) tar-Regolament (UE) Nru 1169/2011 dwar l-għoti ta’ informazzjoni dwar l-ikel lill-konsumaturi, fir-rigward tar-regoli biex jiġi indikat il-pajjiż tal-oriġini jew il-post ta’ provenjenza tal-ingredjent primarju tal-ikel, ĠU L 131, 29.5.2018, p. 8.</w:t>
      </w:r>
    </w:p>
    <w:p w14:paraId="2E9D314D" w14:textId="77777777" w:rsidR="009F4B3F" w:rsidRPr="00377668" w:rsidRDefault="00FC31C7" w:rsidP="00292EF1">
      <w:pPr>
        <w:pStyle w:val="45UeberschrPara"/>
      </w:pPr>
      <w:r>
        <w:t>Dokumentazzjoni</w:t>
      </w:r>
    </w:p>
    <w:p w14:paraId="5F79332C" w14:textId="77777777" w:rsidR="009F4B3F" w:rsidRPr="00377668" w:rsidRDefault="009F4B3F" w:rsidP="00292EF1">
      <w:pPr>
        <w:pStyle w:val="51Abs"/>
      </w:pPr>
      <w:r>
        <w:rPr>
          <w:rStyle w:val="991GldSymbol"/>
        </w:rPr>
        <w:t>§ 5.</w:t>
      </w:r>
      <w:r>
        <w:t xml:space="preserve"> (1) In-negozji tal-ikel imsemmija f’§ 2 għandu jkollhom dokumentazzjoni, sistemi jew proċeduri xierqa biex jagħtu prova tal-pajjiż tal-oriġini lill-awtorità kompetenti (gvernatur provinċjali f’konformità ma’ § 24 LMSVG).</w:t>
      </w:r>
    </w:p>
    <w:p w14:paraId="47ACF929" w14:textId="77777777" w:rsidR="008D3683" w:rsidRPr="00377668" w:rsidRDefault="008D3683" w:rsidP="008D3683">
      <w:pPr>
        <w:pStyle w:val="51Abs"/>
      </w:pPr>
      <w:r>
        <w:t>(2) Il-parteċipazzjoni f’sistemi ta’ oriġini rikonoxxuti legalment għandha titqies bħala prova skont il-paragrafu (1).</w:t>
      </w:r>
    </w:p>
    <w:p w14:paraId="51DF77B4" w14:textId="77777777" w:rsidR="009F4B3F" w:rsidRPr="00377668" w:rsidRDefault="009F4B3F" w:rsidP="00292EF1">
      <w:pPr>
        <w:pStyle w:val="45UeberschrPara"/>
      </w:pPr>
      <w:r>
        <w:t>Dħul fis-seħħ</w:t>
      </w:r>
    </w:p>
    <w:p w14:paraId="05001E1E" w14:textId="77777777" w:rsidR="009F4B3F" w:rsidRPr="00377668" w:rsidRDefault="009F4B3F" w:rsidP="00292EF1">
      <w:pPr>
        <w:pStyle w:val="51Abs"/>
      </w:pPr>
      <w:r>
        <w:rPr>
          <w:rStyle w:val="991GldSymbol"/>
        </w:rPr>
        <w:t>§ 6.</w:t>
      </w:r>
      <w:r>
        <w:t xml:space="preserve"> Din l-Ordinanza għandha tidħol fis-seħħ sitt xhur wara l-ewwel xahar wara l-promulgazzjoni tagħha fil-Gazzetta tal-Liġi Federali.</w:t>
      </w:r>
    </w:p>
    <w:p w14:paraId="709023B0" w14:textId="77777777" w:rsidR="00AF5F64" w:rsidRPr="00377668" w:rsidRDefault="00AF5F64" w:rsidP="00AF5F64">
      <w:pPr>
        <w:pStyle w:val="45UeberschrPara"/>
      </w:pPr>
      <w:r>
        <w:lastRenderedPageBreak/>
        <w:t>Dispożizzjonijiet finali</w:t>
      </w:r>
    </w:p>
    <w:p w14:paraId="64B5F904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Din l-Ordinanza ġiet innotifikata f’konformità mad-dispożizzjonijiet tad-Direttiva (UE) 2015/1535 li tistabbilixxi proċedura għall-għoti ta’ informazzjoni fil-qasam tar-regolamenti tekniċi, ĠU L 241, 17.9.2015, p.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33C5" w14:textId="77777777" w:rsidR="00402CD3" w:rsidRDefault="00402CD3" w:rsidP="00E60B7C">
      <w:r>
        <w:separator/>
      </w:r>
    </w:p>
    <w:p w14:paraId="1EA7FD1C" w14:textId="77777777" w:rsidR="00402CD3" w:rsidRDefault="00402CD3"/>
  </w:endnote>
  <w:endnote w:type="continuationSeparator" w:id="0">
    <w:p w14:paraId="51B29166" w14:textId="77777777" w:rsidR="00402CD3" w:rsidRDefault="00402CD3" w:rsidP="00E60B7C">
      <w:r>
        <w:continuationSeparator/>
      </w:r>
    </w:p>
    <w:p w14:paraId="4A80E912" w14:textId="77777777" w:rsidR="00402CD3" w:rsidRDefault="00402CD3"/>
  </w:endnote>
  <w:endnote w:type="continuationNotice" w:id="1">
    <w:p w14:paraId="3FB9D3F0" w14:textId="77777777" w:rsidR="00402CD3" w:rsidRDefault="00402CD3"/>
    <w:p w14:paraId="57047734" w14:textId="77777777" w:rsidR="00402CD3" w:rsidRDefault="00402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8EDD" w14:textId="77777777" w:rsidR="00865166" w:rsidRPr="00377668" w:rsidRDefault="00865166" w:rsidP="00E60B7C">
    <w:pPr>
      <w:pStyle w:val="Footer"/>
    </w:pPr>
  </w:p>
  <w:p w14:paraId="10E07AB9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A250" w14:textId="77777777" w:rsidR="00865166" w:rsidRPr="00377668" w:rsidRDefault="00865166" w:rsidP="00BB7740">
    <w:pPr>
      <w:pStyle w:val="63Fuzeile"/>
    </w:pPr>
  </w:p>
  <w:p w14:paraId="67C3DDB5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8048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5948" w14:textId="77777777" w:rsidR="00402CD3" w:rsidRDefault="00402CD3" w:rsidP="00E60B7C">
      <w:r>
        <w:separator/>
      </w:r>
    </w:p>
    <w:p w14:paraId="7CC5025C" w14:textId="77777777" w:rsidR="00402CD3" w:rsidRDefault="00402CD3"/>
  </w:footnote>
  <w:footnote w:type="continuationSeparator" w:id="0">
    <w:p w14:paraId="51F3047F" w14:textId="77777777" w:rsidR="00402CD3" w:rsidRDefault="00402CD3" w:rsidP="00E60B7C">
      <w:r>
        <w:continuationSeparator/>
      </w:r>
    </w:p>
    <w:p w14:paraId="730059CB" w14:textId="77777777" w:rsidR="00402CD3" w:rsidRDefault="00402CD3"/>
  </w:footnote>
  <w:footnote w:type="continuationNotice" w:id="1">
    <w:p w14:paraId="601EB8A9" w14:textId="77777777" w:rsidR="00402CD3" w:rsidRDefault="00402CD3"/>
    <w:p w14:paraId="159F13C6" w14:textId="77777777" w:rsidR="00402CD3" w:rsidRDefault="00402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E157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minn </w:t>
    </w:r>
    <w:r w:rsidR="00402CD3">
      <w:fldChar w:fldCharType="begin"/>
    </w:r>
    <w:r w:rsidR="00402CD3">
      <w:instrText xml:space="preserve"> NUMPAGES  \* Arabic  \* MERGEFORMAT </w:instrText>
    </w:r>
    <w:r w:rsidR="00402CD3">
      <w:fldChar w:fldCharType="separate"/>
    </w:r>
    <w:r w:rsidR="00ED4A2E" w:rsidRPr="00377668">
      <w:t>2</w:t>
    </w:r>
    <w:r w:rsidR="00402CD3">
      <w:fldChar w:fldCharType="end"/>
    </w:r>
  </w:p>
  <w:p w14:paraId="75678505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4C66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minn </w:t>
    </w:r>
    <w:r w:rsidR="00402CD3">
      <w:fldChar w:fldCharType="begin"/>
    </w:r>
    <w:r w:rsidR="00402CD3">
      <w:instrText xml:space="preserve"> NUMPAGES  \* Arabic  \* MERGEFORMAT </w:instrText>
    </w:r>
    <w:r w:rsidR="00402CD3">
      <w:fldChar w:fldCharType="separate"/>
    </w:r>
    <w:r w:rsidR="00AD248D">
      <w:rPr>
        <w:noProof/>
      </w:rPr>
      <w:t>2</w:t>
    </w:r>
    <w:r w:rsidR="00402CD3">
      <w:rPr>
        <w:noProof/>
      </w:rPr>
      <w:fldChar w:fldCharType="end"/>
    </w:r>
  </w:p>
  <w:p w14:paraId="7567C39C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37BB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minn</w:t>
    </w:r>
  </w:p>
  <w:p w14:paraId="0422EB43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CD3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D7469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0E2F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6791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t-M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7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551</Words>
  <Characters>3153</Characters>
  <Application>Microsoft Office Word</Application>
  <DocSecurity>0</DocSecurity>
  <Lines>56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2022-04-04T13:21:00Z</dcterms:created>
  <dcterms:modified xsi:type="dcterms:W3CDTF">2022-04-04T13:21:00Z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