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EA89" w14:textId="77777777" w:rsidR="002A3E9F" w:rsidRPr="002A3E9F" w:rsidRDefault="002A3E9F" w:rsidP="002A3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 2022-539. sz. rendelet (2022. április 13.) a szén-dioxid-kiegyenlítésről és a szén-dioxid-semlegességre vonatkozó állításokról a reklámokban</w:t>
      </w:r>
    </w:p>
    <w:p w14:paraId="781A5BAA" w14:textId="77777777" w:rsidR="002A3E9F" w:rsidRPr="002A3E9F" w:rsidRDefault="002A3E9F" w:rsidP="002A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TRER2209794D</w:t>
      </w:r>
      <w:r>
        <w:rPr>
          <w:rFonts w:ascii="Times New Roman" w:hAnsi="Times New Roman"/>
          <w:sz w:val="24"/>
        </w:rPr>
        <w:br/>
        <w:t>ELI: https://www.legifrance.gouv.fr/eli/decret/2022/4/13/TRER2209794D/jo/texte</w:t>
      </w:r>
      <w:r>
        <w:rPr>
          <w:rFonts w:ascii="Times New Roman" w:hAnsi="Times New Roman"/>
          <w:sz w:val="24"/>
        </w:rPr>
        <w:br/>
        <w:t>Alias: https://www.legifrance.gouv.fr/eli/decret/2022/4/13/2022-539/jo/texte</w:t>
      </w:r>
      <w:r>
        <w:rPr>
          <w:rFonts w:ascii="Times New Roman" w:hAnsi="Times New Roman"/>
          <w:sz w:val="24"/>
        </w:rPr>
        <w:br/>
        <w:t>JORF No 0088, 2022. április 14.</w:t>
      </w:r>
      <w:r>
        <w:rPr>
          <w:rFonts w:ascii="Times New Roman" w:hAnsi="Times New Roman"/>
          <w:sz w:val="24"/>
        </w:rPr>
        <w:br/>
        <w:t>17. sz. szöveg</w:t>
      </w:r>
    </w:p>
    <w:p w14:paraId="263B770E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Célközönség: hirdetők. </w:t>
      </w:r>
      <w:r>
        <w:rPr>
          <w:rFonts w:ascii="Times New Roman" w:hAnsi="Times New Roman"/>
          <w:sz w:val="24"/>
        </w:rPr>
        <w:br/>
        <w:t xml:space="preserve">Tárgy: az éghajlatváltozás elleni küzdelemről és a hatásoknak való ellenálló képesség erősítéséről szóló, 2021. augusztus 22-i, 2021-1104. sz. törvény 12. cikkében előírt, a termékek és szolgáltatások karbonsemlegességére vonatkozó, a hirdetők által történő kommunikáció részletes szabályai. </w:t>
      </w:r>
      <w:r>
        <w:rPr>
          <w:rFonts w:ascii="Times New Roman" w:hAnsi="Times New Roman"/>
          <w:sz w:val="24"/>
        </w:rPr>
        <w:br/>
        <w:t xml:space="preserve">Hatálybalépés: a szöveg 2023. január 1-jén lép hatályba. </w:t>
      </w:r>
      <w:r>
        <w:rPr>
          <w:rFonts w:ascii="Times New Roman" w:hAnsi="Times New Roman"/>
          <w:sz w:val="24"/>
        </w:rPr>
        <w:br/>
        <w:t xml:space="preserve">Megyjegyzés: a Rendelet meghatározza a hirdetők által a termékeik vagy szolgáltatásaik karbonsemlegességéről szóló kommunikáció részletes szabályait. Az átláthatóság biztosítása érdekében a nyilvánosság felé, valamint a zöldre festés kockázatának megelőzése érdekében a rendelet az állításokkal szemben ellenkövetelésekről is rendelkezik. A szöveg hatályba lépését követően sugárzott valamennyi hirdetésre vonatkozik. </w:t>
      </w:r>
      <w:r>
        <w:rPr>
          <w:rFonts w:ascii="Times New Roman" w:hAnsi="Times New Roman"/>
          <w:sz w:val="24"/>
        </w:rPr>
        <w:br/>
        <w:t xml:space="preserve">Hivatkozások: a Rendelettel módosított környezetvédelmi törvénykönyv a módosításból eredő szövegezésében a Légifrance honlapján (https://www.legifrance.gouv.fr) olvasható. </w:t>
      </w:r>
    </w:p>
    <w:p w14:paraId="525315F2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Miniszterelnök,</w:t>
      </w:r>
      <w:r>
        <w:rPr>
          <w:rFonts w:ascii="Times New Roman" w:hAnsi="Times New Roman"/>
          <w:sz w:val="24"/>
        </w:rPr>
        <w:br/>
        <w:t>az ökológiai átállásért felelős miniszter jelentése alapján,</w:t>
      </w:r>
      <w:r>
        <w:rPr>
          <w:rFonts w:ascii="Times New Roman" w:hAnsi="Times New Roman"/>
          <w:sz w:val="24"/>
        </w:rPr>
        <w:br/>
        <w:t>tekintettel a műszaki szabályokkal és az információs társadalom szolgáltatásaira vonatkozó szabályokkal kapcsolatos információ-szolgáltatási eljárás megállapításáról szóló 2015. szeptember 9-i (EU) 2015/1535. számú európai parlamenti és tanácsi irányelvre (kodifikált szöveg) és különösen a 2021/904/F számú értesítésre;</w:t>
      </w:r>
      <w:r>
        <w:rPr>
          <w:rFonts w:ascii="Times New Roman" w:hAnsi="Times New Roman"/>
          <w:sz w:val="24"/>
        </w:rPr>
        <w:br/>
        <w:t>tekintettel a környezetvédelmi törvénykönyvre;</w:t>
      </w:r>
      <w:r>
        <w:rPr>
          <w:rFonts w:ascii="Times New Roman" w:hAnsi="Times New Roman"/>
          <w:sz w:val="24"/>
        </w:rPr>
        <w:br/>
        <w:t>tekintettel az éghajlatváltozás elleni küzdelemről és a hatásaival szembeni ellenálló képesség megerősítéséről szóló, 2021. augusztus 22-i 2021–1104. sz. törvényre és különösen annak 12. és 147. cikkére,</w:t>
      </w:r>
      <w:r>
        <w:rPr>
          <w:rFonts w:ascii="Times New Roman" w:hAnsi="Times New Roman"/>
          <w:sz w:val="24"/>
        </w:rPr>
        <w:br/>
        <w:t>tekintettel az egyes közigazgatási határozatoknak az ökológiai és szolidaritási átmenetért, a területi kohézióért, valamint a helyi és regionális önkormányzatokkal fenntartott kapcsolatokért felelős miniszterekhez történő dekoncentrációjáról szóló, 1997. január 15-i 97–34. sz. rendelet 2. cikke első bekezdésének végrehajtásáról szóló, 1997. december 19-i 97–1198. sz. rendeletre;</w:t>
      </w:r>
      <w:r>
        <w:rPr>
          <w:rFonts w:ascii="Times New Roman" w:hAnsi="Times New Roman"/>
          <w:sz w:val="24"/>
        </w:rPr>
        <w:br/>
        <w:t>tekintettel a nemzeti szén-dioxid-költségvetésekről és az alacsony szén-dioxid-kibocsátással kapcsolatos nemzeti stratégiáról szóló, 2020. április 21-i 2020–457. sz. rendeletre;</w:t>
      </w:r>
      <w:r>
        <w:rPr>
          <w:rFonts w:ascii="Times New Roman" w:hAnsi="Times New Roman"/>
          <w:sz w:val="24"/>
        </w:rPr>
        <w:br/>
        <w:t>tekintettel a környezetvédelmi törvénykönyv L. 123-19-1. cikke alapján a 2022. január 20. és 2022. február 10. között lefolytatott nyilvános konzultáció során tett észrevételekre;</w:t>
      </w:r>
      <w:r>
        <w:rPr>
          <w:rFonts w:ascii="Times New Roman" w:hAnsi="Times New Roman"/>
          <w:sz w:val="24"/>
        </w:rPr>
        <w:br/>
        <w:t>az alábbiakat rendeli el:</w:t>
      </w:r>
    </w:p>
    <w:p w14:paraId="587DD827" w14:textId="77777777" w:rsidR="002A3E9F" w:rsidRPr="002A3E9F" w:rsidRDefault="002A3E9F" w:rsidP="009A3DDA">
      <w:pPr>
        <w:keepNext/>
        <w:spacing w:before="100" w:beforeAutospacing="1" w:after="100" w:afterAutospacing="1" w:line="240" w:lineRule="auto"/>
        <w:ind w:left="44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1. cikk</w:t>
      </w:r>
    </w:p>
    <w:p w14:paraId="6EDA37F1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környezetvédelmi törvénykönyv II. könyve II. címének IX. fejezetét a következő 9. szakasz egészíti ki:</w:t>
      </w:r>
    </w:p>
    <w:p w14:paraId="44A10858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„9. §</w:t>
      </w:r>
    </w:p>
    <w:p w14:paraId="70C9F21B" w14:textId="0EBB3684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„Környezetre vonatkozó kijelentések” D. 229-106. cikk - Az a hirdető, aki reklámjában azt állítja, hogy egy termék vagy szolgáltatás „szén-dioxid-semleges”, „szén-dioxid-mentes”, „nulla szén-dioxid-kibocsátású”, „klímasemleges”, „teljes mértékben ellentételezett”, „100 %-ban ellentételezett”, vagy bármely hasonló jelentésű vagy hatályú megfogalmazást használ, köteles betartani e szakasz rendelkezéseit.</w:t>
      </w: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Ez a szakasz a reklámlevelekre és a nyomtatott reklámanyagokra, a reklámplakátokra, a sajtótermékekben megjelenő reklámokra, a moziban megjelenő reklámokra, a televíziós vagy rádiós műsorszóró szolgálatok által és az online kommunikációs szolgáltatások útján sugárzott reklámokra, valamint a termék csomagolásán szereplő állításokra vonatkozik.</w:t>
      </w:r>
    </w:p>
    <w:p w14:paraId="0E59E35B" w14:textId="09E5363C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D. 229-107. cikk - A D. 229-106. cikkben említett hirdetőnek az érintett termék vagy szolgáltatás teljes életciklusára vonatkozóan üvegházhatásúgáz-kibocsátási mérleget kell készítenie. Ezt a mérleget évente frissíteni kell.</w:t>
      </w: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Ezt a mérleget az NF EN ISO 14067 szabvány vagy bármely más, az említett szabvány követelményeivel egyenértékű szabvány követelményeinek megfelelően kell elkészíteni. A környezetvédelmi miniszter rendelete kiegészítheti ezeket a követelményeket annak érdekében, hogy a kibocsátási mérleg módszertana összhangba kerüljön az e törvénykönyv L. 541–9. cikkében előírt környezetvédelmi jelzéssel.</w:t>
      </w:r>
    </w:p>
    <w:p w14:paraId="2973E31E" w14:textId="1EF304C5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D. 229-108. cikk - A D. 229-106. cikkben említett hirdető a nyilvános online kommunikációs oldalán vagy ennek hiányában mobilalkalmazásán összefoglaló jelentést tesz közzé, amely ismerteti a hirdetett termék vagy szolgáltatás szénlábnyomát, valamint azt, hogy az üvegházhatást okozó gázok kibocsátását milyen módon kerülik el elsősorban, majd csökkentik, végül pedig kompenzálják. Ez a jelentés három mellékletet tartalmaz, amelyek részletesen ismertetik annak tartalmát, és a következő sorrendben kerülnek bemutatásra:</w:t>
      </w:r>
      <w:r>
        <w:rPr>
          <w:rFonts w:ascii="Times New Roman" w:hAnsi="Times New Roman"/>
          <w:sz w:val="24"/>
        </w:rPr>
        <w:br/>
        <w:t>„(1) A D. 229-107. cikkben előírt mérleg eredményeit tartalmazó melléklet és a mérleg összeállításához használt módszertan összefoglalása. Ebben az összefoglalóban meg kell határozni különösen az érintett termék vagy szolgáltatás meghatározásához használt alkalmazási kört, az alkalmazott funkcionális vagy bejelentett egységeket, a szóban forgó rendszer határait, az életciklus végi szakasz feldolgozásának módját, a hálózatból felhasznált villamos energia vagy gáz tekintetében figyelembe vett kibocsátási adatokat. Meg kell határoznia azt az országo(ka)t vagy földrajzi terület(eke)t, ahol a nemzetközi közlekedésből származó kibocsátás és kibocsátás történik, amennyiben ilyen adatok rendelkezésre állnak;</w:t>
      </w:r>
      <w:r>
        <w:rPr>
          <w:rFonts w:ascii="Times New Roman" w:hAnsi="Times New Roman"/>
          <w:sz w:val="24"/>
        </w:rPr>
        <w:br/>
        <w:t xml:space="preserve">„(2) Egy melléklet, amely tartalmazza a reklámozott termékhez vagy szolgáltatáshoz kapcsolódó üvegházhatású gázkibocsátás csökkentésének célpályáját, számszerűsített </w:t>
      </w:r>
      <w:r>
        <w:rPr>
          <w:rFonts w:ascii="Times New Roman" w:hAnsi="Times New Roman"/>
          <w:sz w:val="24"/>
        </w:rPr>
        <w:lastRenderedPageBreak/>
        <w:t>éves haladási célokkal, legalább az e szakasz szerinti jelentés közzétételét követő tíz évre vonatkozóan. Az e szakasz szerinti első jelentés közzétételét követően 5 évente újabb 10 éves időszakra vonatkozó, aktualizált pályaképet kell készíteni;</w:t>
      </w: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(3) a fennmaradó kibocsátások ellentételezésére vonatkozó eljárásokat részletező melléklet, amely meghatározza különösen a kompenzációs projektek jellegét és leírását.  Ez a melléklet a költségekről is tájékoztat, azokat a következő kategóriákba sorolva: 10 EUR/tCO2 alatt, 10 és 40 EUR/tCO2 között, illetve 40 EUR/tCO2 felett. Ez a melléklet bizonyítja, hogy a kompenzáció révén csökkentett vagy lekötött kibocsátás mennyisége megfelel a reklám által érintett és értékesített összes termék vagy szolgáltatás maradék kibocsátásának. Ez a melléklet meghatározza azokat az eszközöket is, amelyeket a hirdető alkalmaz annak biztosítása érdekében, hogy ne számítsa kétszer az e projektek által lehetővé tett ellentételezést. Meghatározza különösen azokat a módszereket, amelyekkel a kibocsátáscsökkentés és a kibocsátásmegkötés a piacról kivonható, ha a kompenzációs krediteket használják. Végezetül ez a melléklet részletezi azokat az erőfeszítéseket, amelyek célja a projektek végrehajtásának helye és a kibocsátás helye közötti lehető legjobb koherencia biztosítása.</w:t>
      </w: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Ezt a kiadványt évente frissíteni kell a termék vagy szolgáltatás azon forgalmazási időszakában, amely alatt a hirdető reklámban azt állítja, hogy ugyanez a termék vagy szolgáltatás szén-dioxid-semleges, vagy bármely hasonló jelentésű vagy hatályú megfogalmazást használ. A frissítés lehetővé teszi különösen a termékhez vagy szolgáltatáshoz kapcsolódó kibocsátások fent említett csökkentési pályához viszonyított alakulásának nyomon követését. A hirdető tehát visszavonja a D. 229-106. cikkben említett állítását, ha kiderül, hogy a termékhez vagy szolgáltatáshoz kapcsolódó egységnyi kibocsátás a kompenzáció előtt két egymást követő évben nőtt.</w:t>
      </w:r>
      <w:r>
        <w:rPr>
          <w:rFonts w:ascii="Times New Roman" w:hAnsi="Times New Roman"/>
          <w:sz w:val="24"/>
        </w:rPr>
        <w:br/>
        <w:t xml:space="preserve">Az e kiadványhoz való hozzáféréshez szükséges internetes hivatkozás vagy gyorsreagálási kód (QR-kód) a reklámon vagy a csomagoláson, a karbonsemlegesség állításával van feltüntetve. </w:t>
      </w:r>
    </w:p>
    <w:p w14:paraId="5DDCAD32" w14:textId="70BC9ADC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D. 229-109. cikk - A D. 229-106. cikkben említett hirdető által alkalmazott kompenzációs projektekből származó kibocsátáscsökkentéseknek és -megkötéseknek meg kell felelniük az L. 229-55. cikkben és annak végrehajtási szövegeiben meghatározott elveknek.</w:t>
      </w:r>
      <w:r>
        <w:rPr>
          <w:rFonts w:ascii="Times New Roman" w:hAnsi="Times New Roman"/>
          <w:sz w:val="24"/>
        </w:rPr>
        <w:br/>
        <w:t xml:space="preserve">A kompenzációs projektek nem lehetnek károsak a természetes ökoszisztémák és funkcióik megőrzésére és helyreállítására. </w:t>
      </w: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A „Bas Carbone” (alacsony szén-dioxid-kibocsátású) címke létrehozásáról szóló, 2018. november 28-i, 2018-1043. sz. rendelet alapján elismert kibocsátáscsökkentések úgy tekintendők, hogy megfelelnek az előző két bekezdésnek.</w:t>
      </w:r>
      <w:r>
        <w:rPr>
          <w:rFonts w:ascii="Times New Roman" w:hAnsi="Times New Roman"/>
          <w:sz w:val="24"/>
        </w:rPr>
        <w:br/>
      </w:r>
      <w:r w:rsidR="009132D4" w:rsidRPr="009132D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A hirdetők a „Franciaországban végzett kompenzáció” szavakat, vagy bármely ezzel azonos jelentésű vagy terjedelmű utalást csak akkor illeszthetik be, ha valamennyi kompenzációs projektet Franciaországban hajtják végre.”</w:t>
      </w:r>
    </w:p>
    <w:p w14:paraId="75ED32F3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2. cikk</w:t>
      </w:r>
    </w:p>
    <w:p w14:paraId="27C881AD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Ez a rendelet 2023. január 1-jén lép hatályba.</w:t>
      </w:r>
      <w:r>
        <w:rPr>
          <w:rFonts w:ascii="Times New Roman" w:hAnsi="Times New Roman"/>
          <w:sz w:val="24"/>
        </w:rPr>
        <w:br/>
        <w:t xml:space="preserve">2025. december 31-ig az EU-tagállamokban a projektek finanszírozása a D. 229-109. cikk rendelkezéseivel összhangban egyenértékű a kiírónak a kibocsátáscsökkentésre és a lekötésre vonatkozó kiosztással, amennyiben a kiíró szerződéssel igazolni tudja az adott projekt ellenőrzött és hitelesített kibocsátáscsökkentéséből és lekötéséből származó </w:t>
      </w:r>
      <w:r>
        <w:rPr>
          <w:rFonts w:ascii="Times New Roman" w:hAnsi="Times New Roman"/>
          <w:sz w:val="24"/>
        </w:rPr>
        <w:lastRenderedPageBreak/>
        <w:t>előnyök esetleges elismerését. A hirdető biztosítja a kibocsátás-kiegyenlítési kötelezettségeinek teljesítését, adott esetben az adott projekt ellenőrzött és hitelesített kibocsátás-csökkentése és -megkötése, valamint a finanszírozott kibocsátás-csökkentések közötti különbségnek megfelelő további szén-dioxid-kibocsátási egységek megszerzésével.</w:t>
      </w:r>
    </w:p>
    <w:p w14:paraId="522384D1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3. cikk</w:t>
      </w:r>
    </w:p>
    <w:p w14:paraId="37AB1DE4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 rendelet végrehajtásáért a francia ökológiai átállásért felelős miniszter felel, amelyet a Francia Köztársaság Hivatalos Lapjában tesznek közzé.</w:t>
      </w:r>
    </w:p>
    <w:p w14:paraId="3AA6971C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Kelt: 2022. április 13-án.</w:t>
      </w:r>
    </w:p>
    <w:p w14:paraId="23FFDA80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A miniszterelnök nevében:</w:t>
      </w:r>
    </w:p>
    <w:p w14:paraId="296E255C" w14:textId="7B9D1DB8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Az ökológiai átállásért felelős miniszter,</w:t>
      </w:r>
      <w:r>
        <w:rPr>
          <w:rFonts w:ascii="Times New Roman" w:hAnsi="Times New Roman"/>
          <w:sz w:val="24"/>
        </w:rPr>
        <w:br/>
        <w:t xml:space="preserve">Barbara </w:t>
      </w:r>
      <w:r w:rsidR="009A3DDA">
        <w:rPr>
          <w:rFonts w:ascii="Times New Roman" w:hAnsi="Times New Roman"/>
          <w:sz w:val="24"/>
        </w:rPr>
        <w:t>Pompili</w:t>
      </w:r>
    </w:p>
    <w:p w14:paraId="019C117E" w14:textId="77777777" w:rsidR="001A38BC" w:rsidRDefault="001A38BC"/>
    <w:sectPr w:rsidR="001A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F"/>
    <w:rsid w:val="001A38BC"/>
    <w:rsid w:val="002A3E9F"/>
    <w:rsid w:val="009132D4"/>
    <w:rsid w:val="009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6CDF"/>
  <w15:chartTrackingRefBased/>
  <w15:docId w15:val="{D727B5B7-DCF1-4F0A-896C-F06962F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Liana Brili</cp:lastModifiedBy>
  <cp:revision>4</cp:revision>
  <dcterms:created xsi:type="dcterms:W3CDTF">2022-08-01T12:50:00Z</dcterms:created>
  <dcterms:modified xsi:type="dcterms:W3CDTF">2022-08-02T15:17:00Z</dcterms:modified>
</cp:coreProperties>
</file>