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C28B9" w14:textId="77777777" w:rsidR="00624C2A" w:rsidRPr="00372A96" w:rsidRDefault="00624C2A" w:rsidP="00624C2A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0340 PL- HU- ------ 20190729 --- --- PROJET</w:t>
      </w:r>
    </w:p>
    <w:p w14:paraId="45130A0A" w14:textId="77777777" w:rsidR="00E4313A" w:rsidRPr="003136B9" w:rsidRDefault="00E4313A" w:rsidP="00624C2A">
      <w:pPr>
        <w:pStyle w:val="OZNPROJEKTUwskazaniedatylubwersjiprojektu"/>
      </w:pPr>
      <w:r>
        <w:t>Tervezet</w:t>
      </w:r>
    </w:p>
    <w:p w14:paraId="0674EA64" w14:textId="77777777" w:rsidR="00E4313A" w:rsidRPr="00C71DFB" w:rsidRDefault="00E4313A" w:rsidP="00624C2A">
      <w:pPr>
        <w:pStyle w:val="OZNRODZAKTUtznustawalubrozporzdzenieiorganwydajcy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TÖRVÉNY</w:t>
      </w:r>
    </w:p>
    <w:p w14:paraId="4E50C01D" w14:textId="77777777" w:rsidR="00E4313A" w:rsidRPr="00072863" w:rsidRDefault="00E4313A" w:rsidP="00624C2A">
      <w:pPr>
        <w:pStyle w:val="DATAAKTUdatauchwalenialubwydaniaaktu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([év] [hónap] [nap])</w:t>
      </w:r>
    </w:p>
    <w:p w14:paraId="0AE704CF" w14:textId="77777777" w:rsidR="00E4313A" w:rsidRPr="00C12D18" w:rsidRDefault="00E4313A" w:rsidP="00624C2A">
      <w:pPr>
        <w:pStyle w:val="TYTDZPRZEDMprzedmiotregulacjitytuulubdziau"/>
        <w:keepNext w:val="0"/>
        <w:rPr>
          <w:rStyle w:val="IGindeksgrny"/>
        </w:rPr>
      </w:pPr>
      <w:r>
        <w:rPr>
          <w:rFonts w:ascii="Times New Roman" w:hAnsi="Times New Roman"/>
        </w:rPr>
        <w:t>az egyes mezőgazdasági piacok szervezéséről szóló törvény, valamint a mezőgazdasági és élelmiszeripari termékek forgalmazása során a szerződéses előnnyel való visszaéléssel szembeni fellépésről szóló törvény módosításáról</w:t>
      </w:r>
      <w:r>
        <w:rPr>
          <w:rStyle w:val="FootnoteReference"/>
          <w:rFonts w:ascii="Times New Roman" w:hAnsi="Times New Roman"/>
          <w:b w:val="0"/>
        </w:rPr>
        <w:footnoteReference w:id="1"/>
      </w:r>
      <w:r>
        <w:rPr>
          <w:rStyle w:val="IGindeksgrny"/>
          <w:b w:val="0"/>
        </w:rPr>
        <w:t>)</w:t>
      </w:r>
    </w:p>
    <w:p w14:paraId="5BB03EBB" w14:textId="77777777" w:rsidR="00E4313A" w:rsidRPr="00072863" w:rsidRDefault="00B0048D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1. cikk</w:t>
      </w:r>
      <w:r>
        <w:rPr>
          <w:rFonts w:ascii="Times New Roman" w:hAnsi="Times New Roman"/>
        </w:rPr>
        <w:t xml:space="preserve"> Az egyes mezőgazdasági piacok szervezéséről szóló, 2004. március 11-i törvény (Jogi Közlöny, 2018. évi 945. tétel) a következőképpen módosul:</w:t>
      </w:r>
    </w:p>
    <w:p w14:paraId="13637B5B" w14:textId="77777777" w:rsidR="00F515DA" w:rsidRPr="00072863" w:rsidRDefault="00B0048D" w:rsidP="00624C2A">
      <w:pPr>
        <w:pStyle w:val="PKTpunkt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1)</w:t>
      </w:r>
      <w:r>
        <w:tab/>
      </w:r>
      <w:r>
        <w:rPr>
          <w:rFonts w:ascii="Times New Roman" w:hAnsi="Times New Roman"/>
        </w:rPr>
        <w:t>a 38q. cikkben:</w:t>
      </w:r>
    </w:p>
    <w:p w14:paraId="6A80095A" w14:textId="77777777" w:rsidR="00F515DA" w:rsidRPr="00072863" w:rsidRDefault="00F515DA" w:rsidP="00624C2A">
      <w:pPr>
        <w:pStyle w:val="LITlitera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>az (1) bekezdés helyébe a következő szöveg lép:</w:t>
      </w:r>
    </w:p>
    <w:p w14:paraId="4CF3C3D8" w14:textId="77777777" w:rsidR="00FD19C8" w:rsidRDefault="00FD19C8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„(1) Minden olyan esetben, amikor egy, a közös agrárpolitika keretébe tartozó támogatási rendszerek alapján a mezőgazdasági termelők részére nyújtott közvetlen kifizetésekre vonatkozó szabályok megállapításáról, valamint a 637/2008/EK és a 73/2009/EK tanácsi rendelet hatályon kívül helyezéséről szóló, 2013. december 17-i 1307/2013/EK európai parlamenti és tanácsi rendelet (HL L 347., 2013.12.20., 608. o., a módosítások szerint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) 4. cikke 1. bekezdésének a) pontja értelmében vett mezőgazdasági termelőnek minősülő olyan termelő, akinek a mezőgazdasági üzeme a Lengyel Köztársaság területén található, az 1308/2013/EU rendelet 1. cikke (2) bekezdésének a) pontjában, kizárólag a cukorrépa tekintetében a c) pontjában, az f), h), i), n) és o) pontjában, kizárólag a nyers tej tekintetében a p) pontjában, a q), r), s) és t) pontjában, valamint kizárólag a burgonya, a repce és a réparepce tekintetében az x) pontjában meghatározott ágazatokba tartozó mezőgazdasági termékeket értékesít – az élelmiszer- és takarmánybiztonságról szóló, 2006. augusztus 25-i </w:t>
      </w:r>
      <w:r>
        <w:rPr>
          <w:rFonts w:ascii="Times New Roman" w:hAnsi="Times New Roman"/>
        </w:rPr>
        <w:lastRenderedPageBreak/>
        <w:t>törvény (Jogi Közlöny, 2018. évi 1541. tétel, a módosítások szerint</w:t>
      </w:r>
      <w:r>
        <w:rPr>
          <w:rFonts w:ascii="Times New Roman" w:hAnsi="Times New Roman"/>
          <w:vertAlign w:val="superscript"/>
        </w:rPr>
        <w:footnoteReference w:id="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) értelmében vett közvetlen ellátás és mezőgazdasági kiskereskedelem, valamint az állati eredetű termékekről szóló, 2005. december 16-i törvény (Jogi Közlöny, 2019. évi 824. tétel) értelmében vett közvetlen értékesítés kivételével – az első felvásárlónak, azaz az ilyen mezőgazdasági termékeket nem közvetlenül a végső fogyasztóknak értékesítő feldolgozónak vagy forgalmazónak (a továbbiakban: forgalmazó), vagy az ilyen mezőgazdasági termékeket nem közvetlenül a végső fogyasztóknak értékesítő közvetítőnek (a továbbiakban: közvetítő), egy vagy több szállításra vonatkozó, az alábbiakban meghatározott követelményeknek megfelelő szerződést kell kötni:</w:t>
      </w:r>
    </w:p>
    <w:p w14:paraId="3EAD22DD" w14:textId="77777777" w:rsidR="00BB0015" w:rsidRDefault="00BB0015" w:rsidP="00624C2A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az 1308/2013/EU rendelet 125. cikke és X. mellélete – kizárólag a cukorrépa tekintetében az 1308/2013/EU rendelet 1. cikke (2) bekezdésének c) pontjában meghatározott ágazatba tartozó mezőgazdasági termékek esetében;</w:t>
      </w:r>
    </w:p>
    <w:p w14:paraId="131F599F" w14:textId="77777777" w:rsidR="00E4313A" w:rsidRPr="00072863" w:rsidRDefault="00BB0015" w:rsidP="00624C2A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az 1308/2013/EU rendelet 148. cikkének (2) bekezdése – kizárólag a nyers tej tekintetében az 1308/2013/EU rendelet 1. cikke (2) bekezdésének p) pontjában meghatározott ágazatba tartozó mezőgazdasági termékek esetében;</w:t>
      </w:r>
    </w:p>
    <w:p w14:paraId="34BDDA5E" w14:textId="77777777" w:rsidR="00E4313A" w:rsidRPr="00072863" w:rsidRDefault="00BB0015" w:rsidP="00624C2A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az 1308/2013/EU rendelet 168. cikkének (4) és (6) bekezdése – az 1308/2013/EU rendelet 1. cikke (2) bekezdésének a), f), h), i), n), o), q), r), s) és t) pontjában, valamint kizárólag a burgonya, a repce és a réparepce tekintetében ennek x) pontjában meghatározott ágazatba tartozó mezőgazdasági termékek esetében,”,</w:t>
      </w:r>
    </w:p>
    <w:p w14:paraId="726F0510" w14:textId="77777777" w:rsidR="00E4313A" w:rsidRPr="00072863" w:rsidRDefault="003B48AC" w:rsidP="00624C2A">
      <w:pPr>
        <w:pStyle w:val="LITlitera"/>
      </w:pPr>
      <w:r>
        <w:t>b)</w:t>
      </w:r>
      <w:r>
        <w:tab/>
        <w:t>az (1a) bekezdésben a „X. és XI. melléklet” szövegrész helyébe a „X. melléklet” szövegrész lép,</w:t>
      </w:r>
    </w:p>
    <w:p w14:paraId="28222A81" w14:textId="77777777" w:rsidR="00EF6289" w:rsidRDefault="009809DC" w:rsidP="00624C2A">
      <w:pPr>
        <w:pStyle w:val="LITlitera"/>
        <w:keepNext/>
        <w:keepLines/>
      </w:pPr>
      <w:r>
        <w:t>c)</w:t>
      </w:r>
      <w:r>
        <w:tab/>
        <w:t>az (1b) bekezdésben:</w:t>
      </w:r>
    </w:p>
    <w:p w14:paraId="41C55BB9" w14:textId="5F997E63" w:rsidR="00B01B0A" w:rsidRPr="00072863" w:rsidRDefault="00F1300D" w:rsidP="00624C2A">
      <w:pPr>
        <w:pStyle w:val="TIRtiret"/>
      </w:pPr>
      <w:r>
        <w:t>–</w:t>
      </w:r>
      <w:r>
        <w:tab/>
      </w:r>
      <w:r w:rsidR="00B01B0A">
        <w:t>a 2) pont hatályát veszti,</w:t>
      </w:r>
    </w:p>
    <w:p w14:paraId="4B5C9F46" w14:textId="77777777" w:rsidR="00803781" w:rsidRPr="00072863" w:rsidRDefault="00EF6289" w:rsidP="00624C2A">
      <w:pPr>
        <w:pStyle w:val="TIRtire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–</w:t>
      </w:r>
      <w:r>
        <w:tab/>
      </w:r>
      <w:r>
        <w:rPr>
          <w:rFonts w:ascii="Times New Roman" w:hAnsi="Times New Roman"/>
        </w:rPr>
        <w:t>a felsorolás bevezető részében a „az 1308/2013/EU rendelet 125. vagy</w:t>
      </w:r>
      <w:r>
        <w:t xml:space="preserve"> </w:t>
      </w:r>
      <w:r>
        <w:rPr>
          <w:rFonts w:ascii="Times New Roman" w:hAnsi="Times New Roman"/>
        </w:rPr>
        <w:t>127. cikkében, illetve X. vagy XI. mellékletében” szövegrész helyébe a „az 1308/2013/EU rendelet 125. cikkében, illetve X. mellékletében” szövegrész lép,</w:t>
      </w:r>
    </w:p>
    <w:p w14:paraId="3B571CD1" w14:textId="77777777" w:rsidR="00BF55CF" w:rsidRPr="00072863" w:rsidRDefault="00B01B0A" w:rsidP="00624C2A">
      <w:pPr>
        <w:pStyle w:val="LITlitera"/>
        <w:keepNext/>
        <w:keepLines/>
      </w:pPr>
      <w:r>
        <w:t>d)</w:t>
      </w:r>
      <w:r>
        <w:tab/>
        <w:t>a szöveg az (1b) bekezdést követően a következő (1ba) bekezdéssel egészül ki:</w:t>
      </w:r>
    </w:p>
    <w:p w14:paraId="17F95658" w14:textId="77777777" w:rsidR="002B5992" w:rsidRPr="00072863" w:rsidRDefault="00A77843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„(1ba) Az (1) bekezdésben foglalt rendelkezések nem vonatkoznak arra az esetre, amikor az (1) bekezdésben említett termelő a mezőgazdasági termékeket az </w:t>
      </w:r>
      <w:r>
        <w:rPr>
          <w:rFonts w:ascii="Times New Roman" w:hAnsi="Times New Roman"/>
        </w:rPr>
        <w:lastRenderedPageBreak/>
        <w:t>árutőzsdére vonatkozó rendelkezések értelmében vett árutőzsdén keresztül, a pénzügyi eszközökkel való kereskedelemre vonatkozó rendelkezések értelmében vett, pénzügyi eszközökkel való kereskedelemre szolgáló rendszeren keresztül, vagy pedig olyan kereskedelmi célú vállalatok által üzemeltetett agrár-élelmiszeripari nagykereskedelmi piacokon értékesíti, amelyek fő tevékenységi köre ingatlanok agrár-élelmiszeripari nagykereskedelem céljára történő bérlése, valamint ezek kezelése.”,</w:t>
      </w:r>
    </w:p>
    <w:p w14:paraId="53722E55" w14:textId="77777777" w:rsidR="003B0EDD" w:rsidRDefault="00C95BB7" w:rsidP="00B176EE">
      <w:pPr>
        <w:pStyle w:val="LITlitera"/>
        <w:keepNext/>
        <w:keepLines/>
      </w:pPr>
      <w:r>
        <w:t>e)</w:t>
      </w:r>
      <w:r>
        <w:tab/>
        <w:t>az (1c) bekezdés helyébe a következő szöveg lép:</w:t>
      </w:r>
    </w:p>
    <w:p w14:paraId="5E684DD7" w14:textId="77777777" w:rsidR="00E4313A" w:rsidRPr="00072863" w:rsidRDefault="003B0EDD" w:rsidP="00624C2A">
      <w:pPr>
        <w:pStyle w:val="ZLITUSTzmustliter"/>
      </w:pPr>
      <w:r>
        <w:t>„(1c) Az (1) bekezdésben meghatározott szerződést az (1) bekezdésben meghatározott termelőnek és vásárlónak annak az évnek a végétől számított két évig kell megőriznie, amikor a szerződés hatálya alá tartozó utolsó szállítást teljesítették.”,</w:t>
      </w:r>
    </w:p>
    <w:p w14:paraId="627F1E93" w14:textId="77777777" w:rsidR="00CB5759" w:rsidRPr="00072863" w:rsidRDefault="00B91D09" w:rsidP="00624C2A">
      <w:pPr>
        <w:pStyle w:val="LITlitera"/>
        <w:keepNext/>
        <w:keepLines/>
      </w:pPr>
      <w:r>
        <w:t>f)</w:t>
      </w:r>
      <w:r>
        <w:tab/>
        <w:t>a (4) bekezdés helyébe a következő szöveg lép:</w:t>
      </w:r>
    </w:p>
    <w:p w14:paraId="41C4D5B4" w14:textId="77777777" w:rsidR="00CB5759" w:rsidRPr="00072863" w:rsidRDefault="00CB5759" w:rsidP="00624C2A">
      <w:pPr>
        <w:pStyle w:val="ZLITUSTzmustliter"/>
      </w:pPr>
      <w:r>
        <w:t>„(4) A mezőgazdasági piacokért felelős miniszter rendelet útján meghatározhatja az alábbiakat:</w:t>
      </w:r>
    </w:p>
    <w:p w14:paraId="37472E3C" w14:textId="77777777" w:rsidR="00137BB1" w:rsidRPr="00072863" w:rsidRDefault="00137BB1" w:rsidP="00624C2A">
      <w:pPr>
        <w:pStyle w:val="ZLITPKTzmpktliter"/>
      </w:pPr>
      <w:r>
        <w:t>1)</w:t>
      </w:r>
      <w:r>
        <w:tab/>
        <w:t>az (1) bekezdésben meghatározott szerződés minimális időtartama vagy</w:t>
      </w:r>
    </w:p>
    <w:p w14:paraId="40C59774" w14:textId="77777777" w:rsidR="0035086C" w:rsidRPr="00924BC2" w:rsidRDefault="00137BB1" w:rsidP="00624C2A">
      <w:pPr>
        <w:pStyle w:val="ZLITPKTzmpktliter"/>
      </w:pPr>
      <w:r>
        <w:t>2)</w:t>
      </w:r>
      <w:r>
        <w:tab/>
        <w:t>az (1) bekezdésben meghatározott szerződés megkötése és a mezőgazdasági termékek szállítása közötti minimális időtartam vagy</w:t>
      </w:r>
    </w:p>
    <w:p w14:paraId="775006F1" w14:textId="77777777" w:rsidR="00774693" w:rsidRPr="00924BC2" w:rsidRDefault="00774693" w:rsidP="00624C2A">
      <w:pPr>
        <w:pStyle w:val="ZLITPKTzmpktliter"/>
      </w:pPr>
      <w:r>
        <w:t>3)</w:t>
      </w:r>
      <w:r>
        <w:tab/>
        <w:t>az (1) bekezdésben meghatározott szerződés megkötésének dátuma</w:t>
      </w:r>
    </w:p>
    <w:p w14:paraId="54274888" w14:textId="77777777" w:rsidR="00137BB1" w:rsidRPr="00072863" w:rsidRDefault="00942A4A" w:rsidP="00624C2A">
      <w:pPr>
        <w:pStyle w:val="ZLITCZWSPPKTzmczciwsppktliter"/>
      </w:pPr>
      <w:r>
        <w:t>– az 1308/2013/EU rendelet 1. cikke (2) bekezdésének a) pontjában, kizárólag a cukorrépa tekintetében a c) pontjában, az f), h), i), n) és o) pontjában, kizárólag a nyers tej tekintetében a p) pontjában, a q), r), s) és t) pontjában, valamint kizárólag a burgonya, a repce és a réparepce tekintetében az x) pontjában meghatározott ágazatokba tartozó mezőgazdasági termékek jegyzékéből kiválasztott mezőgazdasági termékek esetében, az egységes piac megfelelő működése biztosítását figyelembe véve az érintett ágazatok szempontjából.”,</w:t>
      </w:r>
    </w:p>
    <w:p w14:paraId="0216625A" w14:textId="77777777" w:rsidR="00996DE9" w:rsidRPr="00072863" w:rsidRDefault="00D11CF7" w:rsidP="00624C2A">
      <w:pPr>
        <w:pStyle w:val="LITlitera"/>
        <w:keepNext/>
        <w:keepLines/>
      </w:pPr>
      <w:r>
        <w:t>g)</w:t>
      </w:r>
      <w:r>
        <w:tab/>
        <w:t>a szöveg a következő (5) bekezdéssel egészül ki:</w:t>
      </w:r>
    </w:p>
    <w:p w14:paraId="2FC7BB1D" w14:textId="77777777" w:rsidR="00E4313A" w:rsidRPr="00072863" w:rsidRDefault="00996DE9" w:rsidP="00624C2A">
      <w:pPr>
        <w:pStyle w:val="ZLITUSTzmustliter"/>
      </w:pPr>
      <w:r>
        <w:t xml:space="preserve">„(5) Amennyiben a (4) bekezdés értelmében a mezőgazdasági piacokért felelős miniszter az (1) bekezdésben meghatározott szerződés megkötése és az 1308/2013/EU rendelet 1. cikke (2) bekezdésének a) pontjában, kizárólag a cukorrépa tekintetében a c) pontjában, az f), h), i), n) és o) pontjában, kizárólag a nyers tej tekintetében a p) pontjában, a q), r), s) és t) pontjában, valamint kizárólag a burgonya, a repce és a réparepce tekintetében az x) pontjában meghatározott ágazatokba tartozó mezőgazdasági termékek szállítása közötti minimális időszakot, </w:t>
      </w:r>
      <w:r>
        <w:lastRenderedPageBreak/>
        <w:t>illetve az (1) bekezdésben meghatározott szerződés megkötésének dátumát meghatározó rendelkezéseket hoz, a (4) bekezdésnek megfelelően hozott rendelkezések nem alkalmazandók, ha az 1308/2013/EU rendelet 148. cikke (4) bekezdésének harmadik szakaszát, vagy a 168. cikke (6) bekezdésének harmadik szakaszát alkalmazták.”;</w:t>
      </w:r>
    </w:p>
    <w:p w14:paraId="1C6205A8" w14:textId="77777777" w:rsidR="00E4313A" w:rsidRPr="00072863" w:rsidRDefault="00241148" w:rsidP="00624C2A">
      <w:pPr>
        <w:pStyle w:val="PKTpunkt"/>
        <w:keepNext/>
        <w:keepLines/>
      </w:pPr>
      <w:r>
        <w:t>2)</w:t>
      </w:r>
      <w:r>
        <w:tab/>
        <w:t xml:space="preserve">a 40i. cikkben: </w:t>
      </w:r>
    </w:p>
    <w:p w14:paraId="777FB866" w14:textId="77777777" w:rsidR="00E4313A" w:rsidRPr="00072863" w:rsidRDefault="00241148" w:rsidP="00624C2A">
      <w:pPr>
        <w:pStyle w:val="LITlitera"/>
      </w:pPr>
      <w:r>
        <w:t>a)</w:t>
      </w:r>
      <w:r>
        <w:tab/>
        <w:t>az (1) bekezdésben a „forgalmazó” szó helyébe a „forgalmazó vagy közvetítő” szavak lépnek,</w:t>
      </w:r>
    </w:p>
    <w:p w14:paraId="79D20DFF" w14:textId="77777777" w:rsidR="00480DDC" w:rsidRDefault="008A5910" w:rsidP="00624C2A">
      <w:pPr>
        <w:pStyle w:val="LITlitera"/>
      </w:pPr>
      <w:r>
        <w:t>b)</w:t>
      </w:r>
      <w:r>
        <w:tab/>
        <w:t>az (1a) bekezdésben az „az a forgalmazó, aki a 38q. cikk (1) vagy (1a) bekezdésében foglalt rendelkezések megsértésével vásárol” szövegrész helyébe az „az a forgalmazó vagy közvetítő, aki a 38q. cikk (1) bekezdésében foglalt rendelkezések megsértésével vásárol” szövegrész lép,</w:t>
      </w:r>
    </w:p>
    <w:p w14:paraId="0A6FF40A" w14:textId="77777777" w:rsidR="00F847AB" w:rsidRPr="00072863" w:rsidRDefault="00480DDC" w:rsidP="00624C2A">
      <w:pPr>
        <w:pStyle w:val="LITlitera"/>
        <w:keepNext/>
        <w:keepLines/>
      </w:pPr>
      <w:r>
        <w:t>c)</w:t>
      </w:r>
      <w:r>
        <w:tab/>
        <w:t>az (1b) és (1c) bekezdés helyébe az alábbi szöveg lép:</w:t>
      </w:r>
    </w:p>
    <w:p w14:paraId="03F1D59D" w14:textId="77777777" w:rsidR="002A571F" w:rsidRPr="002A571F" w:rsidRDefault="00F847AB" w:rsidP="00624C2A">
      <w:pPr>
        <w:pStyle w:val="ZLITUSTzmustliter"/>
      </w:pPr>
      <w:r>
        <w:t>„(1b) Az az első feldolgozó vagy forgalmazó, illetve közvetítő, aki a 38q. cikk (1) bekezdésben foglalt rendelkezések megsértésével vásárol a 38q. cikk (1) bekezdésében meghatározott ágazatokba tartozó mezőgazdasági termékeket az alábbiak szerinti követelményeknek meg nem felelő szerződés alapján:</w:t>
      </w:r>
    </w:p>
    <w:p w14:paraId="6F9CA16D" w14:textId="77777777" w:rsidR="002A571F" w:rsidRPr="002A571F" w:rsidRDefault="002A571F" w:rsidP="00624C2A">
      <w:pPr>
        <w:pStyle w:val="ZLITPKTzmpktliter"/>
      </w:pPr>
      <w:r>
        <w:t>1)</w:t>
      </w:r>
      <w:r>
        <w:tab/>
        <w:t>az 1308/2013/EU rendelet 148. cikke (2) bekezdésének a) pontja és c) pontjának i. alpontja – kizárólag a nyers tej tekintetében az 1308/2013/EU rendelet 1. cikke (2) bekezdésének p) pontjában meghatározott ágazatba tartozó mezőgazdasági termékek esetében,</w:t>
      </w:r>
    </w:p>
    <w:p w14:paraId="66E9D80B" w14:textId="77777777" w:rsidR="002A571F" w:rsidRPr="002A571F" w:rsidRDefault="002A571F" w:rsidP="00624C2A">
      <w:pPr>
        <w:pStyle w:val="ZLITPKTzmpktliter"/>
      </w:pPr>
      <w:r>
        <w:t>2)</w:t>
      </w:r>
      <w:r>
        <w:tab/>
        <w:t xml:space="preserve">az 1308/2013/EU rendelet 168. cikke (4) bekezdésének a) pontja és c) pontjának i. alpontja – az 1308/2013/EU rendelet 1. cikke (2) bekezdésének a), f), h), i), n), o), q), r), s) és t) pontjában valamint kizárólag a burgonya, a repce és a réparepce tekintetében ennek x) pontjában meghatározott ágazatba tartozó mezőgazdasági termékek esetében </w:t>
      </w:r>
    </w:p>
    <w:p w14:paraId="34120B2B" w14:textId="77777777" w:rsidR="002A571F" w:rsidRPr="00B44A77" w:rsidRDefault="002A571F" w:rsidP="00624C2A">
      <w:pPr>
        <w:pStyle w:val="ZLITCZWSPPKTzmczciwsppktliter"/>
      </w:pPr>
      <w:r>
        <w:t>– minden egyes nem teljesített követelmény esetében az ilyen szerződés értelmében vásárolt termékekért kapott, a hozzáadottérték-adóról szóló, 2004. március 11-i törvény 29a. cikkének (1) bekezdése értelmében vett kifizetés összegének 4%-ával megegyező összegű pénzbírsággal büntetendő.</w:t>
      </w:r>
    </w:p>
    <w:p w14:paraId="33433D0D" w14:textId="77777777" w:rsidR="00955DCD" w:rsidRDefault="00AC7836" w:rsidP="00624C2A">
      <w:pPr>
        <w:pStyle w:val="ZLITUSTzmustliter"/>
      </w:pPr>
      <w:r>
        <w:t xml:space="preserve">(1c) Az az első feldolgozó, illetve forgalmazó vagy közvetítő, aki a 38q. cikk (1) bekezdéseinek rendelkezéseit megsértve a 38q. cikk (1) bekezdésében meghatározott ágazatokba tartozó mezőgazdasági termékeket vásárol az </w:t>
      </w:r>
      <w:r>
        <w:lastRenderedPageBreak/>
        <w:t>1308/2013/EU rendelet 125. cikkében és X. mellékletében előírt követelményeknek meg nem felelő szerződés alapján – az 1308/2013/EU rendelet 1. cikke (2) bekezdésének c) pontjában kizárólag a cukorrépa tekintetében meghatározott ágazatokba tartozó mezőgazdasági termékek esetében az említett melléklet I.1. pontjában meghatározott követelmény kivételével –, az ilyen szerződés értelmében beszerzett termékekért kapott, a hozzáadottérték-adóról szóló, 2004. március 11-i törvény 29a. cikkének (1) bekezdése értelmében vett kifizetés összegének 8%-ával megegyező összegű pénzbírsággal büntetendő.”,</w:t>
      </w:r>
    </w:p>
    <w:p w14:paraId="3589D9B0" w14:textId="77777777" w:rsidR="00694E98" w:rsidRPr="00072863" w:rsidRDefault="00480DDC" w:rsidP="00624C2A">
      <w:pPr>
        <w:pStyle w:val="LITlitera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d)</w:t>
      </w:r>
      <w:r>
        <w:tab/>
      </w:r>
      <w:r>
        <w:rPr>
          <w:rFonts w:ascii="Times New Roman" w:hAnsi="Times New Roman"/>
        </w:rPr>
        <w:t>az (1c) bekezdés után a szöveg az alábbi (1ca)–(1cc) bekezdésekkel egészül ki:</w:t>
      </w:r>
    </w:p>
    <w:p w14:paraId="04711719" w14:textId="77777777" w:rsidR="003C7670" w:rsidRPr="00072863" w:rsidRDefault="00694E98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„(1ca) Minden olyan termelő, aki a közös agrárpolitika keretébe tartozó támogatási rendszerek alapján a mezőgazdasági termelők részére nyújtott közvetlen kifizetésekre vonatkozó szabályok megállapításáról, valamint a 637/2008/EK és a 73/2009/EK tanácsi rendelet hatályon kívül helyezéséről szóló, 2013. december 17-i 1307/2013/EK európai parlamenti és tanácsi rendelet 4. cikke (1) bekezdése a) pontjának értelmében vett mezőgazdasági termelőnek minősül, és a 38q. cikk (1) vagy (1a) bekezdésének megsértésével, írásos szerződés, illetve okmány vagy elektronikus formátumú szerződés nélkül a 38q. cikk (1) bekezdésében meghatározott ágazatokba tartozó mezőgazdasági termékeket értékesít, az írásos szerződés, illetve okmány vagy elektronikus formátumú szerződés nélkül értékesített termékekért kapott, a hozzáadottérték-adóról szóló, 2004. március 11-i törvény 29a. cikkének (1) bekezdése értelmében vett kifizetés összegének 10%-ával megegyező összegű pénzbírsággal büntetendő.</w:t>
      </w:r>
    </w:p>
    <w:p w14:paraId="018FCB9D" w14:textId="77777777" w:rsidR="00150D74" w:rsidRPr="00072863" w:rsidRDefault="00EA3E9C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(1cb) Minden olyan személy, aki nem tartja be a 38q. cikk (1) bekezdésében meghatározott szerződés minimális időtartamát vagy a szerződés megkötése és a mezőgazdasági termékek szállítása közötti minimális időszakot – amennyiben ezeket az időszakokat a 38q. cikk (4) bekezdésének 1) vagy 2) pontjában foglalt rendelkezéseknek megfelelően állapítják meg –, minden egyes ilyen időszak be nem tartása után az adott szerződés alapján értékesített vagy beszerzett termékekért kapott, a hozzáadottérték-adóról szóló, 2004. március 11-i törvény 29a. cikke (1) értelmében vett kifizetés összegének 10%-ával megegyező összegű pénzbírsággal büntetendő.</w:t>
      </w:r>
    </w:p>
    <w:p w14:paraId="0482FBFD" w14:textId="77777777" w:rsidR="00694E98" w:rsidRPr="00072863" w:rsidRDefault="00150D74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(1cc) Minden olyan személy, aki nem tartja be a 38q. cikk (3) bekezdésében meghatározott határidőt vagy a szerződés megkötésének a 38q. cikk (1) </w:t>
      </w:r>
      <w:r>
        <w:rPr>
          <w:rFonts w:ascii="Times New Roman" w:hAnsi="Times New Roman"/>
        </w:rPr>
        <w:lastRenderedPageBreak/>
        <w:t>bekezdésében meghatározott dátumát – amennyiben ezt az időszakot a 38q. cikk (4) bekezdésének 3) pontjában foglalt rendelkezéseknek megfelelően állapítják meg –, az adott határidő be nem tartásának minden egyes napja után az adott szerződés alapján értékesített vagy beszerzett termékekért kapott, a hozzáadottérték-adóról szóló, 2004. március 11-i törvény 29a. cikke (1) értelmében vett kifizetés összegének 0,5 %-ával megegyező összegű pénzbírsággal büntetendő, amelynek teljes összege azonban nem haladhatja meg az adott kifizetés 15 %-át.”,</w:t>
      </w:r>
    </w:p>
    <w:p w14:paraId="3009C3FF" w14:textId="77777777" w:rsidR="0056481C" w:rsidRPr="00072863" w:rsidRDefault="00F13A55" w:rsidP="00624C2A">
      <w:pPr>
        <w:pStyle w:val="LITlitera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  <w:t>az (1d) bekezdés helyébe a következő szöveg lép:</w:t>
      </w:r>
    </w:p>
    <w:p w14:paraId="01B0DD9F" w14:textId="77777777" w:rsidR="00931317" w:rsidRPr="00072863" w:rsidRDefault="0056481C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„(1d) Amennyiben a 38q. cikk (1) bekezdésében meghatározott szerződés az (1a) és (1b) bekezdésben felsorolt több feltételnek sem felel meg, a pénzbírságok összeadódnak; a bírság teljes összege azonban nem haladhatja meg az ilyen szerződés értelmében beszerzett termékekért kapott, a hozzáadottérték-adóról szóló, 2004. március 11-i törvény 29a. cikke (1) értelmében vett kifizetés összegének 8%-át.”;</w:t>
      </w:r>
    </w:p>
    <w:p w14:paraId="7932D7FD" w14:textId="77777777" w:rsidR="00F02D45" w:rsidRDefault="003C2687" w:rsidP="00624C2A">
      <w:pPr>
        <w:pStyle w:val="PKTpunkt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3)</w:t>
      </w:r>
      <w:r>
        <w:tab/>
      </w:r>
      <w:r>
        <w:rPr>
          <w:rFonts w:ascii="Times New Roman" w:hAnsi="Times New Roman"/>
        </w:rPr>
        <w:t>a szöveg a 40i. cikk után az alábbi 40ia. cikkel egészül ki:</w:t>
      </w:r>
    </w:p>
    <w:p w14:paraId="2E950873" w14:textId="77777777" w:rsidR="00F02D45" w:rsidRDefault="00F02D45" w:rsidP="00624C2A">
      <w:pPr>
        <w:pStyle w:val="ZARTzmartartykuempunktem"/>
      </w:pPr>
      <w:r>
        <w:t>„40ia. cikk Minden olyan személy, aki elmulasztja valamely elismert ágazatközi szervezeten belül elfogadott megállapodások, határozatok vagy gyakorlatok betartását, amennyiben az ilyen megállapodásokat, határozatokat vagy gyakorlatokat beillesztették a 38o. cikk (3) bekezdésének értelmében hozott rendelkezésekbe, 5 000 PLN összegű pénzbírsággal büntetendő; azonban ha az ilyen megállapodások, határozatok vagy gyakorlatok be nem tartására az 1308/2013/EU rendelet 164. cikke (4) bekezdésének c) pontjában meghatározott szabványos szerződésminta kidolgozásával kapcsolatban került sor, a pénzbírság összegének meg kell egyeznie az adott szerződés alapján értékesített vagy beszerzett termékekért kapott, a hozzáadottérték-adóról szóló, 2004. március 11-i törvény 29a. cikke (1) bekezdésének értelmében vett kifizetés összegének 8%-ával.”;</w:t>
      </w:r>
    </w:p>
    <w:p w14:paraId="2671FC92" w14:textId="1A1CC076" w:rsidR="00627160" w:rsidRPr="00072863" w:rsidRDefault="00B176EE" w:rsidP="00624C2A">
      <w:pPr>
        <w:pStyle w:val="PKTpunkt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F02D45">
        <w:rPr>
          <w:rFonts w:ascii="Times New Roman" w:hAnsi="Times New Roman"/>
        </w:rPr>
        <w:t>a 40j. cikk (1) bekezdése helyébe a következő szöveg lép:</w:t>
      </w:r>
    </w:p>
    <w:p w14:paraId="7DF329E1" w14:textId="77777777" w:rsidR="000E419B" w:rsidRPr="000E419B" w:rsidRDefault="00284E0D" w:rsidP="00624C2A">
      <w:pPr>
        <w:pStyle w:val="ZUSTzmustartykuempunktem"/>
        <w:keepNext/>
        <w:keepLines/>
      </w:pPr>
      <w:r>
        <w:t>„(1) A</w:t>
      </w:r>
    </w:p>
    <w:p w14:paraId="749A8975" w14:textId="77777777" w:rsidR="000E419B" w:rsidRPr="000E419B" w:rsidRDefault="000E419B" w:rsidP="00624C2A">
      <w:pPr>
        <w:pStyle w:val="ZPKTzmpktartykuempunktem"/>
      </w:pPr>
      <w:r>
        <w:t>1)</w:t>
      </w:r>
      <w:r>
        <w:tab/>
        <w:t>40i. cikk (1)–(1cc) bekezdésében és a 40ia. cikkben,</w:t>
      </w:r>
    </w:p>
    <w:p w14:paraId="67983CEC" w14:textId="77777777" w:rsidR="000E419B" w:rsidRPr="000E419B" w:rsidRDefault="000E419B" w:rsidP="00624C2A">
      <w:pPr>
        <w:pStyle w:val="ZPKTzmpktartykuempunktem"/>
      </w:pPr>
      <w:r>
        <w:t>2)</w:t>
      </w:r>
      <w:r>
        <w:tab/>
        <w:t>a 38u. cikk (1) bekezdésének 2) pontja szerinti támogatás tekintetében az (EU) 2017/40 rendelet 8. cikkében</w:t>
      </w:r>
    </w:p>
    <w:p w14:paraId="56660778" w14:textId="77777777" w:rsidR="000E419B" w:rsidRDefault="000E419B" w:rsidP="00624C2A">
      <w:pPr>
        <w:pStyle w:val="ZCZWSPPKTzmczciwsppktartykuempunktem"/>
      </w:pPr>
      <w:r>
        <w:t>meghatározott pénzbírságokat közigazgatási határozat útján a termelő, a vásárló vagy a kérelmező székhelye vagy lakóhelye szerint illetékes nemzeti központ valamely regionális osztályának igazgatója szabja ki.”</w:t>
      </w:r>
    </w:p>
    <w:p w14:paraId="2339695A" w14:textId="77777777" w:rsidR="001E1984" w:rsidRPr="00072863" w:rsidRDefault="001E1984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lastRenderedPageBreak/>
        <w:t>2. cikk</w:t>
      </w:r>
      <w:r>
        <w:rPr>
          <w:rFonts w:ascii="Times New Roman" w:hAnsi="Times New Roman"/>
        </w:rPr>
        <w:t xml:space="preserve"> A mezőgazdasági és élelmiszeripari termékek forgalmazása során a szerződéses előnnyel való visszaéléssel szembeni fellépésről szóló, 2016. december 15-i törvény (Jogi Közlöny, 2019. évi 517. tétel) a következőképpen módosul:</w:t>
      </w:r>
    </w:p>
    <w:p w14:paraId="6C8B649B" w14:textId="77777777" w:rsidR="001E1984" w:rsidRPr="00072863" w:rsidRDefault="001E1984" w:rsidP="00624C2A">
      <w:pPr>
        <w:pStyle w:val="PKTpunkt"/>
        <w:keepNext/>
        <w:keepLines/>
      </w:pPr>
      <w:r>
        <w:t>1)</w:t>
      </w:r>
      <w:r>
        <w:tab/>
        <w:t>a 2. cikk helyébe a következő lép:</w:t>
      </w:r>
    </w:p>
    <w:p w14:paraId="3A9F7004" w14:textId="77777777" w:rsidR="001E1984" w:rsidRPr="00072863" w:rsidRDefault="001E1984" w:rsidP="00624C2A">
      <w:pPr>
        <w:pStyle w:val="ZARTzmartartykuempunktem"/>
      </w:pPr>
      <w:r>
        <w:t>„2. cikk A törvény a mezőgazdasági, illetve élelmiszeripari termékek beszerzésére vonatkozó, az ilyen termékek vásárlói és szállítói között létrejött szerződésekre (a továbbiakban: szerződések) alkalmazandó, az élelmiszer- és takarmánybiztonságról szóló, 2006. augusztus 25-i törvény (Jogi Közlöny, 2018. évi 1541. tétel, a módosítások szerint</w:t>
      </w:r>
      <w:r>
        <w:rPr>
          <w:vertAlign w:val="superscript"/>
        </w:rPr>
        <w:t>2)</w:t>
      </w:r>
      <w:r>
        <w:t>) értelmében vett közvetlen ellátás és mezőgazdasági kiskereskedelem, valamint az állati eredetű termékekről szóló, 2005. december 16-i törvény (Jogi Közlöny, 2019. évi 824. tétel) értelmében vett közvetlen értékesítés kivételével.”;</w:t>
      </w:r>
    </w:p>
    <w:p w14:paraId="11991DE7" w14:textId="77777777" w:rsidR="00F91F6E" w:rsidRPr="001B4D4B" w:rsidRDefault="001E1984" w:rsidP="00624C2A">
      <w:pPr>
        <w:pStyle w:val="PKTpunkt"/>
        <w:keepNext/>
        <w:keepLines/>
      </w:pPr>
      <w:r>
        <w:t>2)</w:t>
      </w:r>
      <w:r>
        <w:tab/>
        <w:t>a 3. cikk (2) bekezdésében:</w:t>
      </w:r>
    </w:p>
    <w:p w14:paraId="3A1CCF3B" w14:textId="77777777" w:rsidR="00F91F6E" w:rsidRDefault="00F91F6E" w:rsidP="00624C2A">
      <w:pPr>
        <w:pStyle w:val="LITlitera"/>
      </w:pPr>
      <w:r>
        <w:t>a)</w:t>
      </w:r>
      <w:r>
        <w:tab/>
        <w:t>a b) pont hatályát veszti,</w:t>
      </w:r>
    </w:p>
    <w:p w14:paraId="7E46D9A1" w14:textId="77777777" w:rsidR="00930905" w:rsidRDefault="00930905" w:rsidP="00624C2A">
      <w:pPr>
        <w:pStyle w:val="LITlitera"/>
      </w:pPr>
      <w:r>
        <w:t>b)</w:t>
      </w:r>
      <w:r>
        <w:tab/>
        <w:t>a c) pontban a mondatvégi pont helyébe vessző lép, és a szöveg az alábbi d) és e) ponttal egészül ki:</w:t>
      </w:r>
    </w:p>
    <w:p w14:paraId="7F17F576" w14:textId="77777777" w:rsidR="00930905" w:rsidRPr="00BE3D19" w:rsidRDefault="00930905" w:rsidP="00624C2A">
      <w:pPr>
        <w:pStyle w:val="ZLITLITzmlitliter"/>
      </w:pPr>
      <w:r>
        <w:t>„d)</w:t>
      </w:r>
      <w:r>
        <w:tab/>
        <w:t>az egyes mezőgazdasági piacok szervezésére vonatkozó rendelkezések értelmében vett, olyan szervezet számára mezőgazdasági vagy élelmiszeripari termékeket értékesítő elismert termelői szervezet, amelynek az elismert termelői szervezet a tagja,</w:t>
      </w:r>
    </w:p>
    <w:p w14:paraId="5530B95C" w14:textId="77777777" w:rsidR="00930905" w:rsidRPr="00BE3D19" w:rsidRDefault="00930905" w:rsidP="00624C2A">
      <w:pPr>
        <w:pStyle w:val="ZLITLITzmlitliter"/>
      </w:pPr>
      <w:r>
        <w:t>e)</w:t>
      </w:r>
      <w:r>
        <w:tab/>
        <w:t>a tej és tejtermékek piacának szervezésére vonatkozó rendelkezések értelmében vett, olyan szervezet számára mezőgazdasági vagy élelmiszeripari termékeket értékesítő elismert termelői szervezet, amelynek az elismert termelői szervezet a tagja;”,</w:t>
      </w:r>
    </w:p>
    <w:p w14:paraId="4943E440" w14:textId="77777777" w:rsidR="001E1984" w:rsidRPr="00072863" w:rsidRDefault="00930905" w:rsidP="00624C2A">
      <w:pPr>
        <w:pStyle w:val="LITlitera"/>
        <w:keepNext/>
        <w:keepLines/>
      </w:pPr>
      <w:r>
        <w:t>c)</w:t>
      </w:r>
      <w:r>
        <w:tab/>
        <w:t>a szöveg a következő 3) ponttal egészül ki:</w:t>
      </w:r>
    </w:p>
    <w:p w14:paraId="4C983F52" w14:textId="77777777" w:rsidR="001E1984" w:rsidRDefault="001E1984" w:rsidP="00624C2A">
      <w:pPr>
        <w:pStyle w:val="ZLITPKTzmpktliter"/>
      </w:pPr>
      <w:r>
        <w:t>„3)</w:t>
      </w:r>
      <w:r>
        <w:tab/>
        <w:t>a szállító a mezőgazdasági vagy élelmiszeripari termékeket az árutőzsdére vonatkozó rendelkezések értelmében vett árutőzsdén keresztül vagy a pénzügyi eszközökkel való kereskedelemre vonatkozó rendelkezések értelmében vett, pénzügyi eszközökkel való kereskedelemre szolgáló rendszeren keresztül értékesíti,”;</w:t>
      </w:r>
    </w:p>
    <w:p w14:paraId="07C1FEFD" w14:textId="77777777" w:rsidR="00F65C42" w:rsidRDefault="00F65C42" w:rsidP="00624C2A">
      <w:pPr>
        <w:pStyle w:val="PKTpunkt"/>
        <w:keepNext/>
        <w:keepLines/>
      </w:pPr>
      <w:r>
        <w:t>3)</w:t>
      </w:r>
      <w:r>
        <w:tab/>
        <w:t>az 5. cikk 3) pontja helyébe a következő szöveg lép:</w:t>
      </w:r>
    </w:p>
    <w:p w14:paraId="385FED5A" w14:textId="77777777" w:rsidR="00F65C42" w:rsidRDefault="00F65C42" w:rsidP="00624C2A">
      <w:pPr>
        <w:pStyle w:val="ZPKTzmpktartykuempunktem"/>
      </w:pPr>
      <w:r>
        <w:t>„3)</w:t>
      </w:r>
      <w:r>
        <w:tab/>
        <w:t xml:space="preserve">mezőgazdasági vagy élelmiszeripari termék – az Európai Unió működéséről szóló szerződés I. mellékletében felsorolt valamely termék vagy a mellékletben nem </w:t>
      </w:r>
      <w:r>
        <w:lastRenderedPageBreak/>
        <w:t>szereplő, de az ott felsorolt termékek felhasználásával fogyasztás céljából feldolgozott termék;”;</w:t>
      </w:r>
    </w:p>
    <w:p w14:paraId="53216D6F" w14:textId="77777777" w:rsidR="000F1029" w:rsidRDefault="00F121DD" w:rsidP="00624C2A">
      <w:pPr>
        <w:pStyle w:val="PKTpunkt"/>
        <w:keepNext/>
        <w:keepLines/>
      </w:pPr>
      <w:r>
        <w:t>4)</w:t>
      </w:r>
      <w:r>
        <w:tab/>
        <w:t>a 7. cikkben:</w:t>
      </w:r>
    </w:p>
    <w:p w14:paraId="44703010" w14:textId="77777777" w:rsidR="00F121DD" w:rsidRDefault="000F1029" w:rsidP="00624C2A">
      <w:pPr>
        <w:pStyle w:val="LITlitera"/>
      </w:pPr>
      <w:r>
        <w:t>a)</w:t>
      </w:r>
      <w:r>
        <w:tab/>
        <w:t>a (2) bekezdésben a szöveg a „megsértve” szó után a „mezőgazdasági és élelmiszeripari termékek forgalmazása során a szerződéses előnnyel való visszaéléssel szembeni fellépésre vonatkozó rendelkezéseket vagy” szövegrésszel egészül ki,</w:t>
      </w:r>
    </w:p>
    <w:p w14:paraId="1EF0AF81" w14:textId="27A21108" w:rsidR="001E1984" w:rsidRPr="00072863" w:rsidRDefault="00F1300D" w:rsidP="00624C2A">
      <w:pPr>
        <w:pStyle w:val="LITlitera"/>
        <w:keepNext/>
        <w:keepLines/>
      </w:pPr>
      <w:r>
        <w:t>b</w:t>
      </w:r>
      <w:bookmarkStart w:id="0" w:name="_GoBack"/>
      <w:bookmarkEnd w:id="0"/>
      <w:r w:rsidR="000F1029">
        <w:t>)</w:t>
      </w:r>
      <w:r w:rsidR="000F1029">
        <w:tab/>
        <w:t>a (3) bekezdés 4) pontjában a mondatvégi pont helyébe pontosvessző lép, és a szöveg a következő 5) ponttal egészül ki:</w:t>
      </w:r>
    </w:p>
    <w:p w14:paraId="1289AB9A" w14:textId="77777777" w:rsidR="0059066D" w:rsidRPr="008509D8" w:rsidRDefault="001E1984" w:rsidP="00624C2A">
      <w:pPr>
        <w:pStyle w:val="ZLITPKTzmpktliter"/>
      </w:pPr>
      <w:r>
        <w:t>„5)</w:t>
      </w:r>
      <w:r>
        <w:tab/>
        <w:t>a Lengyel Köztársaság területén előállított, az Európai Unió működéséről szóló szerződés I. mellékletében felsorolt valamely terméknek minősülő olyan mezőgazdasági vagy élelmiszeripari termék (e fejezetben a továbbiakban: termék) vagy termék-alkategória vásárlása, amelyre vonatkozóan referenciaárat állapítottak meg, egy olyan vásárló által, aki a terméket vagy termék-alkategóriát közvetlenül a terméket vagy termék-alkategóriát előállító szállítótól vagy az alábbiaktól vásárolja:</w:t>
      </w:r>
    </w:p>
    <w:p w14:paraId="4688EE37" w14:textId="77777777" w:rsidR="0059066D" w:rsidRPr="0059066D" w:rsidRDefault="002A68BF" w:rsidP="00624C2A">
      <w:pPr>
        <w:pStyle w:val="ZLITLITwPKTzmlitwpktliter"/>
      </w:pPr>
      <w:r>
        <w:t>a)</w:t>
      </w:r>
      <w:r>
        <w:tab/>
        <w:t>ilyen szállítók szövetkezetei,</w:t>
      </w:r>
    </w:p>
    <w:p w14:paraId="0E278176" w14:textId="77777777" w:rsidR="0059066D" w:rsidRPr="008509D8" w:rsidRDefault="002A68BF" w:rsidP="00624C2A">
      <w:pPr>
        <w:pStyle w:val="ZLITLITwPKTzmlitwpktliter"/>
      </w:pPr>
      <w:r>
        <w:t>b)</w:t>
      </w:r>
      <w:r>
        <w:tab/>
        <w:t>a mezőgazdasági termelői csoportokra és ezek egyesületeire vonatkozó rendelkezések értelmében vett mezőgazdasági termelői csoportok,</w:t>
      </w:r>
    </w:p>
    <w:p w14:paraId="1C9E384D" w14:textId="77777777" w:rsidR="0059066D" w:rsidRPr="008509D8" w:rsidRDefault="002A68BF" w:rsidP="00624C2A">
      <w:pPr>
        <w:pStyle w:val="ZLITLITwPKTzmlitwpktliter"/>
      </w:pPr>
      <w:r>
        <w:t>c)</w:t>
      </w:r>
      <w:r>
        <w:tab/>
        <w:t>a zöldség- és gyümölcspiacok és a komló piacának szervezésére vonatkozó rendelkezések értelmében vett, zöldség- és gyümölcstermelők elismert szövetsége,</w:t>
      </w:r>
    </w:p>
    <w:p w14:paraId="7CE2B0CB" w14:textId="77777777" w:rsidR="0059066D" w:rsidRPr="008509D8" w:rsidRDefault="002A68BF" w:rsidP="00624C2A">
      <w:pPr>
        <w:pStyle w:val="ZLITLITwPKTzmlitwpktliter"/>
      </w:pPr>
      <w:r>
        <w:t>d)</w:t>
      </w:r>
      <w:r>
        <w:tab/>
        <w:t>az egyes mezőgazdasági piacok szervezésére vonatkozó rendelkezések értelmében vett elismert termelői szervezet,</w:t>
      </w:r>
    </w:p>
    <w:p w14:paraId="1FA55F3F" w14:textId="77777777" w:rsidR="001E1984" w:rsidRPr="008509D8" w:rsidRDefault="003C344E" w:rsidP="00624C2A">
      <w:pPr>
        <w:pStyle w:val="ZLITLITwPKTzmlitwpktliter"/>
      </w:pPr>
      <w:r>
        <w:t>e)</w:t>
      </w:r>
      <w:r>
        <w:tab/>
        <w:t>a tej és a tejtermékek piacának szervezésére vonatkozó rendelkezések értelmében vett elismert termelői szervezet.”;</w:t>
      </w:r>
    </w:p>
    <w:p w14:paraId="2643C556" w14:textId="77777777" w:rsidR="001E1984" w:rsidRPr="008509D8" w:rsidRDefault="00294536" w:rsidP="00624C2A">
      <w:pPr>
        <w:pStyle w:val="PKTpunkt"/>
        <w:keepNext/>
        <w:keepLines/>
      </w:pPr>
      <w:r>
        <w:t>5)</w:t>
      </w:r>
      <w:r>
        <w:tab/>
        <w:t>a szöveg a 7. cikk után az alábbi 7a. cikkel egészül ki:</w:t>
      </w:r>
    </w:p>
    <w:p w14:paraId="10F638BB" w14:textId="77777777" w:rsidR="007B149B" w:rsidRDefault="007B149B" w:rsidP="00624C2A">
      <w:pPr>
        <w:pStyle w:val="ZARTzmartartykuempunktem"/>
        <w:rPr>
          <w:rFonts w:eastAsia="Times New Roman"/>
        </w:rPr>
      </w:pPr>
      <w:r>
        <w:t>„7a. cikk (1) Egy adott termék vagy termékkategória referenciaárát a mezőgazdasági piacokért felelős miniszter határozza meg minden év március 31-ig az adott év április 1-jétől a következő év március 31-éig tartó időszakra vonatkozóan, az alábbi képlet szerint:</w:t>
      </w:r>
    </w:p>
    <w:p w14:paraId="50EB1228" w14:textId="77777777" w:rsidR="007B149B" w:rsidRPr="007B149B" w:rsidRDefault="007B149B" w:rsidP="00624C2A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</w:p>
    <w:p w14:paraId="65247985" w14:textId="77777777" w:rsidR="007B149B" w:rsidRPr="007B149B" w:rsidRDefault="007B149B" w:rsidP="00624C2A">
      <w:pPr>
        <w:pStyle w:val="ZWMATFIZCHEMzmwzorumatfizlubchemartykuempunktem"/>
        <w:rPr>
          <w:rFonts w:ascii="Times" w:eastAsia="Times New Roman" w:hAnsi="Times"/>
        </w:rPr>
      </w:pPr>
      <m:oMathPara>
        <m:oMath>
          <m:r>
            <w:rPr>
              <w:rFonts w:ascii="Cambria Math" w:eastAsia="Times New Roman" w:hAnsi="Cambria Math"/>
            </w:rPr>
            <m:t>C</m:t>
          </m:r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/3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)/3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+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/3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)/3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*</m:t>
          </m:r>
          <m:sSub>
            <m:sSubPr>
              <m:ctrlPr>
                <w:rPr>
                  <w:rFonts w:ascii="Cambria Math" w:eastAsia="Times New Roman" w:hAnsi="Cambria Math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g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*</m:t>
          </m:r>
          <m:sSub>
            <m:sSubPr>
              <m:ctrlPr>
                <w:rPr>
                  <w:rFonts w:ascii="Cambria Math" w:eastAsia="Times New Roman" w:hAnsi="Cambria Math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 xml:space="preserve"> </m:t>
          </m:r>
        </m:oMath>
      </m:oMathPara>
    </w:p>
    <w:p w14:paraId="4356E039" w14:textId="77777777" w:rsidR="007B149B" w:rsidRPr="007B149B" w:rsidRDefault="007B149B" w:rsidP="00624C2A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</w:p>
    <w:p w14:paraId="76E4BCAD" w14:textId="77777777" w:rsidR="007B149B" w:rsidRPr="008509D8" w:rsidRDefault="007B149B" w:rsidP="00624C2A">
      <w:pPr>
        <w:pStyle w:val="ZLEGWMATFIZCHEMzmlegendywzorumatfizlubchemartykuempunktem"/>
        <w:keepNext/>
        <w:keepLines/>
        <w:rPr>
          <w:rFonts w:ascii="Times" w:hAnsi="Times"/>
          <w:bCs/>
        </w:rPr>
      </w:pPr>
      <w:r>
        <w:rPr>
          <w:rFonts w:ascii="Times" w:hAnsi="Times"/>
        </w:rPr>
        <w:t>ahol:</w:t>
      </w:r>
    </w:p>
    <w:p w14:paraId="40272E1C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C —</w:t>
      </w:r>
      <w:r>
        <w:tab/>
        <w:t>az adott termék vagy termék-alkategória PLN-ben kifejezett, kilogrammonkénti referenciaára,</w:t>
      </w:r>
    </w:p>
    <w:p w14:paraId="3A20CC5A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k</w:t>
      </w:r>
      <w:r>
        <w:rPr>
          <w:vertAlign w:val="subscript"/>
        </w:rPr>
        <w:t xml:space="preserve">n-1 </w:t>
      </w:r>
      <w:r>
        <w:t>—</w:t>
      </w:r>
      <w:r>
        <w:tab/>
        <w:t>a referenciaévet megelőző évben a kereskedelmi célú üzemet az adott termék vagy termék-alkategória előállításával kapcsolatban terhelő átlagos költségek, a munkaerőköltségek kivételével, PLN/hektárban kifejezve,</w:t>
      </w:r>
    </w:p>
    <w:p w14:paraId="174C6CEB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k</w:t>
      </w:r>
      <w:r>
        <w:rPr>
          <w:vertAlign w:val="subscript"/>
        </w:rPr>
        <w:t xml:space="preserve">n-2 </w:t>
      </w:r>
      <w:r>
        <w:t>—</w:t>
      </w:r>
      <w:r>
        <w:tab/>
        <w:t xml:space="preserve"> a referenciaévet megelőző második évben a kereskedelmi célú üzemet az adott termék vagy termék-alkategória előállításával kapcsolatban terhelő átlagos költségek, a munkaerőköltségek kivételével, PLN/hektárban kifejezve,</w:t>
      </w:r>
    </w:p>
    <w:p w14:paraId="69FB2D23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k</w:t>
      </w:r>
      <w:r>
        <w:rPr>
          <w:vertAlign w:val="subscript"/>
        </w:rPr>
        <w:t xml:space="preserve">n-3 </w:t>
      </w:r>
      <w:r>
        <w:t>—</w:t>
      </w:r>
      <w:r>
        <w:tab/>
        <w:t>a referenciaévet megelőző harmadik évben a kereskedelmi célú üzemet az adott termék vagy termék-alkategória előállításával kapcsolatban terhelő átlagos költségek, a munkaerőköltségek kivételével, PLN/hektárban kifejezve,</w:t>
      </w:r>
    </w:p>
    <w:p w14:paraId="63FF99A3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p</w:t>
      </w:r>
      <w:r>
        <w:rPr>
          <w:vertAlign w:val="subscript"/>
        </w:rPr>
        <w:t xml:space="preserve">n-1 </w:t>
      </w:r>
      <w:r>
        <w:t>—</w:t>
      </w:r>
      <w:r>
        <w:tab/>
        <w:t>a referenciaévet megelőző évben az adott termék vagy termék-alkategória kilogramm/hektárban kifejezett átlagos hozama a kereskedelmi célú üzemben,</w:t>
      </w:r>
    </w:p>
    <w:p w14:paraId="5FB60111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p</w:t>
      </w:r>
      <w:r>
        <w:rPr>
          <w:vertAlign w:val="subscript"/>
        </w:rPr>
        <w:t xml:space="preserve">n-2 </w:t>
      </w:r>
      <w:r>
        <w:t>—</w:t>
      </w:r>
      <w:r>
        <w:tab/>
        <w:t>a referenciaévet megelőző második évben az adott termék vagy termék-alkategória kilogramm/hektárban kifejezett átlagos hozama a kereskedelmi célú üzemben,</w:t>
      </w:r>
    </w:p>
    <w:p w14:paraId="6453D6DE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p</w:t>
      </w:r>
      <w:r>
        <w:rPr>
          <w:vertAlign w:val="subscript"/>
        </w:rPr>
        <w:t xml:space="preserve">n-3 </w:t>
      </w:r>
      <w:r>
        <w:t>—</w:t>
      </w:r>
      <w:r>
        <w:tab/>
        <w:t>a referenciaévet megelőző harmadik évben az adott termék vagy termék-alkategória kilogramm/hektárban kifejezett átlagos hozama a kereskedelmi célú üzemben,</w:t>
      </w:r>
    </w:p>
    <w:p w14:paraId="7F66FFDA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t</w:t>
      </w:r>
      <w:r>
        <w:rPr>
          <w:vertAlign w:val="subscript"/>
        </w:rPr>
        <w:t xml:space="preserve">n-1 </w:t>
      </w:r>
      <w:r>
        <w:t>—</w:t>
      </w:r>
      <w:r>
        <w:tab/>
        <w:t>a referenciaévet megelőző évben a kereskedelmi célú üzemben az adott termék vagy termék-alkategória előállítására szánt munkaórák átlagos száma óra/hektárban kifejezve,</w:t>
      </w:r>
    </w:p>
    <w:p w14:paraId="2D723C0B" w14:textId="77777777"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t</w:t>
      </w:r>
      <w:r>
        <w:rPr>
          <w:vertAlign w:val="subscript"/>
        </w:rPr>
        <w:t xml:space="preserve">n-2 </w:t>
      </w:r>
      <w:r>
        <w:t>—</w:t>
      </w:r>
      <w:r>
        <w:tab/>
        <w:t>a referenciaévet megelőző második évben a kereskedelmi célú üzemben az adott termék vagy termék-alkategória előállítására szánt munkaórák átlagos száma óra/hektárban kifejezve,</w:t>
      </w:r>
    </w:p>
    <w:p w14:paraId="12763090" w14:textId="77777777" w:rsid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t</w:t>
      </w:r>
      <w:r>
        <w:rPr>
          <w:vertAlign w:val="subscript"/>
        </w:rPr>
        <w:t xml:space="preserve">n-3 </w:t>
      </w:r>
      <w:r>
        <w:t>—</w:t>
      </w:r>
      <w:r>
        <w:tab/>
        <w:t>a referenciaévet megelőző harmadik évben a kereskedelmi célú üzemben az adott termék vagy termék-alkategória előállítására szánt munkaórák átlagos száma óra/hektárban kifejezve,</w:t>
      </w:r>
    </w:p>
    <w:p w14:paraId="5B31D17D" w14:textId="77777777" w:rsidR="007B149B" w:rsidRDefault="007F6A12" w:rsidP="00624C2A">
      <w:pPr>
        <w:pStyle w:val="ZLEGWMATFIZCHEMzmlegendywzorumatfizlubchemartykuempunktem"/>
        <w:rPr>
          <w:rFonts w:eastAsia="Times New Roman"/>
        </w:rPr>
      </w:pPr>
      <w:r>
        <w:lastRenderedPageBreak/>
        <w:t>g</w:t>
      </w:r>
      <w:r>
        <w:rPr>
          <w:vertAlign w:val="subscript"/>
        </w:rPr>
        <w:t xml:space="preserve">n-2 </w:t>
      </w:r>
      <w:r>
        <w:t>—</w:t>
      </w:r>
      <w:r>
        <w:tab/>
        <w:t>a referenciaévet megelőző második évben felmerült munkaerőköltségek PLN/hektárban kifejezve,</w:t>
      </w:r>
    </w:p>
    <w:p w14:paraId="213E85B3" w14:textId="77777777" w:rsidR="007B149B" w:rsidRPr="007B149B" w:rsidRDefault="00ED5616" w:rsidP="00624C2A">
      <w:pPr>
        <w:pStyle w:val="ZLEGWMATFIZCHEMzmlegendywzorumatfizlubchemartykuempunktem"/>
        <w:rPr>
          <w:rFonts w:eastAsia="Times New Roman"/>
        </w:rPr>
      </w:pPr>
      <w:r>
        <w:t>i</w:t>
      </w:r>
      <w:r>
        <w:rPr>
          <w:vertAlign w:val="subscript"/>
        </w:rPr>
        <w:t>n-1</w:t>
      </w:r>
      <w:r>
        <w:t xml:space="preserve"> —</w:t>
      </w:r>
      <w:r>
        <w:tab/>
        <w:t>a referenciaévet megelőző évben az ipari feldolgozó ágazatban a referenciaévet megelőző második évhez viszonyítva bekövetkezett bérváltozásokat jelölő mutató.</w:t>
      </w:r>
    </w:p>
    <w:p w14:paraId="769BDCF8" w14:textId="77777777" w:rsidR="007B149B" w:rsidRPr="007B149B" w:rsidRDefault="007B149B" w:rsidP="00900942">
      <w:pPr>
        <w:pStyle w:val="ZUSTzmustartykuempunktem"/>
        <w:keepNext/>
        <w:keepLines/>
        <w:rPr>
          <w:rFonts w:eastAsia="Times New Roman"/>
        </w:rPr>
      </w:pPr>
      <w:r>
        <w:t>(2) A referenciaár meghatározásakor:</w:t>
      </w:r>
    </w:p>
    <w:p w14:paraId="54791818" w14:textId="77777777" w:rsidR="007B149B" w:rsidRPr="007B149B" w:rsidRDefault="007B149B" w:rsidP="00624C2A">
      <w:pPr>
        <w:pStyle w:val="ZPKTzmpktartykuempunktem"/>
        <w:rPr>
          <w:rFonts w:eastAsia="Times New Roman"/>
        </w:rPr>
      </w:pPr>
      <w:r>
        <w:t>1)</w:t>
      </w:r>
      <w:r>
        <w:tab/>
        <w:t>a kereskedelmi célú üzemet az Európai Közösségben működő mezőgazdasági üzemek jövedelmére és üzleti tevékenységére vonatkozó számviteli adatok gyűjtésére szolgáló hálózat létrehozásáról szóló, 2009. november 30-i 1217/2009/EK tanácsi rendelet (HL L 328., 2009.12.15., 27. o., a módosítások szerint</w:t>
      </w:r>
      <w:r>
        <w:rPr>
          <w:rStyle w:val="FootnoteReference"/>
        </w:rPr>
        <w:footnoteReference w:id="4"/>
      </w:r>
      <w:r>
        <w:rPr>
          <w:rStyle w:val="IGindeksgrny"/>
        </w:rPr>
        <w:t>)</w:t>
      </w:r>
      <w:r>
        <w:t>) 5. cikke (1) bekezdésének első szakaszában említett mezőgazdasági üzemként kell értelmezni;</w:t>
      </w:r>
    </w:p>
    <w:p w14:paraId="449E3041" w14:textId="77777777" w:rsidR="007B149B" w:rsidRPr="007B149B" w:rsidRDefault="007B149B" w:rsidP="00624C2A">
      <w:pPr>
        <w:pStyle w:val="ZPKTzmpktartykuempunktem"/>
        <w:rPr>
          <w:rFonts w:eastAsia="Times New Roman"/>
        </w:rPr>
      </w:pPr>
      <w:r>
        <w:t>2)</w:t>
      </w:r>
      <w:r>
        <w:tab/>
        <w:t>a munkaerőköltséget a kereskedelmi célú üzemekben végzett munkáért nyújtandó átlagos javadalmazásként kell érteni.</w:t>
      </w:r>
    </w:p>
    <w:p w14:paraId="03ADF7CC" w14:textId="77777777" w:rsidR="007B149B" w:rsidRPr="007B149B" w:rsidRDefault="007B149B" w:rsidP="00624C2A">
      <w:pPr>
        <w:pStyle w:val="ZUSTzmustartykuempunktem"/>
        <w:rPr>
          <w:rFonts w:eastAsia="Times New Roman"/>
        </w:rPr>
      </w:pPr>
      <w:r>
        <w:t>(3) Egy adott termék és termék-alkategória referenciaárát a Nemzeti Kutatóintézet Mezőgazdasági és Élelmiszergazdasági Intézete által végzett kutatás eredményeképpen kapott adatok alapján kell meghatározni, míg a referenciaévet megelőző évben az ipari feldolgozó ágazatban a referenciaévet megelőző második évhez viszonyítva bekövetkezett bérváltozásokat jelölő mutatót a hivatalos statisztikákra vonatkozó rendelkezésekkel összhangban közzétett, rendelkezésre bocsátott vagy terjesztett statisztikai eredmények alapján kell meghatározni.</w:t>
      </w:r>
    </w:p>
    <w:p w14:paraId="4407F9D7" w14:textId="77777777" w:rsidR="00225E1D" w:rsidRDefault="007B149B" w:rsidP="00624C2A">
      <w:pPr>
        <w:pStyle w:val="ZUSTzmustartykuempunktem"/>
      </w:pPr>
      <w:r>
        <w:t>(4) A Nemzeti Kutatóintézet Mezőgazdasági és Élelmiszergazdasági Intézete a (3) bekezdésben említett adatokat minden év március 10-ig közzéteszi a Nyilvános Tájékoztató Közlöny weboldalán található saját oldalán.</w:t>
      </w:r>
    </w:p>
    <w:p w14:paraId="010897CF" w14:textId="77777777" w:rsidR="001E1984" w:rsidRPr="002016C0" w:rsidRDefault="003B7577" w:rsidP="00624C2A">
      <w:pPr>
        <w:pStyle w:val="ZUSTzmustartykuempunktem"/>
      </w:pPr>
      <w:r>
        <w:t>(5) A mezőgazdasági piacokért felelős miniszter rendelet útján határozza meg azoknak a termékeknek vagy termék-alkategóriáknak a jegyzékét, amelyek esetében referenciaárat állapított meg, figyelembe véve az adott termékek és termék-alkategóriák nemzeti mezőgazdasági előállítását, ezek kezelésének módját és a szerződéses előnnyel való visszaélés kockázatát.</w:t>
      </w:r>
    </w:p>
    <w:p w14:paraId="41B4867D" w14:textId="77777777" w:rsidR="00CB4B38" w:rsidRPr="00721BB9" w:rsidRDefault="003B7577" w:rsidP="00624C2A">
      <w:pPr>
        <w:pStyle w:val="ZUSTzmustartykuempunktem"/>
      </w:pPr>
      <w:r>
        <w:lastRenderedPageBreak/>
        <w:t>(6) A mezőgazdasági piacokért felelős miniszter minden év március 31-ig értesítés útján bejelenti az (5) bekezdésben említett jegyzékben szereplő termékek és termék-alkategóriák referenciaárát.”</w:t>
      </w:r>
    </w:p>
    <w:p w14:paraId="45983C48" w14:textId="77777777" w:rsidR="00C418F0" w:rsidRPr="00072863" w:rsidRDefault="00C418F0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3. cikk</w:t>
      </w:r>
      <w:r>
        <w:rPr>
          <w:rFonts w:ascii="Times New Roman" w:hAnsi="Times New Roman"/>
        </w:rPr>
        <w:t xml:space="preserve"> A mezőgazdasági termékpiacok közös szervezésének létrehozásáról, és a 922/72/EGK, a 234/79/EK, az 1037/2001/EK és az 1234/2007/EK tanácsi rendelet hatályon kívül helyezéséről szóló, 2013. december 17-i 1308/2013/EU európai parlamenti és tanácsi rendelet (HL L 347., 2013.12.20., 671. o., a módosítások szerint</w:t>
      </w:r>
      <w:r>
        <w:rPr>
          <w:rStyle w:val="FootnoteReference"/>
          <w:rFonts w:ascii="Times New Roman" w:hAnsi="Times New Roman"/>
        </w:rPr>
        <w:footnoteReference w:id="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) 1. cikkének (2) bekezdésében meghatározott ágazatokba tartozó mezőgazdasági termékek értékesítésére vonatkozó, e törvény hatálybalépése előtt megkötött szerződések az 1. cikkben módosított törvény aktuális szövegezésű rendelkezéseinek hatálya alá tartoznak.</w:t>
      </w:r>
    </w:p>
    <w:p w14:paraId="7C4D7769" w14:textId="77777777" w:rsidR="00F73BFC" w:rsidRPr="00072863" w:rsidRDefault="00C418F0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4. cikk</w:t>
      </w:r>
      <w:r>
        <w:rPr>
          <w:rFonts w:ascii="Times New Roman" w:hAnsi="Times New Roman"/>
        </w:rPr>
        <w:t xml:space="preserve"> Az 1. cikkben módosított törvény rendelkezéseinek értelmében kezdeményezett pénzbüntetések kiszabására irányuló és e törvény hatálybalépéséig jogerős határozattal nem lezárt eljárások esetében az 1. cikkben módosított törvény aktuális szövegezésű rendelkezései alkalmazandók.</w:t>
      </w:r>
    </w:p>
    <w:p w14:paraId="42EAEE81" w14:textId="77777777" w:rsidR="00A85504" w:rsidRDefault="00A85504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5. cikk</w:t>
      </w:r>
      <w:r>
        <w:rPr>
          <w:rFonts w:ascii="Times New Roman" w:hAnsi="Times New Roman"/>
        </w:rPr>
        <w:t xml:space="preserve"> A mezőgazdasági vagy élelmiszeripari termékek beszerzésére irányuló, a 6. cikkben említett értesítés bejelentésének napja előtt megkötött szerződések esetében a 2. cikkben módosított törvény aktuális szövegezésű rendelkezései alkalmazandók.</w:t>
      </w:r>
    </w:p>
    <w:p w14:paraId="49CCB257" w14:textId="77777777" w:rsidR="000B07C9" w:rsidRDefault="005C67D3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</w:rPr>
        <w:t>6. cikk</w:t>
      </w:r>
      <w:r>
        <w:rPr>
          <w:rFonts w:ascii="Times New Roman" w:hAnsi="Times New Roman"/>
        </w:rPr>
        <w:t xml:space="preserve"> 2019-ben a törvény hatálybalépésének napjától számított 14 napon belül a mezőgazdasági piacokért felelős miniszter értesítés útján bejelenti a 2. cikkben módosított törvény 7a. cikkének az e törvény által bevezetett szövegezésű (5) bekezdésében említett jegyzékben szereplő termékeknek és termék-alkategóriáknak az értesítés bejelentésének dátuma és 2020. március 31-e közötti időszakra vonatkozó referenciaárait.</w:t>
      </w:r>
    </w:p>
    <w:p w14:paraId="4CE28786" w14:textId="77777777" w:rsidR="00062717" w:rsidRDefault="00C418F0" w:rsidP="00624C2A">
      <w:pPr>
        <w:pStyle w:val="ARTartustawynprozporzdzenia"/>
      </w:pPr>
      <w:r>
        <w:rPr>
          <w:rStyle w:val="Ppogrubienie"/>
          <w:rFonts w:ascii="Times New Roman" w:hAnsi="Times New Roman"/>
        </w:rPr>
        <w:t>7. cikk</w:t>
      </w:r>
      <w:r>
        <w:t xml:space="preserve"> Ez a törvény a közzétételét követő 14. napon lép hatályba.</w:t>
      </w:r>
    </w:p>
    <w:sectPr w:rsidR="0006271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31AAA" w14:textId="77777777" w:rsidR="00210097" w:rsidRDefault="00210097">
      <w:r>
        <w:separator/>
      </w:r>
    </w:p>
  </w:endnote>
  <w:endnote w:type="continuationSeparator" w:id="0">
    <w:p w14:paraId="0CB95C9E" w14:textId="77777777" w:rsidR="00210097" w:rsidRDefault="0021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22C65" w14:textId="77777777" w:rsidR="00210097" w:rsidRDefault="00210097">
      <w:r>
        <w:separator/>
      </w:r>
    </w:p>
  </w:footnote>
  <w:footnote w:type="continuationSeparator" w:id="0">
    <w:p w14:paraId="2EAF59A6" w14:textId="77777777" w:rsidR="00210097" w:rsidRDefault="00210097">
      <w:r>
        <w:continuationSeparator/>
      </w:r>
    </w:p>
  </w:footnote>
  <w:footnote w:id="1">
    <w:p w14:paraId="5E7C0693" w14:textId="77777777" w:rsidR="00717F00" w:rsidRDefault="00717F00" w:rsidP="00B44A77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E rendeletről a műszaki szabályokkal és az információs társadalom szolgáltatásaira vonatkozó szabályokkal kapcsolatos információszolgáltatási eljárás megállapításáról szóló, 2015. szeptember 9-i (EU) 2015/1535 európai parlamenti és tanácsi irányelv (HL L 241., 2015.9.17., 1. o.) rendelkezéseit végrehajtó, a szabványokra és jogszabályokra vonatkozó nemzeti értesítési rendszer működéséről szóló, 2002. december 23-i minisztertanácsi rendelet (Jogi Közlöny [Dziennik Ustaw], 2039. tétel és 2004. évi 597. tétel) 4. §-ának megfelelően …-án/-én … számon értesítették az Európai Bizottságot.</w:t>
      </w:r>
    </w:p>
  </w:footnote>
  <w:footnote w:id="2">
    <w:p w14:paraId="57151E3A" w14:textId="11865D14" w:rsidR="00753937" w:rsidRDefault="00753937" w:rsidP="00924BC2">
      <w:pPr>
        <w:pStyle w:val="ODNONIKtreodnonika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>A rendelet módosításai az Európai Unió Hivatalos Lapjának alábbi számaiban kerültek közzétételre: HL L 347., 2013.12.20., 865. o., HL L 181., 2014.6.20., 1. o., HL L 280., 2014.9.24., 1. o., HL L 281., 2014.9.25., 1. o., HL L 367., 2014.12.23., 16. o., HL L 135., 2015.6.2., 8. o., HL L 28., 2016.2.4., 8. o., HL L 130., 2016.5.19., 16. o., HL L 167., 2017.6.30., 1. o., HL L 350., 2017.12.29., 15. o., HL L 30., 2018.2.2., 6. o., HL L 16., 2019.1.18., 1. o. és HL L 53., 2019.2.22., 14. o.</w:t>
      </w:r>
    </w:p>
  </w:footnote>
  <w:footnote w:id="3">
    <w:p w14:paraId="60357554" w14:textId="77777777" w:rsidR="006E575F" w:rsidRDefault="006E575F" w:rsidP="006E575F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Az említett törvény egységes szerkezetbe foglalt szövegének módosításai a Jogi Közlöny 2018. évi 1669., 2136., 2227., 2242., 2244. és 2245. tételében kerültek közzétételre.</w:t>
      </w:r>
    </w:p>
  </w:footnote>
  <w:footnote w:id="4">
    <w:p w14:paraId="7DE304AF" w14:textId="75E20F05" w:rsidR="00264817" w:rsidRDefault="00264817" w:rsidP="00FF7049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A rendelet módosításai az Európai Unió Hivatalos Lapjának alábbi számaiban kerültek közzétételre: HL L 195., 2011.7.27., 42. o., HL L 158., 2013.6.10., 1.o., HL L 340., 2013.12.17., 1.o., HL L 328., 2017.12.12., 1. o.</w:t>
      </w:r>
    </w:p>
  </w:footnote>
  <w:footnote w:id="5">
    <w:p w14:paraId="0937A05E" w14:textId="1DB2BD6D" w:rsidR="002647D7" w:rsidRPr="00F90C7E" w:rsidRDefault="002647D7" w:rsidP="00721BB9">
      <w:pPr>
        <w:pStyle w:val="ODNONIKtreodnonika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 xml:space="preserve">A rendelet módosításai az Európai Unió Hivatalos Lapjának alábbi számaiban kerültek közzétételre: HL L 347., 2013.12.20., 865. o., HL L 189., 2014.6.27., 261. o., HL L 130., 2016.5.19., 20. o., HL L 135., 2016.5.24., 1. o., HL L 193., 2016.7.19., 17. o., HL L 202., 2016.7.28., 5. o., HL L 91., 2017.4.5., 44. o., HL L 350., 2017.12.29., 15. o, HL L 114., 2018.5.4., 39. 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C2C3" w14:textId="77777777" w:rsidR="00CC3E3D" w:rsidRPr="00B371CC" w:rsidRDefault="00CC3E3D" w:rsidP="00B371CC">
    <w:pPr>
      <w:pStyle w:val="Header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1300D">
      <w:rPr>
        <w:noProof/>
      </w:rPr>
      <w:t>11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B3D"/>
    <w:multiLevelType w:val="hybridMultilevel"/>
    <w:tmpl w:val="A2E476FC"/>
    <w:lvl w:ilvl="0" w:tplc="04150017">
      <w:start w:val="1"/>
      <w:numFmt w:val="lowerLetter"/>
      <w:lvlText w:val="%1)"/>
      <w:lvlJc w:val="left"/>
      <w:pPr>
        <w:ind w:left="1707" w:hanging="360"/>
      </w:p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" w15:restartNumberingAfterBreak="0">
    <w:nsid w:val="285048AD"/>
    <w:multiLevelType w:val="hybridMultilevel"/>
    <w:tmpl w:val="B038F9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0A6670"/>
    <w:multiLevelType w:val="hybridMultilevel"/>
    <w:tmpl w:val="67F222F4"/>
    <w:lvl w:ilvl="0" w:tplc="F968B8FA">
      <w:start w:val="1"/>
      <w:numFmt w:val="bullet"/>
      <w:lvlText w:val="–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D50"/>
    <w:multiLevelType w:val="hybridMultilevel"/>
    <w:tmpl w:val="AFACF80E"/>
    <w:lvl w:ilvl="0" w:tplc="B150E068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41052CD9"/>
    <w:multiLevelType w:val="hybridMultilevel"/>
    <w:tmpl w:val="89AAAC2A"/>
    <w:lvl w:ilvl="0" w:tplc="F968B8FA">
      <w:start w:val="1"/>
      <w:numFmt w:val="bullet"/>
      <w:lvlText w:val="–"/>
      <w:lvlJc w:val="left"/>
      <w:pPr>
        <w:ind w:left="1230" w:hanging="360"/>
      </w:p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D7B0468"/>
    <w:multiLevelType w:val="hybridMultilevel"/>
    <w:tmpl w:val="A84E46BA"/>
    <w:lvl w:ilvl="0" w:tplc="8570C22C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641A0835"/>
    <w:multiLevelType w:val="hybridMultilevel"/>
    <w:tmpl w:val="9190B77C"/>
    <w:lvl w:ilvl="0" w:tplc="0D860C7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7BB9323A"/>
    <w:multiLevelType w:val="hybridMultilevel"/>
    <w:tmpl w:val="175C6FA8"/>
    <w:lvl w:ilvl="0" w:tplc="F968B8FA">
      <w:start w:val="1"/>
      <w:numFmt w:val="bullet"/>
      <w:lvlText w:val="–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A"/>
    <w:rsid w:val="00000753"/>
    <w:rsid w:val="000012DA"/>
    <w:rsid w:val="0000163D"/>
    <w:rsid w:val="0000246E"/>
    <w:rsid w:val="00003862"/>
    <w:rsid w:val="000065DE"/>
    <w:rsid w:val="00007FB5"/>
    <w:rsid w:val="00012A35"/>
    <w:rsid w:val="00012FF7"/>
    <w:rsid w:val="000139A7"/>
    <w:rsid w:val="00013CBA"/>
    <w:rsid w:val="000152EF"/>
    <w:rsid w:val="00016099"/>
    <w:rsid w:val="00017DC2"/>
    <w:rsid w:val="00020934"/>
    <w:rsid w:val="00020D2D"/>
    <w:rsid w:val="00021522"/>
    <w:rsid w:val="00023471"/>
    <w:rsid w:val="00023F13"/>
    <w:rsid w:val="00026368"/>
    <w:rsid w:val="00030634"/>
    <w:rsid w:val="000319C1"/>
    <w:rsid w:val="00031A8B"/>
    <w:rsid w:val="00031BAF"/>
    <w:rsid w:val="00031BCA"/>
    <w:rsid w:val="00031E97"/>
    <w:rsid w:val="000330FA"/>
    <w:rsid w:val="0003362F"/>
    <w:rsid w:val="00033FF3"/>
    <w:rsid w:val="00036B63"/>
    <w:rsid w:val="000376E8"/>
    <w:rsid w:val="00037E1A"/>
    <w:rsid w:val="00041E80"/>
    <w:rsid w:val="000420B2"/>
    <w:rsid w:val="00042251"/>
    <w:rsid w:val="00043495"/>
    <w:rsid w:val="0004373B"/>
    <w:rsid w:val="00045030"/>
    <w:rsid w:val="000458F1"/>
    <w:rsid w:val="00046A75"/>
    <w:rsid w:val="00047312"/>
    <w:rsid w:val="000508BD"/>
    <w:rsid w:val="000517AB"/>
    <w:rsid w:val="00051FD3"/>
    <w:rsid w:val="0005339C"/>
    <w:rsid w:val="00055111"/>
    <w:rsid w:val="0005571B"/>
    <w:rsid w:val="00057AB3"/>
    <w:rsid w:val="00057C6A"/>
    <w:rsid w:val="00057F0C"/>
    <w:rsid w:val="00060076"/>
    <w:rsid w:val="00060432"/>
    <w:rsid w:val="00060CA9"/>
    <w:rsid w:val="00060D87"/>
    <w:rsid w:val="000615A5"/>
    <w:rsid w:val="00062717"/>
    <w:rsid w:val="00062C5F"/>
    <w:rsid w:val="00064BB2"/>
    <w:rsid w:val="00064E4C"/>
    <w:rsid w:val="0006630C"/>
    <w:rsid w:val="00066452"/>
    <w:rsid w:val="0006671C"/>
    <w:rsid w:val="00066901"/>
    <w:rsid w:val="0007128A"/>
    <w:rsid w:val="00071BEE"/>
    <w:rsid w:val="00072863"/>
    <w:rsid w:val="000736CD"/>
    <w:rsid w:val="0007533B"/>
    <w:rsid w:val="0007545D"/>
    <w:rsid w:val="00075AC8"/>
    <w:rsid w:val="000760BF"/>
    <w:rsid w:val="0007613E"/>
    <w:rsid w:val="00076547"/>
    <w:rsid w:val="00076BFC"/>
    <w:rsid w:val="00076FCD"/>
    <w:rsid w:val="000814A7"/>
    <w:rsid w:val="000816DA"/>
    <w:rsid w:val="00085494"/>
    <w:rsid w:val="0008557B"/>
    <w:rsid w:val="00085CE7"/>
    <w:rsid w:val="00086D90"/>
    <w:rsid w:val="000906EE"/>
    <w:rsid w:val="0009107A"/>
    <w:rsid w:val="00091801"/>
    <w:rsid w:val="00091BA2"/>
    <w:rsid w:val="000944EF"/>
    <w:rsid w:val="0009732D"/>
    <w:rsid w:val="000973F0"/>
    <w:rsid w:val="000A0DCF"/>
    <w:rsid w:val="000A1296"/>
    <w:rsid w:val="000A1C27"/>
    <w:rsid w:val="000A1DAD"/>
    <w:rsid w:val="000A21BD"/>
    <w:rsid w:val="000A2649"/>
    <w:rsid w:val="000A323B"/>
    <w:rsid w:val="000A47E4"/>
    <w:rsid w:val="000A4B03"/>
    <w:rsid w:val="000A5842"/>
    <w:rsid w:val="000A5A7C"/>
    <w:rsid w:val="000B07C9"/>
    <w:rsid w:val="000B298D"/>
    <w:rsid w:val="000B3341"/>
    <w:rsid w:val="000B5B2D"/>
    <w:rsid w:val="000B5DCE"/>
    <w:rsid w:val="000B5F1E"/>
    <w:rsid w:val="000B7455"/>
    <w:rsid w:val="000B768B"/>
    <w:rsid w:val="000B7A07"/>
    <w:rsid w:val="000C05BA"/>
    <w:rsid w:val="000C0E8F"/>
    <w:rsid w:val="000C18CB"/>
    <w:rsid w:val="000C4BC4"/>
    <w:rsid w:val="000D0110"/>
    <w:rsid w:val="000D04B4"/>
    <w:rsid w:val="000D2468"/>
    <w:rsid w:val="000D29E9"/>
    <w:rsid w:val="000D318A"/>
    <w:rsid w:val="000D5616"/>
    <w:rsid w:val="000D5944"/>
    <w:rsid w:val="000D6072"/>
    <w:rsid w:val="000D6173"/>
    <w:rsid w:val="000D6260"/>
    <w:rsid w:val="000D6F83"/>
    <w:rsid w:val="000D74A1"/>
    <w:rsid w:val="000D7B28"/>
    <w:rsid w:val="000E25CC"/>
    <w:rsid w:val="000E3694"/>
    <w:rsid w:val="000E419B"/>
    <w:rsid w:val="000E490F"/>
    <w:rsid w:val="000E6241"/>
    <w:rsid w:val="000F1029"/>
    <w:rsid w:val="000F2687"/>
    <w:rsid w:val="000F2BE3"/>
    <w:rsid w:val="000F3D0D"/>
    <w:rsid w:val="000F3DAE"/>
    <w:rsid w:val="000F47C5"/>
    <w:rsid w:val="000F6DB2"/>
    <w:rsid w:val="000F6DF1"/>
    <w:rsid w:val="000F6ED4"/>
    <w:rsid w:val="000F7A6E"/>
    <w:rsid w:val="001042BA"/>
    <w:rsid w:val="00106D03"/>
    <w:rsid w:val="00110465"/>
    <w:rsid w:val="00110628"/>
    <w:rsid w:val="0011245A"/>
    <w:rsid w:val="00113227"/>
    <w:rsid w:val="00113885"/>
    <w:rsid w:val="0011493E"/>
    <w:rsid w:val="00114C7C"/>
    <w:rsid w:val="00115A6E"/>
    <w:rsid w:val="00115B72"/>
    <w:rsid w:val="00116477"/>
    <w:rsid w:val="00117088"/>
    <w:rsid w:val="001209EC"/>
    <w:rsid w:val="00120A9E"/>
    <w:rsid w:val="00121714"/>
    <w:rsid w:val="001221F2"/>
    <w:rsid w:val="001254F3"/>
    <w:rsid w:val="00125697"/>
    <w:rsid w:val="00125A9C"/>
    <w:rsid w:val="00125B73"/>
    <w:rsid w:val="00125D0A"/>
    <w:rsid w:val="001270A2"/>
    <w:rsid w:val="00131237"/>
    <w:rsid w:val="001314F4"/>
    <w:rsid w:val="001316F8"/>
    <w:rsid w:val="001329AC"/>
    <w:rsid w:val="00134ACB"/>
    <w:rsid w:val="00134CA0"/>
    <w:rsid w:val="001362A2"/>
    <w:rsid w:val="00137BB1"/>
    <w:rsid w:val="0014026F"/>
    <w:rsid w:val="001453F0"/>
    <w:rsid w:val="001464DE"/>
    <w:rsid w:val="00147A47"/>
    <w:rsid w:val="00147AA1"/>
    <w:rsid w:val="00150D74"/>
    <w:rsid w:val="001520CF"/>
    <w:rsid w:val="00152A11"/>
    <w:rsid w:val="001537DF"/>
    <w:rsid w:val="0015667C"/>
    <w:rsid w:val="00157110"/>
    <w:rsid w:val="0015742A"/>
    <w:rsid w:val="0015794A"/>
    <w:rsid w:val="00157DA1"/>
    <w:rsid w:val="00161CD7"/>
    <w:rsid w:val="00163147"/>
    <w:rsid w:val="001635F8"/>
    <w:rsid w:val="0016432C"/>
    <w:rsid w:val="00164C57"/>
    <w:rsid w:val="00164C9D"/>
    <w:rsid w:val="001669D4"/>
    <w:rsid w:val="00166AA0"/>
    <w:rsid w:val="00172F7A"/>
    <w:rsid w:val="00173150"/>
    <w:rsid w:val="00173390"/>
    <w:rsid w:val="001736F0"/>
    <w:rsid w:val="00173BB3"/>
    <w:rsid w:val="001740D0"/>
    <w:rsid w:val="00174F2C"/>
    <w:rsid w:val="00176A45"/>
    <w:rsid w:val="00176DB5"/>
    <w:rsid w:val="00180F2A"/>
    <w:rsid w:val="00183562"/>
    <w:rsid w:val="00184B91"/>
    <w:rsid w:val="00184D4A"/>
    <w:rsid w:val="00185F40"/>
    <w:rsid w:val="00186EC1"/>
    <w:rsid w:val="00191E1F"/>
    <w:rsid w:val="001946FE"/>
    <w:rsid w:val="0019473B"/>
    <w:rsid w:val="00194D47"/>
    <w:rsid w:val="001952B1"/>
    <w:rsid w:val="00196E39"/>
    <w:rsid w:val="00197649"/>
    <w:rsid w:val="001A01FB"/>
    <w:rsid w:val="001A10E9"/>
    <w:rsid w:val="001A183D"/>
    <w:rsid w:val="001A2B65"/>
    <w:rsid w:val="001A3A93"/>
    <w:rsid w:val="001A3CD3"/>
    <w:rsid w:val="001A5BEF"/>
    <w:rsid w:val="001A7F15"/>
    <w:rsid w:val="001B16EA"/>
    <w:rsid w:val="001B1A26"/>
    <w:rsid w:val="001B312B"/>
    <w:rsid w:val="001B342E"/>
    <w:rsid w:val="001B4D4B"/>
    <w:rsid w:val="001B53A8"/>
    <w:rsid w:val="001B6630"/>
    <w:rsid w:val="001C1832"/>
    <w:rsid w:val="001C188C"/>
    <w:rsid w:val="001C1BCB"/>
    <w:rsid w:val="001C2842"/>
    <w:rsid w:val="001C5745"/>
    <w:rsid w:val="001C63F9"/>
    <w:rsid w:val="001C6693"/>
    <w:rsid w:val="001D1783"/>
    <w:rsid w:val="001D524C"/>
    <w:rsid w:val="001D53CD"/>
    <w:rsid w:val="001D55A3"/>
    <w:rsid w:val="001D5AF5"/>
    <w:rsid w:val="001E162A"/>
    <w:rsid w:val="001E1984"/>
    <w:rsid w:val="001E1E73"/>
    <w:rsid w:val="001E33F2"/>
    <w:rsid w:val="001E351B"/>
    <w:rsid w:val="001E4E0C"/>
    <w:rsid w:val="001E526D"/>
    <w:rsid w:val="001E5655"/>
    <w:rsid w:val="001E671E"/>
    <w:rsid w:val="001F034C"/>
    <w:rsid w:val="001F11A9"/>
    <w:rsid w:val="001F1832"/>
    <w:rsid w:val="001F220F"/>
    <w:rsid w:val="001F25B3"/>
    <w:rsid w:val="001F5310"/>
    <w:rsid w:val="001F6616"/>
    <w:rsid w:val="00200D7D"/>
    <w:rsid w:val="002013C9"/>
    <w:rsid w:val="002016C0"/>
    <w:rsid w:val="00202BD4"/>
    <w:rsid w:val="00202DF5"/>
    <w:rsid w:val="00204A97"/>
    <w:rsid w:val="00210097"/>
    <w:rsid w:val="0021047D"/>
    <w:rsid w:val="00210D63"/>
    <w:rsid w:val="002114EF"/>
    <w:rsid w:val="002121E0"/>
    <w:rsid w:val="002166AD"/>
    <w:rsid w:val="00217871"/>
    <w:rsid w:val="0022062F"/>
    <w:rsid w:val="00220D9C"/>
    <w:rsid w:val="00221ACB"/>
    <w:rsid w:val="00221ED8"/>
    <w:rsid w:val="00222927"/>
    <w:rsid w:val="002231EA"/>
    <w:rsid w:val="00223FDF"/>
    <w:rsid w:val="00225E1D"/>
    <w:rsid w:val="002279C0"/>
    <w:rsid w:val="00230624"/>
    <w:rsid w:val="00232989"/>
    <w:rsid w:val="0023727E"/>
    <w:rsid w:val="00240858"/>
    <w:rsid w:val="00241148"/>
    <w:rsid w:val="00241EA6"/>
    <w:rsid w:val="00242081"/>
    <w:rsid w:val="0024373E"/>
    <w:rsid w:val="00243777"/>
    <w:rsid w:val="00243EFD"/>
    <w:rsid w:val="002441CD"/>
    <w:rsid w:val="00244BF6"/>
    <w:rsid w:val="00245151"/>
    <w:rsid w:val="002501A3"/>
    <w:rsid w:val="0025166C"/>
    <w:rsid w:val="0025235F"/>
    <w:rsid w:val="002555D4"/>
    <w:rsid w:val="00255C2C"/>
    <w:rsid w:val="002567B6"/>
    <w:rsid w:val="00261A16"/>
    <w:rsid w:val="00263522"/>
    <w:rsid w:val="00263EB7"/>
    <w:rsid w:val="002647D7"/>
    <w:rsid w:val="00264817"/>
    <w:rsid w:val="00264EB4"/>
    <w:rsid w:val="00264EC6"/>
    <w:rsid w:val="0026742F"/>
    <w:rsid w:val="00271013"/>
    <w:rsid w:val="00271DD4"/>
    <w:rsid w:val="00273FE4"/>
    <w:rsid w:val="002765B4"/>
    <w:rsid w:val="002768F6"/>
    <w:rsid w:val="00276A94"/>
    <w:rsid w:val="00280E93"/>
    <w:rsid w:val="00281F76"/>
    <w:rsid w:val="00283424"/>
    <w:rsid w:val="00284B95"/>
    <w:rsid w:val="00284E0D"/>
    <w:rsid w:val="002851B7"/>
    <w:rsid w:val="0029405D"/>
    <w:rsid w:val="00294536"/>
    <w:rsid w:val="00294BAC"/>
    <w:rsid w:val="00294FA6"/>
    <w:rsid w:val="00295A6F"/>
    <w:rsid w:val="00297F6C"/>
    <w:rsid w:val="002A1625"/>
    <w:rsid w:val="002A18FD"/>
    <w:rsid w:val="002A20C4"/>
    <w:rsid w:val="002A3055"/>
    <w:rsid w:val="002A3F0D"/>
    <w:rsid w:val="002A51B9"/>
    <w:rsid w:val="002A570F"/>
    <w:rsid w:val="002A571F"/>
    <w:rsid w:val="002A68BF"/>
    <w:rsid w:val="002A7292"/>
    <w:rsid w:val="002A7358"/>
    <w:rsid w:val="002A7902"/>
    <w:rsid w:val="002A79AD"/>
    <w:rsid w:val="002B0F6B"/>
    <w:rsid w:val="002B22C2"/>
    <w:rsid w:val="002B23B8"/>
    <w:rsid w:val="002B2A20"/>
    <w:rsid w:val="002B4429"/>
    <w:rsid w:val="002B5992"/>
    <w:rsid w:val="002B6831"/>
    <w:rsid w:val="002B68A6"/>
    <w:rsid w:val="002B7FAF"/>
    <w:rsid w:val="002C0337"/>
    <w:rsid w:val="002C129C"/>
    <w:rsid w:val="002C4851"/>
    <w:rsid w:val="002C4977"/>
    <w:rsid w:val="002C4B73"/>
    <w:rsid w:val="002D0C4F"/>
    <w:rsid w:val="002D1364"/>
    <w:rsid w:val="002D165B"/>
    <w:rsid w:val="002D2141"/>
    <w:rsid w:val="002D4D30"/>
    <w:rsid w:val="002D5000"/>
    <w:rsid w:val="002D598D"/>
    <w:rsid w:val="002D7188"/>
    <w:rsid w:val="002E1BA1"/>
    <w:rsid w:val="002E1DE3"/>
    <w:rsid w:val="002E2AB6"/>
    <w:rsid w:val="002E3F34"/>
    <w:rsid w:val="002E5F44"/>
    <w:rsid w:val="002E5F79"/>
    <w:rsid w:val="002E64FA"/>
    <w:rsid w:val="002E7572"/>
    <w:rsid w:val="002F0A00"/>
    <w:rsid w:val="002F0ABC"/>
    <w:rsid w:val="002F0CFA"/>
    <w:rsid w:val="002F3F25"/>
    <w:rsid w:val="002F3FE6"/>
    <w:rsid w:val="002F5E67"/>
    <w:rsid w:val="002F669F"/>
    <w:rsid w:val="002F785E"/>
    <w:rsid w:val="00301B46"/>
    <w:rsid w:val="00301C97"/>
    <w:rsid w:val="00305C0C"/>
    <w:rsid w:val="00306C91"/>
    <w:rsid w:val="00307CE0"/>
    <w:rsid w:val="0031004C"/>
    <w:rsid w:val="003105F6"/>
    <w:rsid w:val="00311297"/>
    <w:rsid w:val="003113BE"/>
    <w:rsid w:val="00312147"/>
    <w:rsid w:val="003122CA"/>
    <w:rsid w:val="003136B9"/>
    <w:rsid w:val="00313837"/>
    <w:rsid w:val="00313BB8"/>
    <w:rsid w:val="003148FD"/>
    <w:rsid w:val="0031657E"/>
    <w:rsid w:val="00317031"/>
    <w:rsid w:val="0031739C"/>
    <w:rsid w:val="00321080"/>
    <w:rsid w:val="00322346"/>
    <w:rsid w:val="00322D45"/>
    <w:rsid w:val="0032569A"/>
    <w:rsid w:val="00325A1F"/>
    <w:rsid w:val="003268F9"/>
    <w:rsid w:val="0032700A"/>
    <w:rsid w:val="0032745B"/>
    <w:rsid w:val="00330BAF"/>
    <w:rsid w:val="00331C3D"/>
    <w:rsid w:val="00334E3A"/>
    <w:rsid w:val="003361DD"/>
    <w:rsid w:val="00336D22"/>
    <w:rsid w:val="003406CE"/>
    <w:rsid w:val="00340B0E"/>
    <w:rsid w:val="00341A6A"/>
    <w:rsid w:val="00343AC7"/>
    <w:rsid w:val="003458E6"/>
    <w:rsid w:val="00345B9C"/>
    <w:rsid w:val="003465F0"/>
    <w:rsid w:val="0035086C"/>
    <w:rsid w:val="00352DAE"/>
    <w:rsid w:val="00354EB9"/>
    <w:rsid w:val="003602AE"/>
    <w:rsid w:val="00360929"/>
    <w:rsid w:val="0036192F"/>
    <w:rsid w:val="003647D5"/>
    <w:rsid w:val="003674B0"/>
    <w:rsid w:val="00367611"/>
    <w:rsid w:val="00367B70"/>
    <w:rsid w:val="0037146D"/>
    <w:rsid w:val="0037329C"/>
    <w:rsid w:val="003771E9"/>
    <w:rsid w:val="0037727C"/>
    <w:rsid w:val="00377E70"/>
    <w:rsid w:val="00380904"/>
    <w:rsid w:val="003818E3"/>
    <w:rsid w:val="0038202D"/>
    <w:rsid w:val="003823EE"/>
    <w:rsid w:val="00382960"/>
    <w:rsid w:val="003834A3"/>
    <w:rsid w:val="003846F7"/>
    <w:rsid w:val="003851ED"/>
    <w:rsid w:val="003852BC"/>
    <w:rsid w:val="00385B39"/>
    <w:rsid w:val="00386045"/>
    <w:rsid w:val="00386785"/>
    <w:rsid w:val="00390C5D"/>
    <w:rsid w:val="00390E89"/>
    <w:rsid w:val="00391B1A"/>
    <w:rsid w:val="00394423"/>
    <w:rsid w:val="0039556D"/>
    <w:rsid w:val="00396942"/>
    <w:rsid w:val="00396B49"/>
    <w:rsid w:val="00396E3E"/>
    <w:rsid w:val="003A1FC1"/>
    <w:rsid w:val="003A306E"/>
    <w:rsid w:val="003A4304"/>
    <w:rsid w:val="003A60DC"/>
    <w:rsid w:val="003A6A46"/>
    <w:rsid w:val="003A7A63"/>
    <w:rsid w:val="003B000C"/>
    <w:rsid w:val="003B0EDD"/>
    <w:rsid w:val="003B0F1D"/>
    <w:rsid w:val="003B1C64"/>
    <w:rsid w:val="003B330A"/>
    <w:rsid w:val="003B48AC"/>
    <w:rsid w:val="003B4A57"/>
    <w:rsid w:val="003B7577"/>
    <w:rsid w:val="003C0AD9"/>
    <w:rsid w:val="003C0ED0"/>
    <w:rsid w:val="003C1680"/>
    <w:rsid w:val="003C1D35"/>
    <w:rsid w:val="003C1D49"/>
    <w:rsid w:val="003C2687"/>
    <w:rsid w:val="003C344E"/>
    <w:rsid w:val="003C35C4"/>
    <w:rsid w:val="003C5872"/>
    <w:rsid w:val="003C7670"/>
    <w:rsid w:val="003C7BFB"/>
    <w:rsid w:val="003D12C2"/>
    <w:rsid w:val="003D31B9"/>
    <w:rsid w:val="003D3867"/>
    <w:rsid w:val="003D3C3D"/>
    <w:rsid w:val="003D5F8B"/>
    <w:rsid w:val="003E0D1A"/>
    <w:rsid w:val="003E1B23"/>
    <w:rsid w:val="003E2C72"/>
    <w:rsid w:val="003E2DA3"/>
    <w:rsid w:val="003E2EE1"/>
    <w:rsid w:val="003E793F"/>
    <w:rsid w:val="003F020D"/>
    <w:rsid w:val="003F03D9"/>
    <w:rsid w:val="003F05C8"/>
    <w:rsid w:val="003F2FBE"/>
    <w:rsid w:val="003F318D"/>
    <w:rsid w:val="003F5B77"/>
    <w:rsid w:val="003F5BAE"/>
    <w:rsid w:val="003F6ED7"/>
    <w:rsid w:val="003F730B"/>
    <w:rsid w:val="00401C84"/>
    <w:rsid w:val="00403210"/>
    <w:rsid w:val="004035BB"/>
    <w:rsid w:val="004035EB"/>
    <w:rsid w:val="0040604F"/>
    <w:rsid w:val="00407332"/>
    <w:rsid w:val="00407828"/>
    <w:rsid w:val="00413D8E"/>
    <w:rsid w:val="004140F2"/>
    <w:rsid w:val="004178E3"/>
    <w:rsid w:val="00417B22"/>
    <w:rsid w:val="00420BCD"/>
    <w:rsid w:val="00421085"/>
    <w:rsid w:val="00421433"/>
    <w:rsid w:val="0042465E"/>
    <w:rsid w:val="00424DF7"/>
    <w:rsid w:val="00425BDE"/>
    <w:rsid w:val="00427D24"/>
    <w:rsid w:val="00432286"/>
    <w:rsid w:val="00432B76"/>
    <w:rsid w:val="00432DBE"/>
    <w:rsid w:val="00434D01"/>
    <w:rsid w:val="00435D26"/>
    <w:rsid w:val="0043761E"/>
    <w:rsid w:val="00440C99"/>
    <w:rsid w:val="0044175C"/>
    <w:rsid w:val="00445A0E"/>
    <w:rsid w:val="00445B5E"/>
    <w:rsid w:val="00445F4D"/>
    <w:rsid w:val="004504C0"/>
    <w:rsid w:val="004550FB"/>
    <w:rsid w:val="00460E21"/>
    <w:rsid w:val="0046111A"/>
    <w:rsid w:val="00461542"/>
    <w:rsid w:val="0046164B"/>
    <w:rsid w:val="0046227C"/>
    <w:rsid w:val="00462946"/>
    <w:rsid w:val="00463379"/>
    <w:rsid w:val="00463F43"/>
    <w:rsid w:val="00464B94"/>
    <w:rsid w:val="004653A8"/>
    <w:rsid w:val="00465A0B"/>
    <w:rsid w:val="0047077C"/>
    <w:rsid w:val="00470B05"/>
    <w:rsid w:val="0047207C"/>
    <w:rsid w:val="00472890"/>
    <w:rsid w:val="00472CD6"/>
    <w:rsid w:val="00474A3D"/>
    <w:rsid w:val="00474E3C"/>
    <w:rsid w:val="00480A58"/>
    <w:rsid w:val="00480DDC"/>
    <w:rsid w:val="004817D3"/>
    <w:rsid w:val="00481835"/>
    <w:rsid w:val="00481F6E"/>
    <w:rsid w:val="00482151"/>
    <w:rsid w:val="00483CC4"/>
    <w:rsid w:val="00485FAD"/>
    <w:rsid w:val="00487AED"/>
    <w:rsid w:val="00491EDF"/>
    <w:rsid w:val="00492A3F"/>
    <w:rsid w:val="00494F62"/>
    <w:rsid w:val="00495F5A"/>
    <w:rsid w:val="004967AC"/>
    <w:rsid w:val="004A0D9E"/>
    <w:rsid w:val="004A1C85"/>
    <w:rsid w:val="004A2001"/>
    <w:rsid w:val="004A25A8"/>
    <w:rsid w:val="004A27BE"/>
    <w:rsid w:val="004A3590"/>
    <w:rsid w:val="004A4809"/>
    <w:rsid w:val="004B00A7"/>
    <w:rsid w:val="004B25E2"/>
    <w:rsid w:val="004B34D7"/>
    <w:rsid w:val="004B45B8"/>
    <w:rsid w:val="004B5037"/>
    <w:rsid w:val="004B52F4"/>
    <w:rsid w:val="004B531C"/>
    <w:rsid w:val="004B5B2F"/>
    <w:rsid w:val="004B626A"/>
    <w:rsid w:val="004B660E"/>
    <w:rsid w:val="004B6D9A"/>
    <w:rsid w:val="004C05BD"/>
    <w:rsid w:val="004C256B"/>
    <w:rsid w:val="004C3B06"/>
    <w:rsid w:val="004C3F97"/>
    <w:rsid w:val="004C5867"/>
    <w:rsid w:val="004C6CB1"/>
    <w:rsid w:val="004C7EE7"/>
    <w:rsid w:val="004D2DEE"/>
    <w:rsid w:val="004D2E1F"/>
    <w:rsid w:val="004D356D"/>
    <w:rsid w:val="004D4F76"/>
    <w:rsid w:val="004D7FD9"/>
    <w:rsid w:val="004E06C4"/>
    <w:rsid w:val="004E1324"/>
    <w:rsid w:val="004E17CC"/>
    <w:rsid w:val="004E19A5"/>
    <w:rsid w:val="004E37E5"/>
    <w:rsid w:val="004E3FDB"/>
    <w:rsid w:val="004E583C"/>
    <w:rsid w:val="004E5B3A"/>
    <w:rsid w:val="004E5BF6"/>
    <w:rsid w:val="004F199C"/>
    <w:rsid w:val="004F1F4A"/>
    <w:rsid w:val="004F296D"/>
    <w:rsid w:val="004F4490"/>
    <w:rsid w:val="004F508B"/>
    <w:rsid w:val="004F5AE0"/>
    <w:rsid w:val="004F6721"/>
    <w:rsid w:val="004F695F"/>
    <w:rsid w:val="004F6CA4"/>
    <w:rsid w:val="004F7B33"/>
    <w:rsid w:val="00500752"/>
    <w:rsid w:val="0050198A"/>
    <w:rsid w:val="00501A50"/>
    <w:rsid w:val="00502099"/>
    <w:rsid w:val="0050222D"/>
    <w:rsid w:val="00503AF3"/>
    <w:rsid w:val="00503D9E"/>
    <w:rsid w:val="00504827"/>
    <w:rsid w:val="0050696D"/>
    <w:rsid w:val="00510707"/>
    <w:rsid w:val="0051094B"/>
    <w:rsid w:val="005110D7"/>
    <w:rsid w:val="00511D99"/>
    <w:rsid w:val="00512277"/>
    <w:rsid w:val="005128D3"/>
    <w:rsid w:val="0051293B"/>
    <w:rsid w:val="005147E8"/>
    <w:rsid w:val="005158F2"/>
    <w:rsid w:val="00522776"/>
    <w:rsid w:val="00524DED"/>
    <w:rsid w:val="00525B87"/>
    <w:rsid w:val="00526DFC"/>
    <w:rsid w:val="00526F43"/>
    <w:rsid w:val="005274BF"/>
    <w:rsid w:val="00527651"/>
    <w:rsid w:val="00530346"/>
    <w:rsid w:val="00530426"/>
    <w:rsid w:val="005309F4"/>
    <w:rsid w:val="005331C0"/>
    <w:rsid w:val="00534EE1"/>
    <w:rsid w:val="005363AB"/>
    <w:rsid w:val="00542A15"/>
    <w:rsid w:val="0054309B"/>
    <w:rsid w:val="00544EF4"/>
    <w:rsid w:val="00545E53"/>
    <w:rsid w:val="0054784F"/>
    <w:rsid w:val="005479D9"/>
    <w:rsid w:val="0055151A"/>
    <w:rsid w:val="00552A58"/>
    <w:rsid w:val="005563CA"/>
    <w:rsid w:val="00556870"/>
    <w:rsid w:val="005572BD"/>
    <w:rsid w:val="00557A12"/>
    <w:rsid w:val="0056000B"/>
    <w:rsid w:val="00560AC7"/>
    <w:rsid w:val="00560E8C"/>
    <w:rsid w:val="00561AFB"/>
    <w:rsid w:val="00561FA8"/>
    <w:rsid w:val="005635ED"/>
    <w:rsid w:val="0056481C"/>
    <w:rsid w:val="00565253"/>
    <w:rsid w:val="005659EA"/>
    <w:rsid w:val="005664C0"/>
    <w:rsid w:val="00570191"/>
    <w:rsid w:val="00570570"/>
    <w:rsid w:val="00570827"/>
    <w:rsid w:val="00572512"/>
    <w:rsid w:val="0057385B"/>
    <w:rsid w:val="00573EE6"/>
    <w:rsid w:val="00574B35"/>
    <w:rsid w:val="0057547F"/>
    <w:rsid w:val="005754EE"/>
    <w:rsid w:val="00576040"/>
    <w:rsid w:val="0057617E"/>
    <w:rsid w:val="00576497"/>
    <w:rsid w:val="00577244"/>
    <w:rsid w:val="005777C3"/>
    <w:rsid w:val="00580AB4"/>
    <w:rsid w:val="00581BDF"/>
    <w:rsid w:val="00581D0D"/>
    <w:rsid w:val="005835E7"/>
    <w:rsid w:val="0058397F"/>
    <w:rsid w:val="00583BF8"/>
    <w:rsid w:val="00583F78"/>
    <w:rsid w:val="00585C4B"/>
    <w:rsid w:val="00585F33"/>
    <w:rsid w:val="0059066D"/>
    <w:rsid w:val="00590DD7"/>
    <w:rsid w:val="00591124"/>
    <w:rsid w:val="005935FF"/>
    <w:rsid w:val="0059423D"/>
    <w:rsid w:val="00595390"/>
    <w:rsid w:val="00597024"/>
    <w:rsid w:val="00597A23"/>
    <w:rsid w:val="005A0274"/>
    <w:rsid w:val="005A095C"/>
    <w:rsid w:val="005A13AF"/>
    <w:rsid w:val="005A17D6"/>
    <w:rsid w:val="005A3058"/>
    <w:rsid w:val="005A30EF"/>
    <w:rsid w:val="005A669D"/>
    <w:rsid w:val="005A6F3E"/>
    <w:rsid w:val="005A75D8"/>
    <w:rsid w:val="005B5BA6"/>
    <w:rsid w:val="005B713E"/>
    <w:rsid w:val="005C03B6"/>
    <w:rsid w:val="005C348E"/>
    <w:rsid w:val="005C51CA"/>
    <w:rsid w:val="005C67D3"/>
    <w:rsid w:val="005C68E1"/>
    <w:rsid w:val="005C7518"/>
    <w:rsid w:val="005D183B"/>
    <w:rsid w:val="005D3763"/>
    <w:rsid w:val="005D3C52"/>
    <w:rsid w:val="005D3F6A"/>
    <w:rsid w:val="005D55E1"/>
    <w:rsid w:val="005E1132"/>
    <w:rsid w:val="005E19F7"/>
    <w:rsid w:val="005E3C8F"/>
    <w:rsid w:val="005E42D1"/>
    <w:rsid w:val="005E4F04"/>
    <w:rsid w:val="005E5182"/>
    <w:rsid w:val="005E62C2"/>
    <w:rsid w:val="005E6C71"/>
    <w:rsid w:val="005F0963"/>
    <w:rsid w:val="005F2824"/>
    <w:rsid w:val="005F2EBA"/>
    <w:rsid w:val="005F35ED"/>
    <w:rsid w:val="005F43E1"/>
    <w:rsid w:val="005F7812"/>
    <w:rsid w:val="005F7A88"/>
    <w:rsid w:val="006006AD"/>
    <w:rsid w:val="00603A1A"/>
    <w:rsid w:val="006046D5"/>
    <w:rsid w:val="00607614"/>
    <w:rsid w:val="00607A93"/>
    <w:rsid w:val="00610C08"/>
    <w:rsid w:val="00611F74"/>
    <w:rsid w:val="00614AFC"/>
    <w:rsid w:val="0061563E"/>
    <w:rsid w:val="00615772"/>
    <w:rsid w:val="006201AA"/>
    <w:rsid w:val="00620E95"/>
    <w:rsid w:val="00621256"/>
    <w:rsid w:val="00621FCC"/>
    <w:rsid w:val="00622227"/>
    <w:rsid w:val="00622E4B"/>
    <w:rsid w:val="00623821"/>
    <w:rsid w:val="00624C2A"/>
    <w:rsid w:val="00625544"/>
    <w:rsid w:val="00627160"/>
    <w:rsid w:val="006317A4"/>
    <w:rsid w:val="00632423"/>
    <w:rsid w:val="00632479"/>
    <w:rsid w:val="00632E1F"/>
    <w:rsid w:val="006333DA"/>
    <w:rsid w:val="00634D37"/>
    <w:rsid w:val="00635134"/>
    <w:rsid w:val="006356E2"/>
    <w:rsid w:val="00635AC7"/>
    <w:rsid w:val="006424FF"/>
    <w:rsid w:val="00642A65"/>
    <w:rsid w:val="00645DCE"/>
    <w:rsid w:val="006465AC"/>
    <w:rsid w:val="006465BF"/>
    <w:rsid w:val="0065378B"/>
    <w:rsid w:val="00653B22"/>
    <w:rsid w:val="00655710"/>
    <w:rsid w:val="00657BF4"/>
    <w:rsid w:val="006603FB"/>
    <w:rsid w:val="006608DF"/>
    <w:rsid w:val="006615D5"/>
    <w:rsid w:val="006623AC"/>
    <w:rsid w:val="006678AF"/>
    <w:rsid w:val="0067005F"/>
    <w:rsid w:val="006701EF"/>
    <w:rsid w:val="00673131"/>
    <w:rsid w:val="00673BA5"/>
    <w:rsid w:val="00677B35"/>
    <w:rsid w:val="00680058"/>
    <w:rsid w:val="00681F9F"/>
    <w:rsid w:val="006840EA"/>
    <w:rsid w:val="006844E2"/>
    <w:rsid w:val="00685267"/>
    <w:rsid w:val="006872AE"/>
    <w:rsid w:val="006872E6"/>
    <w:rsid w:val="00690082"/>
    <w:rsid w:val="00690252"/>
    <w:rsid w:val="0069295D"/>
    <w:rsid w:val="006935F7"/>
    <w:rsid w:val="006946BB"/>
    <w:rsid w:val="00694E98"/>
    <w:rsid w:val="00696955"/>
    <w:rsid w:val="006969FA"/>
    <w:rsid w:val="006A17A3"/>
    <w:rsid w:val="006A35D5"/>
    <w:rsid w:val="006A399A"/>
    <w:rsid w:val="006A51D3"/>
    <w:rsid w:val="006A5799"/>
    <w:rsid w:val="006A6405"/>
    <w:rsid w:val="006A748A"/>
    <w:rsid w:val="006A7B0F"/>
    <w:rsid w:val="006B030B"/>
    <w:rsid w:val="006B5E29"/>
    <w:rsid w:val="006C0278"/>
    <w:rsid w:val="006C2DF8"/>
    <w:rsid w:val="006C419E"/>
    <w:rsid w:val="006C4A31"/>
    <w:rsid w:val="006C5AC2"/>
    <w:rsid w:val="006C6AFB"/>
    <w:rsid w:val="006C6C1D"/>
    <w:rsid w:val="006C730D"/>
    <w:rsid w:val="006D0DBE"/>
    <w:rsid w:val="006D1958"/>
    <w:rsid w:val="006D2735"/>
    <w:rsid w:val="006D28C4"/>
    <w:rsid w:val="006D4019"/>
    <w:rsid w:val="006D4351"/>
    <w:rsid w:val="006D45B2"/>
    <w:rsid w:val="006E03CC"/>
    <w:rsid w:val="006E0FCC"/>
    <w:rsid w:val="006E1E96"/>
    <w:rsid w:val="006E1F6B"/>
    <w:rsid w:val="006E2DA1"/>
    <w:rsid w:val="006E305A"/>
    <w:rsid w:val="006E32E1"/>
    <w:rsid w:val="006E382F"/>
    <w:rsid w:val="006E4AE7"/>
    <w:rsid w:val="006E53C2"/>
    <w:rsid w:val="006E575F"/>
    <w:rsid w:val="006E5A8D"/>
    <w:rsid w:val="006E5E21"/>
    <w:rsid w:val="006E6B60"/>
    <w:rsid w:val="006E75F5"/>
    <w:rsid w:val="006F2648"/>
    <w:rsid w:val="006F2ECB"/>
    <w:rsid w:val="006F2F10"/>
    <w:rsid w:val="006F482B"/>
    <w:rsid w:val="006F6311"/>
    <w:rsid w:val="00701952"/>
    <w:rsid w:val="0070244D"/>
    <w:rsid w:val="00702556"/>
    <w:rsid w:val="0070277E"/>
    <w:rsid w:val="0070318B"/>
    <w:rsid w:val="00704156"/>
    <w:rsid w:val="007069FC"/>
    <w:rsid w:val="00706B3A"/>
    <w:rsid w:val="00711221"/>
    <w:rsid w:val="00712675"/>
    <w:rsid w:val="0071290D"/>
    <w:rsid w:val="007129D6"/>
    <w:rsid w:val="00713808"/>
    <w:rsid w:val="0071517F"/>
    <w:rsid w:val="007151B6"/>
    <w:rsid w:val="0071520D"/>
    <w:rsid w:val="00715EDB"/>
    <w:rsid w:val="007160D5"/>
    <w:rsid w:val="007163FB"/>
    <w:rsid w:val="00717C2E"/>
    <w:rsid w:val="00717F00"/>
    <w:rsid w:val="007204FA"/>
    <w:rsid w:val="007213B3"/>
    <w:rsid w:val="00721BB9"/>
    <w:rsid w:val="00721FE1"/>
    <w:rsid w:val="0072457F"/>
    <w:rsid w:val="00725406"/>
    <w:rsid w:val="0072621B"/>
    <w:rsid w:val="00730555"/>
    <w:rsid w:val="007312CC"/>
    <w:rsid w:val="00731ACA"/>
    <w:rsid w:val="007350F1"/>
    <w:rsid w:val="007353FA"/>
    <w:rsid w:val="00735657"/>
    <w:rsid w:val="00736A64"/>
    <w:rsid w:val="00737F6A"/>
    <w:rsid w:val="00740C90"/>
    <w:rsid w:val="007410B6"/>
    <w:rsid w:val="007431E2"/>
    <w:rsid w:val="00744041"/>
    <w:rsid w:val="00744C6F"/>
    <w:rsid w:val="007457F6"/>
    <w:rsid w:val="00745ABB"/>
    <w:rsid w:val="00746E38"/>
    <w:rsid w:val="00747CD5"/>
    <w:rsid w:val="0075207B"/>
    <w:rsid w:val="007538F3"/>
    <w:rsid w:val="00753937"/>
    <w:rsid w:val="00753B51"/>
    <w:rsid w:val="00754B45"/>
    <w:rsid w:val="00756629"/>
    <w:rsid w:val="00756E4D"/>
    <w:rsid w:val="007575D2"/>
    <w:rsid w:val="00757B4F"/>
    <w:rsid w:val="00757B6A"/>
    <w:rsid w:val="007610E0"/>
    <w:rsid w:val="007621AA"/>
    <w:rsid w:val="0076260A"/>
    <w:rsid w:val="00763D47"/>
    <w:rsid w:val="00764A67"/>
    <w:rsid w:val="00764E25"/>
    <w:rsid w:val="00765131"/>
    <w:rsid w:val="00767723"/>
    <w:rsid w:val="00770F6B"/>
    <w:rsid w:val="00771883"/>
    <w:rsid w:val="00772C0F"/>
    <w:rsid w:val="00772EC2"/>
    <w:rsid w:val="00774693"/>
    <w:rsid w:val="00776DC2"/>
    <w:rsid w:val="00776E76"/>
    <w:rsid w:val="00780122"/>
    <w:rsid w:val="0078214B"/>
    <w:rsid w:val="0078498A"/>
    <w:rsid w:val="00792207"/>
    <w:rsid w:val="00792293"/>
    <w:rsid w:val="00792B64"/>
    <w:rsid w:val="00792E29"/>
    <w:rsid w:val="0079379A"/>
    <w:rsid w:val="00794953"/>
    <w:rsid w:val="007A16E0"/>
    <w:rsid w:val="007A1F2F"/>
    <w:rsid w:val="007A2A5C"/>
    <w:rsid w:val="007A3276"/>
    <w:rsid w:val="007A3CF5"/>
    <w:rsid w:val="007A5150"/>
    <w:rsid w:val="007A5373"/>
    <w:rsid w:val="007A5A56"/>
    <w:rsid w:val="007A789F"/>
    <w:rsid w:val="007A7F9D"/>
    <w:rsid w:val="007B149B"/>
    <w:rsid w:val="007B3C2A"/>
    <w:rsid w:val="007B418B"/>
    <w:rsid w:val="007B75BC"/>
    <w:rsid w:val="007C0BD6"/>
    <w:rsid w:val="007C2E14"/>
    <w:rsid w:val="007C3806"/>
    <w:rsid w:val="007C5BB7"/>
    <w:rsid w:val="007D07D5"/>
    <w:rsid w:val="007D198D"/>
    <w:rsid w:val="007D1C64"/>
    <w:rsid w:val="007D2351"/>
    <w:rsid w:val="007D32DD"/>
    <w:rsid w:val="007D463A"/>
    <w:rsid w:val="007D59CA"/>
    <w:rsid w:val="007D6903"/>
    <w:rsid w:val="007D6DCE"/>
    <w:rsid w:val="007D72C4"/>
    <w:rsid w:val="007D7400"/>
    <w:rsid w:val="007D7F62"/>
    <w:rsid w:val="007E1A7F"/>
    <w:rsid w:val="007E2CFE"/>
    <w:rsid w:val="007E304E"/>
    <w:rsid w:val="007E46DF"/>
    <w:rsid w:val="007E59C9"/>
    <w:rsid w:val="007E7370"/>
    <w:rsid w:val="007F0072"/>
    <w:rsid w:val="007F21F8"/>
    <w:rsid w:val="007F2EB6"/>
    <w:rsid w:val="007F4FA6"/>
    <w:rsid w:val="007F54C3"/>
    <w:rsid w:val="007F6128"/>
    <w:rsid w:val="007F657F"/>
    <w:rsid w:val="007F6A12"/>
    <w:rsid w:val="008002A3"/>
    <w:rsid w:val="00800762"/>
    <w:rsid w:val="00802949"/>
    <w:rsid w:val="0080301E"/>
    <w:rsid w:val="0080324A"/>
    <w:rsid w:val="0080365F"/>
    <w:rsid w:val="00803781"/>
    <w:rsid w:val="00804083"/>
    <w:rsid w:val="00804510"/>
    <w:rsid w:val="00804993"/>
    <w:rsid w:val="0080687A"/>
    <w:rsid w:val="00806885"/>
    <w:rsid w:val="00812BE5"/>
    <w:rsid w:val="00814ED0"/>
    <w:rsid w:val="00817429"/>
    <w:rsid w:val="008207CC"/>
    <w:rsid w:val="00821514"/>
    <w:rsid w:val="00821E35"/>
    <w:rsid w:val="00824591"/>
    <w:rsid w:val="00824AED"/>
    <w:rsid w:val="0082632C"/>
    <w:rsid w:val="008264C6"/>
    <w:rsid w:val="00827820"/>
    <w:rsid w:val="00831292"/>
    <w:rsid w:val="00831B8B"/>
    <w:rsid w:val="00832069"/>
    <w:rsid w:val="0083268E"/>
    <w:rsid w:val="0083405D"/>
    <w:rsid w:val="008352D4"/>
    <w:rsid w:val="00835788"/>
    <w:rsid w:val="00836321"/>
    <w:rsid w:val="00836D86"/>
    <w:rsid w:val="00836DB9"/>
    <w:rsid w:val="0083741B"/>
    <w:rsid w:val="00837C67"/>
    <w:rsid w:val="00837E2D"/>
    <w:rsid w:val="0084032E"/>
    <w:rsid w:val="008415B0"/>
    <w:rsid w:val="00842028"/>
    <w:rsid w:val="00842720"/>
    <w:rsid w:val="008436B8"/>
    <w:rsid w:val="00843C9A"/>
    <w:rsid w:val="008460B6"/>
    <w:rsid w:val="008509D8"/>
    <w:rsid w:val="00850C9D"/>
    <w:rsid w:val="00852731"/>
    <w:rsid w:val="00852B59"/>
    <w:rsid w:val="00854D4F"/>
    <w:rsid w:val="00856272"/>
    <w:rsid w:val="008563FF"/>
    <w:rsid w:val="00857614"/>
    <w:rsid w:val="0086018B"/>
    <w:rsid w:val="008611DD"/>
    <w:rsid w:val="008620DE"/>
    <w:rsid w:val="00864CA9"/>
    <w:rsid w:val="00866867"/>
    <w:rsid w:val="008673B1"/>
    <w:rsid w:val="0086759C"/>
    <w:rsid w:val="00872257"/>
    <w:rsid w:val="0087250D"/>
    <w:rsid w:val="00873D7A"/>
    <w:rsid w:val="008740DC"/>
    <w:rsid w:val="008748CD"/>
    <w:rsid w:val="008753E6"/>
    <w:rsid w:val="0087738C"/>
    <w:rsid w:val="008802AF"/>
    <w:rsid w:val="00880E74"/>
    <w:rsid w:val="00881293"/>
    <w:rsid w:val="00881926"/>
    <w:rsid w:val="008825D9"/>
    <w:rsid w:val="00883167"/>
    <w:rsid w:val="0088318F"/>
    <w:rsid w:val="0088331D"/>
    <w:rsid w:val="008852B0"/>
    <w:rsid w:val="00885AE7"/>
    <w:rsid w:val="00885CE5"/>
    <w:rsid w:val="00886B60"/>
    <w:rsid w:val="00887889"/>
    <w:rsid w:val="008918ED"/>
    <w:rsid w:val="008919C2"/>
    <w:rsid w:val="008920FF"/>
    <w:rsid w:val="008926E8"/>
    <w:rsid w:val="008942FB"/>
    <w:rsid w:val="00894F19"/>
    <w:rsid w:val="008962D1"/>
    <w:rsid w:val="0089630C"/>
    <w:rsid w:val="00896311"/>
    <w:rsid w:val="00896A10"/>
    <w:rsid w:val="008971B5"/>
    <w:rsid w:val="008A2B8F"/>
    <w:rsid w:val="008A5116"/>
    <w:rsid w:val="008A5910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259"/>
    <w:rsid w:val="008C1DD7"/>
    <w:rsid w:val="008C260F"/>
    <w:rsid w:val="008C3524"/>
    <w:rsid w:val="008C4061"/>
    <w:rsid w:val="008C4229"/>
    <w:rsid w:val="008C5BE0"/>
    <w:rsid w:val="008C7233"/>
    <w:rsid w:val="008D115B"/>
    <w:rsid w:val="008D2434"/>
    <w:rsid w:val="008D2C67"/>
    <w:rsid w:val="008D6006"/>
    <w:rsid w:val="008D60C4"/>
    <w:rsid w:val="008D63AD"/>
    <w:rsid w:val="008E0010"/>
    <w:rsid w:val="008E171D"/>
    <w:rsid w:val="008E2785"/>
    <w:rsid w:val="008E62C7"/>
    <w:rsid w:val="008E78A3"/>
    <w:rsid w:val="008E7EE2"/>
    <w:rsid w:val="008F0654"/>
    <w:rsid w:val="008F06CB"/>
    <w:rsid w:val="008F2E83"/>
    <w:rsid w:val="008F3553"/>
    <w:rsid w:val="008F49A8"/>
    <w:rsid w:val="008F5036"/>
    <w:rsid w:val="008F579A"/>
    <w:rsid w:val="008F612A"/>
    <w:rsid w:val="00900942"/>
    <w:rsid w:val="00901071"/>
    <w:rsid w:val="0090293D"/>
    <w:rsid w:val="009034DE"/>
    <w:rsid w:val="00905396"/>
    <w:rsid w:val="0090605D"/>
    <w:rsid w:val="00906419"/>
    <w:rsid w:val="00906771"/>
    <w:rsid w:val="009076F3"/>
    <w:rsid w:val="00907A44"/>
    <w:rsid w:val="00912889"/>
    <w:rsid w:val="00913A42"/>
    <w:rsid w:val="00914167"/>
    <w:rsid w:val="009143DB"/>
    <w:rsid w:val="00915065"/>
    <w:rsid w:val="00917CE5"/>
    <w:rsid w:val="00917DCE"/>
    <w:rsid w:val="009217C0"/>
    <w:rsid w:val="00922A9D"/>
    <w:rsid w:val="00923A09"/>
    <w:rsid w:val="00924BC2"/>
    <w:rsid w:val="00925241"/>
    <w:rsid w:val="00925CEC"/>
    <w:rsid w:val="00926A3F"/>
    <w:rsid w:val="00926E93"/>
    <w:rsid w:val="0092794E"/>
    <w:rsid w:val="009304CD"/>
    <w:rsid w:val="00930905"/>
    <w:rsid w:val="00930D30"/>
    <w:rsid w:val="00931317"/>
    <w:rsid w:val="009332A2"/>
    <w:rsid w:val="0093353B"/>
    <w:rsid w:val="00934918"/>
    <w:rsid w:val="00937598"/>
    <w:rsid w:val="0093790B"/>
    <w:rsid w:val="00942A4A"/>
    <w:rsid w:val="00942DF0"/>
    <w:rsid w:val="00943751"/>
    <w:rsid w:val="00945080"/>
    <w:rsid w:val="009460B8"/>
    <w:rsid w:val="00946DD0"/>
    <w:rsid w:val="009509E6"/>
    <w:rsid w:val="00952018"/>
    <w:rsid w:val="00952675"/>
    <w:rsid w:val="00952800"/>
    <w:rsid w:val="0095300D"/>
    <w:rsid w:val="00955DCD"/>
    <w:rsid w:val="00956812"/>
    <w:rsid w:val="0095719A"/>
    <w:rsid w:val="00961324"/>
    <w:rsid w:val="009623E9"/>
    <w:rsid w:val="00963EEB"/>
    <w:rsid w:val="009648BC"/>
    <w:rsid w:val="00964C2F"/>
    <w:rsid w:val="00965F88"/>
    <w:rsid w:val="009710BC"/>
    <w:rsid w:val="00972807"/>
    <w:rsid w:val="00973581"/>
    <w:rsid w:val="00974202"/>
    <w:rsid w:val="00976502"/>
    <w:rsid w:val="0098021E"/>
    <w:rsid w:val="009809DC"/>
    <w:rsid w:val="009812E5"/>
    <w:rsid w:val="00984489"/>
    <w:rsid w:val="00984E03"/>
    <w:rsid w:val="00986080"/>
    <w:rsid w:val="00987B64"/>
    <w:rsid w:val="00987E85"/>
    <w:rsid w:val="00990AFE"/>
    <w:rsid w:val="009914D7"/>
    <w:rsid w:val="00992504"/>
    <w:rsid w:val="00996C34"/>
    <w:rsid w:val="00996DE9"/>
    <w:rsid w:val="009A0D12"/>
    <w:rsid w:val="009A0FED"/>
    <w:rsid w:val="009A1987"/>
    <w:rsid w:val="009A2102"/>
    <w:rsid w:val="009A2223"/>
    <w:rsid w:val="009A2BEE"/>
    <w:rsid w:val="009A2D13"/>
    <w:rsid w:val="009A416F"/>
    <w:rsid w:val="009A5289"/>
    <w:rsid w:val="009A7A53"/>
    <w:rsid w:val="009B0402"/>
    <w:rsid w:val="009B0B75"/>
    <w:rsid w:val="009B16DF"/>
    <w:rsid w:val="009B2A12"/>
    <w:rsid w:val="009B4352"/>
    <w:rsid w:val="009B4852"/>
    <w:rsid w:val="009B4CB2"/>
    <w:rsid w:val="009B616F"/>
    <w:rsid w:val="009B6701"/>
    <w:rsid w:val="009B6EF7"/>
    <w:rsid w:val="009B7000"/>
    <w:rsid w:val="009B739C"/>
    <w:rsid w:val="009C04EC"/>
    <w:rsid w:val="009C10FD"/>
    <w:rsid w:val="009C328C"/>
    <w:rsid w:val="009C412C"/>
    <w:rsid w:val="009C4444"/>
    <w:rsid w:val="009C79AD"/>
    <w:rsid w:val="009C7CA6"/>
    <w:rsid w:val="009D04FA"/>
    <w:rsid w:val="009D1B0D"/>
    <w:rsid w:val="009D3316"/>
    <w:rsid w:val="009D55AA"/>
    <w:rsid w:val="009E3E77"/>
    <w:rsid w:val="009E3FAB"/>
    <w:rsid w:val="009E5B3F"/>
    <w:rsid w:val="009E65EA"/>
    <w:rsid w:val="009E7D90"/>
    <w:rsid w:val="009E7FFA"/>
    <w:rsid w:val="009F0A8D"/>
    <w:rsid w:val="009F0C73"/>
    <w:rsid w:val="009F1AB0"/>
    <w:rsid w:val="009F479E"/>
    <w:rsid w:val="009F501D"/>
    <w:rsid w:val="00A023C8"/>
    <w:rsid w:val="00A039D5"/>
    <w:rsid w:val="00A046AD"/>
    <w:rsid w:val="00A06C58"/>
    <w:rsid w:val="00A079C1"/>
    <w:rsid w:val="00A11019"/>
    <w:rsid w:val="00A12520"/>
    <w:rsid w:val="00A130FD"/>
    <w:rsid w:val="00A1319A"/>
    <w:rsid w:val="00A13D6D"/>
    <w:rsid w:val="00A14769"/>
    <w:rsid w:val="00A14D85"/>
    <w:rsid w:val="00A16151"/>
    <w:rsid w:val="00A16EC6"/>
    <w:rsid w:val="00A17C06"/>
    <w:rsid w:val="00A2126E"/>
    <w:rsid w:val="00A21706"/>
    <w:rsid w:val="00A22C27"/>
    <w:rsid w:val="00A24FCC"/>
    <w:rsid w:val="00A25390"/>
    <w:rsid w:val="00A267C3"/>
    <w:rsid w:val="00A26A90"/>
    <w:rsid w:val="00A26B27"/>
    <w:rsid w:val="00A30A2B"/>
    <w:rsid w:val="00A30E4F"/>
    <w:rsid w:val="00A32253"/>
    <w:rsid w:val="00A3310E"/>
    <w:rsid w:val="00A333A0"/>
    <w:rsid w:val="00A376BC"/>
    <w:rsid w:val="00A37AA0"/>
    <w:rsid w:val="00A37E70"/>
    <w:rsid w:val="00A437E1"/>
    <w:rsid w:val="00A4685E"/>
    <w:rsid w:val="00A50CD4"/>
    <w:rsid w:val="00A51191"/>
    <w:rsid w:val="00A51486"/>
    <w:rsid w:val="00A52C4C"/>
    <w:rsid w:val="00A536DE"/>
    <w:rsid w:val="00A56535"/>
    <w:rsid w:val="00A56D62"/>
    <w:rsid w:val="00A56F07"/>
    <w:rsid w:val="00A5762C"/>
    <w:rsid w:val="00A57BA5"/>
    <w:rsid w:val="00A600FC"/>
    <w:rsid w:val="00A60BCA"/>
    <w:rsid w:val="00A638DA"/>
    <w:rsid w:val="00A63FFF"/>
    <w:rsid w:val="00A6444D"/>
    <w:rsid w:val="00A65B41"/>
    <w:rsid w:val="00A65E00"/>
    <w:rsid w:val="00A66A78"/>
    <w:rsid w:val="00A67918"/>
    <w:rsid w:val="00A7436E"/>
    <w:rsid w:val="00A74E96"/>
    <w:rsid w:val="00A75A8E"/>
    <w:rsid w:val="00A767CD"/>
    <w:rsid w:val="00A77843"/>
    <w:rsid w:val="00A77F2E"/>
    <w:rsid w:val="00A824DD"/>
    <w:rsid w:val="00A83676"/>
    <w:rsid w:val="00A83B7B"/>
    <w:rsid w:val="00A84274"/>
    <w:rsid w:val="00A850F3"/>
    <w:rsid w:val="00A85504"/>
    <w:rsid w:val="00A864E3"/>
    <w:rsid w:val="00A9429A"/>
    <w:rsid w:val="00A94571"/>
    <w:rsid w:val="00A94574"/>
    <w:rsid w:val="00A94722"/>
    <w:rsid w:val="00A94B2C"/>
    <w:rsid w:val="00A95936"/>
    <w:rsid w:val="00A96265"/>
    <w:rsid w:val="00A96295"/>
    <w:rsid w:val="00A96B74"/>
    <w:rsid w:val="00A97084"/>
    <w:rsid w:val="00A97EDD"/>
    <w:rsid w:val="00AA018B"/>
    <w:rsid w:val="00AA1A49"/>
    <w:rsid w:val="00AA1C2C"/>
    <w:rsid w:val="00AA1C3C"/>
    <w:rsid w:val="00AA3494"/>
    <w:rsid w:val="00AA35F6"/>
    <w:rsid w:val="00AA4D18"/>
    <w:rsid w:val="00AA667C"/>
    <w:rsid w:val="00AA699B"/>
    <w:rsid w:val="00AA6E91"/>
    <w:rsid w:val="00AA7439"/>
    <w:rsid w:val="00AB047E"/>
    <w:rsid w:val="00AB05E4"/>
    <w:rsid w:val="00AB0B0A"/>
    <w:rsid w:val="00AB0BB7"/>
    <w:rsid w:val="00AB11DD"/>
    <w:rsid w:val="00AB1E24"/>
    <w:rsid w:val="00AB22C6"/>
    <w:rsid w:val="00AB2AD0"/>
    <w:rsid w:val="00AB3EFE"/>
    <w:rsid w:val="00AB451B"/>
    <w:rsid w:val="00AB6598"/>
    <w:rsid w:val="00AB67FC"/>
    <w:rsid w:val="00AB7C14"/>
    <w:rsid w:val="00AC00F2"/>
    <w:rsid w:val="00AC09C4"/>
    <w:rsid w:val="00AC31B5"/>
    <w:rsid w:val="00AC4EA1"/>
    <w:rsid w:val="00AC515A"/>
    <w:rsid w:val="00AC5381"/>
    <w:rsid w:val="00AC5920"/>
    <w:rsid w:val="00AC5AD9"/>
    <w:rsid w:val="00AC6B8E"/>
    <w:rsid w:val="00AC7052"/>
    <w:rsid w:val="00AC7836"/>
    <w:rsid w:val="00AD024E"/>
    <w:rsid w:val="00AD03CB"/>
    <w:rsid w:val="00AD0E65"/>
    <w:rsid w:val="00AD2AFB"/>
    <w:rsid w:val="00AD2BF2"/>
    <w:rsid w:val="00AD4E90"/>
    <w:rsid w:val="00AD5422"/>
    <w:rsid w:val="00AD5E36"/>
    <w:rsid w:val="00AD7978"/>
    <w:rsid w:val="00AE1E43"/>
    <w:rsid w:val="00AE31C0"/>
    <w:rsid w:val="00AE4179"/>
    <w:rsid w:val="00AE4425"/>
    <w:rsid w:val="00AE4FBE"/>
    <w:rsid w:val="00AE650F"/>
    <w:rsid w:val="00AE6555"/>
    <w:rsid w:val="00AE6BF0"/>
    <w:rsid w:val="00AE7D16"/>
    <w:rsid w:val="00AF1EB8"/>
    <w:rsid w:val="00AF4CAA"/>
    <w:rsid w:val="00AF571A"/>
    <w:rsid w:val="00AF60A0"/>
    <w:rsid w:val="00AF67FC"/>
    <w:rsid w:val="00AF698D"/>
    <w:rsid w:val="00AF7A95"/>
    <w:rsid w:val="00AF7D9A"/>
    <w:rsid w:val="00AF7DF5"/>
    <w:rsid w:val="00B0048D"/>
    <w:rsid w:val="00B006E5"/>
    <w:rsid w:val="00B01B0A"/>
    <w:rsid w:val="00B024C2"/>
    <w:rsid w:val="00B0284C"/>
    <w:rsid w:val="00B0405B"/>
    <w:rsid w:val="00B04673"/>
    <w:rsid w:val="00B05CED"/>
    <w:rsid w:val="00B07700"/>
    <w:rsid w:val="00B1249F"/>
    <w:rsid w:val="00B13921"/>
    <w:rsid w:val="00B1528C"/>
    <w:rsid w:val="00B16ACD"/>
    <w:rsid w:val="00B176EE"/>
    <w:rsid w:val="00B206DE"/>
    <w:rsid w:val="00B20EC1"/>
    <w:rsid w:val="00B21487"/>
    <w:rsid w:val="00B232D1"/>
    <w:rsid w:val="00B241C8"/>
    <w:rsid w:val="00B2458A"/>
    <w:rsid w:val="00B24DB5"/>
    <w:rsid w:val="00B30490"/>
    <w:rsid w:val="00B31F9E"/>
    <w:rsid w:val="00B3268F"/>
    <w:rsid w:val="00B32C2C"/>
    <w:rsid w:val="00B33558"/>
    <w:rsid w:val="00B33A1A"/>
    <w:rsid w:val="00B33B24"/>
    <w:rsid w:val="00B33E6C"/>
    <w:rsid w:val="00B371CC"/>
    <w:rsid w:val="00B408EB"/>
    <w:rsid w:val="00B409D6"/>
    <w:rsid w:val="00B41684"/>
    <w:rsid w:val="00B41CD9"/>
    <w:rsid w:val="00B41E58"/>
    <w:rsid w:val="00B427E6"/>
    <w:rsid w:val="00B428A6"/>
    <w:rsid w:val="00B431DD"/>
    <w:rsid w:val="00B437A6"/>
    <w:rsid w:val="00B43E1F"/>
    <w:rsid w:val="00B44A77"/>
    <w:rsid w:val="00B45FBC"/>
    <w:rsid w:val="00B51A7D"/>
    <w:rsid w:val="00B535C2"/>
    <w:rsid w:val="00B55544"/>
    <w:rsid w:val="00B57DF1"/>
    <w:rsid w:val="00B62E95"/>
    <w:rsid w:val="00B639F7"/>
    <w:rsid w:val="00B64026"/>
    <w:rsid w:val="00B642FC"/>
    <w:rsid w:val="00B6434E"/>
    <w:rsid w:val="00B64D26"/>
    <w:rsid w:val="00B64D98"/>
    <w:rsid w:val="00B64FBB"/>
    <w:rsid w:val="00B668E8"/>
    <w:rsid w:val="00B677A5"/>
    <w:rsid w:val="00B70E22"/>
    <w:rsid w:val="00B71DBA"/>
    <w:rsid w:val="00B740A8"/>
    <w:rsid w:val="00B75A87"/>
    <w:rsid w:val="00B76497"/>
    <w:rsid w:val="00B76C5D"/>
    <w:rsid w:val="00B774CB"/>
    <w:rsid w:val="00B80220"/>
    <w:rsid w:val="00B80402"/>
    <w:rsid w:val="00B80B9A"/>
    <w:rsid w:val="00B830B7"/>
    <w:rsid w:val="00B848EA"/>
    <w:rsid w:val="00B84B2B"/>
    <w:rsid w:val="00B852D0"/>
    <w:rsid w:val="00B858B3"/>
    <w:rsid w:val="00B877A3"/>
    <w:rsid w:val="00B90500"/>
    <w:rsid w:val="00B90859"/>
    <w:rsid w:val="00B9176C"/>
    <w:rsid w:val="00B91D09"/>
    <w:rsid w:val="00B928D4"/>
    <w:rsid w:val="00B935A4"/>
    <w:rsid w:val="00B96084"/>
    <w:rsid w:val="00B96790"/>
    <w:rsid w:val="00B96C82"/>
    <w:rsid w:val="00BA287B"/>
    <w:rsid w:val="00BA3713"/>
    <w:rsid w:val="00BA561A"/>
    <w:rsid w:val="00BA6ED8"/>
    <w:rsid w:val="00BA7160"/>
    <w:rsid w:val="00BA7810"/>
    <w:rsid w:val="00BB0015"/>
    <w:rsid w:val="00BB0DC6"/>
    <w:rsid w:val="00BB15E4"/>
    <w:rsid w:val="00BB1E19"/>
    <w:rsid w:val="00BB21D1"/>
    <w:rsid w:val="00BB32F2"/>
    <w:rsid w:val="00BB4338"/>
    <w:rsid w:val="00BB637D"/>
    <w:rsid w:val="00BB6BEF"/>
    <w:rsid w:val="00BB6C0E"/>
    <w:rsid w:val="00BB705E"/>
    <w:rsid w:val="00BB7B38"/>
    <w:rsid w:val="00BC11E5"/>
    <w:rsid w:val="00BC4BC6"/>
    <w:rsid w:val="00BC52FD"/>
    <w:rsid w:val="00BC5763"/>
    <w:rsid w:val="00BC6E62"/>
    <w:rsid w:val="00BC7443"/>
    <w:rsid w:val="00BD0648"/>
    <w:rsid w:val="00BD0DAA"/>
    <w:rsid w:val="00BD1040"/>
    <w:rsid w:val="00BD34AA"/>
    <w:rsid w:val="00BD5584"/>
    <w:rsid w:val="00BD6F10"/>
    <w:rsid w:val="00BD7842"/>
    <w:rsid w:val="00BE0C44"/>
    <w:rsid w:val="00BE1B8B"/>
    <w:rsid w:val="00BE2A18"/>
    <w:rsid w:val="00BE2C01"/>
    <w:rsid w:val="00BE3D19"/>
    <w:rsid w:val="00BE41EC"/>
    <w:rsid w:val="00BE4B5C"/>
    <w:rsid w:val="00BE56FB"/>
    <w:rsid w:val="00BE5B56"/>
    <w:rsid w:val="00BE62F3"/>
    <w:rsid w:val="00BE7E3A"/>
    <w:rsid w:val="00BF1403"/>
    <w:rsid w:val="00BF3DDE"/>
    <w:rsid w:val="00BF55CF"/>
    <w:rsid w:val="00BF6589"/>
    <w:rsid w:val="00BF6F7F"/>
    <w:rsid w:val="00C00534"/>
    <w:rsid w:val="00C00647"/>
    <w:rsid w:val="00C02764"/>
    <w:rsid w:val="00C04CEF"/>
    <w:rsid w:val="00C0662F"/>
    <w:rsid w:val="00C069C0"/>
    <w:rsid w:val="00C10ED3"/>
    <w:rsid w:val="00C11943"/>
    <w:rsid w:val="00C12D18"/>
    <w:rsid w:val="00C12E96"/>
    <w:rsid w:val="00C14763"/>
    <w:rsid w:val="00C16141"/>
    <w:rsid w:val="00C17013"/>
    <w:rsid w:val="00C2363F"/>
    <w:rsid w:val="00C236C8"/>
    <w:rsid w:val="00C237DF"/>
    <w:rsid w:val="00C25468"/>
    <w:rsid w:val="00C260B1"/>
    <w:rsid w:val="00C26E56"/>
    <w:rsid w:val="00C2778B"/>
    <w:rsid w:val="00C31406"/>
    <w:rsid w:val="00C31D4D"/>
    <w:rsid w:val="00C31F2F"/>
    <w:rsid w:val="00C32172"/>
    <w:rsid w:val="00C3682E"/>
    <w:rsid w:val="00C37194"/>
    <w:rsid w:val="00C40637"/>
    <w:rsid w:val="00C40728"/>
    <w:rsid w:val="00C40F6C"/>
    <w:rsid w:val="00C418F0"/>
    <w:rsid w:val="00C418F2"/>
    <w:rsid w:val="00C41FAA"/>
    <w:rsid w:val="00C44426"/>
    <w:rsid w:val="00C445F3"/>
    <w:rsid w:val="00C4509B"/>
    <w:rsid w:val="00C451F4"/>
    <w:rsid w:val="00C45EB1"/>
    <w:rsid w:val="00C54A3A"/>
    <w:rsid w:val="00C55566"/>
    <w:rsid w:val="00C56448"/>
    <w:rsid w:val="00C57F7F"/>
    <w:rsid w:val="00C6295E"/>
    <w:rsid w:val="00C63F03"/>
    <w:rsid w:val="00C667BE"/>
    <w:rsid w:val="00C6766B"/>
    <w:rsid w:val="00C71DFB"/>
    <w:rsid w:val="00C72223"/>
    <w:rsid w:val="00C74E43"/>
    <w:rsid w:val="00C74F28"/>
    <w:rsid w:val="00C76417"/>
    <w:rsid w:val="00C7726F"/>
    <w:rsid w:val="00C823DA"/>
    <w:rsid w:val="00C8259F"/>
    <w:rsid w:val="00C82746"/>
    <w:rsid w:val="00C8312F"/>
    <w:rsid w:val="00C84C47"/>
    <w:rsid w:val="00C858A4"/>
    <w:rsid w:val="00C86981"/>
    <w:rsid w:val="00C86AFA"/>
    <w:rsid w:val="00C876C1"/>
    <w:rsid w:val="00C90F08"/>
    <w:rsid w:val="00C911E3"/>
    <w:rsid w:val="00C91888"/>
    <w:rsid w:val="00C95BB7"/>
    <w:rsid w:val="00CA24E3"/>
    <w:rsid w:val="00CA3407"/>
    <w:rsid w:val="00CA3589"/>
    <w:rsid w:val="00CA4F3F"/>
    <w:rsid w:val="00CA758E"/>
    <w:rsid w:val="00CA7EB9"/>
    <w:rsid w:val="00CB18D0"/>
    <w:rsid w:val="00CB1C8A"/>
    <w:rsid w:val="00CB2413"/>
    <w:rsid w:val="00CB24F5"/>
    <w:rsid w:val="00CB2663"/>
    <w:rsid w:val="00CB3BBE"/>
    <w:rsid w:val="00CB3BC9"/>
    <w:rsid w:val="00CB4B38"/>
    <w:rsid w:val="00CB5759"/>
    <w:rsid w:val="00CB59E9"/>
    <w:rsid w:val="00CB6EFC"/>
    <w:rsid w:val="00CB7655"/>
    <w:rsid w:val="00CC0D6A"/>
    <w:rsid w:val="00CC240E"/>
    <w:rsid w:val="00CC2582"/>
    <w:rsid w:val="00CC3831"/>
    <w:rsid w:val="00CC3E3D"/>
    <w:rsid w:val="00CC519B"/>
    <w:rsid w:val="00CC7181"/>
    <w:rsid w:val="00CD12C1"/>
    <w:rsid w:val="00CD214E"/>
    <w:rsid w:val="00CD3B7C"/>
    <w:rsid w:val="00CD46FA"/>
    <w:rsid w:val="00CD5973"/>
    <w:rsid w:val="00CD653E"/>
    <w:rsid w:val="00CE1600"/>
    <w:rsid w:val="00CE31A6"/>
    <w:rsid w:val="00CE5A85"/>
    <w:rsid w:val="00CE6B81"/>
    <w:rsid w:val="00CF09AA"/>
    <w:rsid w:val="00CF1996"/>
    <w:rsid w:val="00CF3D54"/>
    <w:rsid w:val="00CF4813"/>
    <w:rsid w:val="00CF5233"/>
    <w:rsid w:val="00CF7A27"/>
    <w:rsid w:val="00D01F18"/>
    <w:rsid w:val="00D029B8"/>
    <w:rsid w:val="00D02F60"/>
    <w:rsid w:val="00D0464E"/>
    <w:rsid w:val="00D04A96"/>
    <w:rsid w:val="00D07022"/>
    <w:rsid w:val="00D07148"/>
    <w:rsid w:val="00D0715E"/>
    <w:rsid w:val="00D07A7B"/>
    <w:rsid w:val="00D10AAC"/>
    <w:rsid w:val="00D10E06"/>
    <w:rsid w:val="00D115F7"/>
    <w:rsid w:val="00D119F9"/>
    <w:rsid w:val="00D11CF7"/>
    <w:rsid w:val="00D15197"/>
    <w:rsid w:val="00D15FD0"/>
    <w:rsid w:val="00D16820"/>
    <w:rsid w:val="00D169C8"/>
    <w:rsid w:val="00D16B2D"/>
    <w:rsid w:val="00D1793F"/>
    <w:rsid w:val="00D17C07"/>
    <w:rsid w:val="00D21BBB"/>
    <w:rsid w:val="00D2218F"/>
    <w:rsid w:val="00D22AF5"/>
    <w:rsid w:val="00D235EA"/>
    <w:rsid w:val="00D247A9"/>
    <w:rsid w:val="00D32721"/>
    <w:rsid w:val="00D328DC"/>
    <w:rsid w:val="00D32B22"/>
    <w:rsid w:val="00D33387"/>
    <w:rsid w:val="00D33F1C"/>
    <w:rsid w:val="00D34F2D"/>
    <w:rsid w:val="00D35B81"/>
    <w:rsid w:val="00D35C35"/>
    <w:rsid w:val="00D37B89"/>
    <w:rsid w:val="00D402FB"/>
    <w:rsid w:val="00D42903"/>
    <w:rsid w:val="00D4413B"/>
    <w:rsid w:val="00D445C3"/>
    <w:rsid w:val="00D466E3"/>
    <w:rsid w:val="00D46F36"/>
    <w:rsid w:val="00D47CB7"/>
    <w:rsid w:val="00D47D7A"/>
    <w:rsid w:val="00D47E67"/>
    <w:rsid w:val="00D50ABD"/>
    <w:rsid w:val="00D53266"/>
    <w:rsid w:val="00D55290"/>
    <w:rsid w:val="00D56409"/>
    <w:rsid w:val="00D56D25"/>
    <w:rsid w:val="00D570A3"/>
    <w:rsid w:val="00D57791"/>
    <w:rsid w:val="00D6046A"/>
    <w:rsid w:val="00D61C46"/>
    <w:rsid w:val="00D62870"/>
    <w:rsid w:val="00D62ADB"/>
    <w:rsid w:val="00D639F0"/>
    <w:rsid w:val="00D655D9"/>
    <w:rsid w:val="00D65872"/>
    <w:rsid w:val="00D66354"/>
    <w:rsid w:val="00D676F3"/>
    <w:rsid w:val="00D70EF5"/>
    <w:rsid w:val="00D71024"/>
    <w:rsid w:val="00D71A25"/>
    <w:rsid w:val="00D71FCF"/>
    <w:rsid w:val="00D7253D"/>
    <w:rsid w:val="00D72A54"/>
    <w:rsid w:val="00D72CC1"/>
    <w:rsid w:val="00D73653"/>
    <w:rsid w:val="00D76EC9"/>
    <w:rsid w:val="00D807CB"/>
    <w:rsid w:val="00D80E7D"/>
    <w:rsid w:val="00D81397"/>
    <w:rsid w:val="00D814BA"/>
    <w:rsid w:val="00D83304"/>
    <w:rsid w:val="00D83E52"/>
    <w:rsid w:val="00D848B9"/>
    <w:rsid w:val="00D8620E"/>
    <w:rsid w:val="00D86B19"/>
    <w:rsid w:val="00D90E69"/>
    <w:rsid w:val="00D91368"/>
    <w:rsid w:val="00D93106"/>
    <w:rsid w:val="00D933E9"/>
    <w:rsid w:val="00D9505D"/>
    <w:rsid w:val="00D953D0"/>
    <w:rsid w:val="00D959F5"/>
    <w:rsid w:val="00D96884"/>
    <w:rsid w:val="00D971B0"/>
    <w:rsid w:val="00DA3C10"/>
    <w:rsid w:val="00DA3FDD"/>
    <w:rsid w:val="00DA5282"/>
    <w:rsid w:val="00DA64E4"/>
    <w:rsid w:val="00DA7017"/>
    <w:rsid w:val="00DA7028"/>
    <w:rsid w:val="00DB0D5D"/>
    <w:rsid w:val="00DB1A80"/>
    <w:rsid w:val="00DB1AD2"/>
    <w:rsid w:val="00DB2B58"/>
    <w:rsid w:val="00DB5206"/>
    <w:rsid w:val="00DB5657"/>
    <w:rsid w:val="00DB6276"/>
    <w:rsid w:val="00DB63F5"/>
    <w:rsid w:val="00DC1C6B"/>
    <w:rsid w:val="00DC2C2E"/>
    <w:rsid w:val="00DC2EAD"/>
    <w:rsid w:val="00DC3360"/>
    <w:rsid w:val="00DC396C"/>
    <w:rsid w:val="00DC4AF0"/>
    <w:rsid w:val="00DC5941"/>
    <w:rsid w:val="00DC5BFA"/>
    <w:rsid w:val="00DC7886"/>
    <w:rsid w:val="00DD0CF2"/>
    <w:rsid w:val="00DD663F"/>
    <w:rsid w:val="00DE14E0"/>
    <w:rsid w:val="00DE1554"/>
    <w:rsid w:val="00DE1863"/>
    <w:rsid w:val="00DE1DF2"/>
    <w:rsid w:val="00DE2901"/>
    <w:rsid w:val="00DE2C0E"/>
    <w:rsid w:val="00DE590F"/>
    <w:rsid w:val="00DE7DC1"/>
    <w:rsid w:val="00DF38D0"/>
    <w:rsid w:val="00DF3F7E"/>
    <w:rsid w:val="00DF5F0A"/>
    <w:rsid w:val="00DF75AC"/>
    <w:rsid w:val="00DF7648"/>
    <w:rsid w:val="00E00E29"/>
    <w:rsid w:val="00E0133B"/>
    <w:rsid w:val="00E02BAB"/>
    <w:rsid w:val="00E04511"/>
    <w:rsid w:val="00E04CEB"/>
    <w:rsid w:val="00E060BC"/>
    <w:rsid w:val="00E11420"/>
    <w:rsid w:val="00E132FB"/>
    <w:rsid w:val="00E16B4B"/>
    <w:rsid w:val="00E170B7"/>
    <w:rsid w:val="00E177DD"/>
    <w:rsid w:val="00E20900"/>
    <w:rsid w:val="00E20C7F"/>
    <w:rsid w:val="00E238A1"/>
    <w:rsid w:val="00E2396E"/>
    <w:rsid w:val="00E24728"/>
    <w:rsid w:val="00E2588B"/>
    <w:rsid w:val="00E276AC"/>
    <w:rsid w:val="00E30CEB"/>
    <w:rsid w:val="00E31211"/>
    <w:rsid w:val="00E32F1B"/>
    <w:rsid w:val="00E34A35"/>
    <w:rsid w:val="00E37C2F"/>
    <w:rsid w:val="00E41C28"/>
    <w:rsid w:val="00E41EA4"/>
    <w:rsid w:val="00E42B96"/>
    <w:rsid w:val="00E4313A"/>
    <w:rsid w:val="00E46308"/>
    <w:rsid w:val="00E5083F"/>
    <w:rsid w:val="00E51E17"/>
    <w:rsid w:val="00E52DAB"/>
    <w:rsid w:val="00E539B0"/>
    <w:rsid w:val="00E55994"/>
    <w:rsid w:val="00E56191"/>
    <w:rsid w:val="00E5661F"/>
    <w:rsid w:val="00E5769F"/>
    <w:rsid w:val="00E60606"/>
    <w:rsid w:val="00E60C66"/>
    <w:rsid w:val="00E6164D"/>
    <w:rsid w:val="00E618C9"/>
    <w:rsid w:val="00E62774"/>
    <w:rsid w:val="00E6307C"/>
    <w:rsid w:val="00E636FA"/>
    <w:rsid w:val="00E63E83"/>
    <w:rsid w:val="00E66C50"/>
    <w:rsid w:val="00E679D3"/>
    <w:rsid w:val="00E67B68"/>
    <w:rsid w:val="00E71208"/>
    <w:rsid w:val="00E71444"/>
    <w:rsid w:val="00E719AF"/>
    <w:rsid w:val="00E71C91"/>
    <w:rsid w:val="00E720A1"/>
    <w:rsid w:val="00E75DDA"/>
    <w:rsid w:val="00E773E8"/>
    <w:rsid w:val="00E778FF"/>
    <w:rsid w:val="00E82C03"/>
    <w:rsid w:val="00E83ADD"/>
    <w:rsid w:val="00E84F38"/>
    <w:rsid w:val="00E85623"/>
    <w:rsid w:val="00E85CF9"/>
    <w:rsid w:val="00E87441"/>
    <w:rsid w:val="00E91FAE"/>
    <w:rsid w:val="00E92D8C"/>
    <w:rsid w:val="00E934E4"/>
    <w:rsid w:val="00E949C3"/>
    <w:rsid w:val="00E96E3F"/>
    <w:rsid w:val="00EA1619"/>
    <w:rsid w:val="00EA270C"/>
    <w:rsid w:val="00EA30D6"/>
    <w:rsid w:val="00EA3E9C"/>
    <w:rsid w:val="00EA4974"/>
    <w:rsid w:val="00EA51B7"/>
    <w:rsid w:val="00EA532E"/>
    <w:rsid w:val="00EA5ABD"/>
    <w:rsid w:val="00EB02BC"/>
    <w:rsid w:val="00EB060B"/>
    <w:rsid w:val="00EB06D9"/>
    <w:rsid w:val="00EB0D44"/>
    <w:rsid w:val="00EB192B"/>
    <w:rsid w:val="00EB19ED"/>
    <w:rsid w:val="00EB1CAB"/>
    <w:rsid w:val="00EB20C4"/>
    <w:rsid w:val="00EB26B1"/>
    <w:rsid w:val="00EB2AD5"/>
    <w:rsid w:val="00EB353B"/>
    <w:rsid w:val="00EB3C25"/>
    <w:rsid w:val="00EC0954"/>
    <w:rsid w:val="00EC0F5A"/>
    <w:rsid w:val="00EC4265"/>
    <w:rsid w:val="00EC4CEB"/>
    <w:rsid w:val="00EC659E"/>
    <w:rsid w:val="00EC66D7"/>
    <w:rsid w:val="00ED175C"/>
    <w:rsid w:val="00ED2072"/>
    <w:rsid w:val="00ED228A"/>
    <w:rsid w:val="00ED2A2B"/>
    <w:rsid w:val="00ED2AD6"/>
    <w:rsid w:val="00ED2AE0"/>
    <w:rsid w:val="00ED4498"/>
    <w:rsid w:val="00ED5553"/>
    <w:rsid w:val="00ED5616"/>
    <w:rsid w:val="00ED5E36"/>
    <w:rsid w:val="00ED6961"/>
    <w:rsid w:val="00ED6A1C"/>
    <w:rsid w:val="00ED7BFB"/>
    <w:rsid w:val="00EE0A71"/>
    <w:rsid w:val="00EE25D6"/>
    <w:rsid w:val="00EE5A2C"/>
    <w:rsid w:val="00EF0B96"/>
    <w:rsid w:val="00EF3486"/>
    <w:rsid w:val="00EF4046"/>
    <w:rsid w:val="00EF47AF"/>
    <w:rsid w:val="00EF53B6"/>
    <w:rsid w:val="00EF6289"/>
    <w:rsid w:val="00F00B73"/>
    <w:rsid w:val="00F02D45"/>
    <w:rsid w:val="00F065C7"/>
    <w:rsid w:val="00F06B87"/>
    <w:rsid w:val="00F10E9B"/>
    <w:rsid w:val="00F115CA"/>
    <w:rsid w:val="00F121DD"/>
    <w:rsid w:val="00F1300D"/>
    <w:rsid w:val="00F13A55"/>
    <w:rsid w:val="00F14817"/>
    <w:rsid w:val="00F14831"/>
    <w:rsid w:val="00F14EBA"/>
    <w:rsid w:val="00F1510F"/>
    <w:rsid w:val="00F1533A"/>
    <w:rsid w:val="00F15E5A"/>
    <w:rsid w:val="00F17F0A"/>
    <w:rsid w:val="00F24325"/>
    <w:rsid w:val="00F2668F"/>
    <w:rsid w:val="00F2742F"/>
    <w:rsid w:val="00F2753B"/>
    <w:rsid w:val="00F27B17"/>
    <w:rsid w:val="00F306FB"/>
    <w:rsid w:val="00F33F05"/>
    <w:rsid w:val="00F33F8B"/>
    <w:rsid w:val="00F340B2"/>
    <w:rsid w:val="00F37DB7"/>
    <w:rsid w:val="00F415D3"/>
    <w:rsid w:val="00F420BE"/>
    <w:rsid w:val="00F4300B"/>
    <w:rsid w:val="00F43390"/>
    <w:rsid w:val="00F443B2"/>
    <w:rsid w:val="00F458D8"/>
    <w:rsid w:val="00F478DF"/>
    <w:rsid w:val="00F50196"/>
    <w:rsid w:val="00F50237"/>
    <w:rsid w:val="00F515DA"/>
    <w:rsid w:val="00F51A6B"/>
    <w:rsid w:val="00F51F89"/>
    <w:rsid w:val="00F53596"/>
    <w:rsid w:val="00F53ABF"/>
    <w:rsid w:val="00F54CA0"/>
    <w:rsid w:val="00F55BA8"/>
    <w:rsid w:val="00F55DB1"/>
    <w:rsid w:val="00F56ACA"/>
    <w:rsid w:val="00F600FE"/>
    <w:rsid w:val="00F62622"/>
    <w:rsid w:val="00F62E4D"/>
    <w:rsid w:val="00F64976"/>
    <w:rsid w:val="00F65C42"/>
    <w:rsid w:val="00F65E30"/>
    <w:rsid w:val="00F66B34"/>
    <w:rsid w:val="00F675B9"/>
    <w:rsid w:val="00F676ED"/>
    <w:rsid w:val="00F711C9"/>
    <w:rsid w:val="00F71F91"/>
    <w:rsid w:val="00F71FC3"/>
    <w:rsid w:val="00F73BFC"/>
    <w:rsid w:val="00F74C59"/>
    <w:rsid w:val="00F75C3A"/>
    <w:rsid w:val="00F76902"/>
    <w:rsid w:val="00F77207"/>
    <w:rsid w:val="00F80633"/>
    <w:rsid w:val="00F806B1"/>
    <w:rsid w:val="00F81A48"/>
    <w:rsid w:val="00F82E30"/>
    <w:rsid w:val="00F831CB"/>
    <w:rsid w:val="00F847AB"/>
    <w:rsid w:val="00F848A3"/>
    <w:rsid w:val="00F84ACF"/>
    <w:rsid w:val="00F85742"/>
    <w:rsid w:val="00F85BF8"/>
    <w:rsid w:val="00F871CE"/>
    <w:rsid w:val="00F87802"/>
    <w:rsid w:val="00F90C7E"/>
    <w:rsid w:val="00F91F6E"/>
    <w:rsid w:val="00F92C0A"/>
    <w:rsid w:val="00F9415B"/>
    <w:rsid w:val="00F9760C"/>
    <w:rsid w:val="00FA0FE7"/>
    <w:rsid w:val="00FA13C2"/>
    <w:rsid w:val="00FA55A6"/>
    <w:rsid w:val="00FA6D24"/>
    <w:rsid w:val="00FA7F91"/>
    <w:rsid w:val="00FB121C"/>
    <w:rsid w:val="00FB1CDD"/>
    <w:rsid w:val="00FB2C2F"/>
    <w:rsid w:val="00FB305C"/>
    <w:rsid w:val="00FB4AA9"/>
    <w:rsid w:val="00FC2E3D"/>
    <w:rsid w:val="00FC3BDE"/>
    <w:rsid w:val="00FD19C8"/>
    <w:rsid w:val="00FD1B62"/>
    <w:rsid w:val="00FD1DBE"/>
    <w:rsid w:val="00FD25A7"/>
    <w:rsid w:val="00FD27B6"/>
    <w:rsid w:val="00FD3689"/>
    <w:rsid w:val="00FD3A65"/>
    <w:rsid w:val="00FD42A3"/>
    <w:rsid w:val="00FD53D7"/>
    <w:rsid w:val="00FD7468"/>
    <w:rsid w:val="00FD7CE0"/>
    <w:rsid w:val="00FE0B3B"/>
    <w:rsid w:val="00FE1BE2"/>
    <w:rsid w:val="00FE4718"/>
    <w:rsid w:val="00FE730A"/>
    <w:rsid w:val="00FE7704"/>
    <w:rsid w:val="00FE7E0C"/>
    <w:rsid w:val="00FF1DD7"/>
    <w:rsid w:val="00FF2D5B"/>
    <w:rsid w:val="00FF31A6"/>
    <w:rsid w:val="00FF4453"/>
    <w:rsid w:val="00F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B00431"/>
  <w15:docId w15:val="{73AB75EF-2AC8-4C32-A53D-41CF9689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hu-HU" w:eastAsia="en-GB" w:bidi="en-GB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A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</w:rPr>
  </w:style>
  <w:style w:type="character" w:customStyle="1" w:styleId="HeaderChar">
    <w:name w:val="Header Char"/>
    <w:link w:val="Header"/>
    <w:uiPriority w:val="99"/>
    <w:semiHidden/>
    <w:rsid w:val="00060076"/>
    <w:rPr>
      <w:rFonts w:eastAsiaTheme="minorEastAsia" w:cs="Arial"/>
      <w:kern w:val="1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</w:rPr>
  </w:style>
  <w:style w:type="character" w:customStyle="1" w:styleId="FooterChar">
    <w:name w:val="Footer Char"/>
    <w:link w:val="Footer"/>
    <w:uiPriority w:val="99"/>
    <w:semiHidden/>
    <w:rsid w:val="00060076"/>
    <w:rPr>
      <w:rFonts w:eastAsiaTheme="minorEastAsia" w:cs="Arial"/>
      <w:kern w:val="1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en-GB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Heading1Char">
    <w:name w:val="Heading 1 Char"/>
    <w:basedOn w:val="DefaultParagraphFont"/>
    <w:link w:val="Heading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en-GB"/>
    </w:rPr>
  </w:style>
  <w:style w:type="paragraph" w:styleId="NoSpacing">
    <w:name w:val="No Spacing"/>
    <w:uiPriority w:val="99"/>
    <w:semiHidden/>
    <w:rsid w:val="004C3F97"/>
    <w:pPr>
      <w:widowControl w:val="0"/>
      <w:suppressAutoHyphens/>
    </w:pPr>
    <w:rPr>
      <w:kern w:val="1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6A748A"/>
    <w:rPr>
      <w:b/>
    </w:rPr>
  </w:style>
  <w:style w:type="character" w:customStyle="1" w:styleId="Kkursywa">
    <w:name w:val="_K_ – kursywa"/>
    <w:basedOn w:val="DefaultParagraphFont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341A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1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3A"/>
    <w:pPr>
      <w:ind w:left="720"/>
      <w:contextualSpacing/>
    </w:pPr>
  </w:style>
  <w:style w:type="paragraph" w:styleId="Revision">
    <w:name w:val="Revision"/>
    <w:hidden/>
    <w:uiPriority w:val="99"/>
    <w:semiHidden/>
    <w:rsid w:val="005935FF"/>
    <w:pPr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81835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33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6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31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70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60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8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BB18EE-8828-44E3-8DBE-93A321EA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12</TotalTime>
  <Pages>11</Pages>
  <Words>3377</Words>
  <Characters>19251</Characters>
  <Application>Microsoft Office Word</Application>
  <DocSecurity>0</DocSecurity>
  <Lines>160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Mordas Remigiusz</dc:creator>
  <cp:lastModifiedBy>Ke, Tingting</cp:lastModifiedBy>
  <cp:revision>9</cp:revision>
  <cp:lastPrinted>2019-07-03T09:10:00Z</cp:lastPrinted>
  <dcterms:created xsi:type="dcterms:W3CDTF">2019-07-15T12:36:00Z</dcterms:created>
  <dcterms:modified xsi:type="dcterms:W3CDTF">2019-07-30T01:57:00Z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