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SL- ------ 20190729 --- --- PROJET</w:t>
      </w:r>
    </w:p>
    <w:p w:rsidR="00E4313A" w:rsidRPr="003136B9" w:rsidRDefault="00E4313A" w:rsidP="00624C2A">
      <w:pPr>
        <w:pStyle w:val="OZNPROJEKTUwskazaniedatylubwersjiprojektu"/>
      </w:pPr>
      <w:r>
        <w:t>Osnutek</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ZAKON</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z dne [dan]. [meseca] [leto]</w:t>
      </w:r>
    </w:p>
    <w:p w:rsidR="00E4313A" w:rsidRPr="00C12D18" w:rsidRDefault="00E4313A" w:rsidP="00624C2A">
      <w:pPr>
        <w:pStyle w:val="TYTDZPRZEDMprzedmiotregulacjitytuulubdziau"/>
        <w:keepNext w:val="0"/>
        <w:rPr>
          <w:rStyle w:val="IGindeksgrny"/>
        </w:rPr>
      </w:pPr>
      <w:r>
        <w:rPr>
          <w:rFonts w:ascii="Times New Roman" w:hAnsi="Times New Roman"/>
        </w:rPr>
        <w:t>o spremembi Zakona o ureditvi nekaterih kmetijskih trgov in Zakona o preprečevanju nepoštene uporabe pogodbene prednosti pri trženju kmetijskih in prehrambnih proizvodov</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Člen 1</w:t>
      </w:r>
      <w:r>
        <w:rPr>
          <w:rFonts w:ascii="Times New Roman" w:hAnsi="Times New Roman"/>
        </w:rPr>
        <w:t xml:space="preserve"> Zakon z dne 11. marca 2004 o ureditvi nekaterih kmetijskih trgov (Uradni list iz leta 2018, postavka 945) se spremeni:</w:t>
      </w:r>
    </w:p>
    <w:p w:rsidR="00F515DA" w:rsidRPr="00072863" w:rsidRDefault="00B0048D" w:rsidP="00624C2A">
      <w:pPr>
        <w:pStyle w:val="PKTpunkt"/>
        <w:keepNext/>
        <w:keepLines/>
        <w:rPr>
          <w:rFonts w:ascii="Times New Roman" w:hAnsi="Times New Roman" w:cs="Times New Roman"/>
          <w:szCs w:val="24"/>
        </w:rPr>
      </w:pPr>
      <w:r>
        <w:t>(</w:t>
      </w:r>
      <w:r>
        <w:rPr>
          <w:rFonts w:ascii="Times New Roman" w:hAnsi="Times New Roman"/>
        </w:rPr>
        <w:t>1)</w:t>
      </w:r>
      <w:r>
        <w:tab/>
      </w:r>
      <w:r>
        <w:rPr>
          <w:rFonts w:ascii="Times New Roman" w:hAnsi="Times New Roman"/>
        </w:rPr>
        <w:t>v členu 38q:</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se odstavek 1 nadomesti z naslednjim besedilom:</w:t>
      </w:r>
    </w:p>
    <w:p w:rsidR="00FD19C8" w:rsidRDefault="00FD19C8" w:rsidP="00624C2A">
      <w:pPr>
        <w:pStyle w:val="ZLITUSTzmustliter"/>
        <w:rPr>
          <w:rFonts w:ascii="Times New Roman" w:hAnsi="Times New Roman" w:cs="Times New Roman"/>
          <w:szCs w:val="24"/>
        </w:rPr>
      </w:pPr>
      <w:r>
        <w:rPr>
          <w:rFonts w:ascii="Times New Roman" w:hAnsi="Times New Roman"/>
        </w:rPr>
        <w:t>„1. Za vsako dobavo kmetijskih proizvodov, ki spadajo v sektorje iz člena 1(2)Uredbe (EU) št. 1308/2013, in sicer sektorje iz točke (a), točke (c) navedene uredbe izključno v primeru sladkorne pese, točk (f), (h), (i), (n) in (o) navedene uredbe, točke (p) navedene uredbe izključno v primeru surovega mleka, točk (q), (r), (s) in (t) navedene uredbe ter točke (x) navedene uredbe izključno v primeru krompirja, oljne ogrščice in oljne repice, z izjemo neposredne dobave in kmetijske trgovine na drobno v smislu Zakona z dne 25. avgusta 2006 o varnosti hrane in krme (Uradni list iz leta 2018, postavka 1541, kakor je bil spremenjen</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xml:space="preserve">) ter neposredne prodaje v smislu Zakona z dne 16. decembra 2005 o proizvodih živalskega izvora (Uradni list iz leta 2019, postavka 824) s strani proizvajalca, ki je kmet v smislu člena 4(1)(a) Uredbe (EU) št. 1307/2013 Evropskega parlamenta in Sveta z dne 17. decembra 2013 o pravilih za neposredna plačila kmetom na podlagi shem podpore v okviru skupne kmetijske politike ter razveljavitvi Uredbe Sveta (ES) št. 637/2008 in Uredbe Sveta (ES) št. 73/2009 (UL L 347, 20.12.2013, str. 608, kakor </w:t>
      </w:r>
      <w:r>
        <w:rPr>
          <w:rFonts w:ascii="Times New Roman" w:hAnsi="Times New Roman"/>
        </w:rPr>
        <w:lastRenderedPageBreak/>
        <w:t>je bila spremenjena</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katerega gospodarstvo se nahaja na ozemlju Republike Poljske, prvemu kupcu, ki je predelovalec ali distributer, ki teh kmetijskih proizvodov ne prodaja neposredno končnim potrošnikom (v nadaljnjem besedilu: distributer), ali posrednik, ki teh kmetijskih proizvodov ne prodaja neposredno končnim potrošnikom (v nadaljnjem besedilu: posrednik), je potrebna sklenitev pogodbe, ki zajema eno ali več dobav, ki izpolnjujejo pogoje, določene v:</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členu 125 Uredbe (EU) št. 1308/2013 in Prilogi X k navedeni uredbi – za kmetijske proizvode, ki spadajo v sektor iz člena 1(2)(c) Uredbe (EU) št. 1308/2013 izključno v primeru sladkorne pese;</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členu 148(2) Uredbe (EU) št. 1308/2013 – za kmetijske proizvode, ki spadajo v sektor iz člena 1(2)(p) Uredbe (EU) št. 1308/2013 izključno v primeru surovega mleka;</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členu 168(4) in (6) Uredbe (EU) št. 1308/2013 – za kmetijske proizvode, ki spadajo v sektorje iz člena 1(2)(a), (f), (h), (i), (n), (o), (q), (r), (s) in (t) Uredbe (EU) št. 1308/2013 in točke (x) Uredbe (EU) št. 1308/2013 izključno v primeru krompirja, oljne ogrščice in oljne repice,“;</w:t>
      </w:r>
    </w:p>
    <w:p w:rsidR="00E4313A" w:rsidRPr="00072863" w:rsidRDefault="003B48AC" w:rsidP="00624C2A">
      <w:pPr>
        <w:pStyle w:val="LITlitera"/>
      </w:pPr>
      <w:r>
        <w:t>b)</w:t>
      </w:r>
      <w:r>
        <w:tab/>
        <w:t>v odstavku 1a, se besedilo „iz prilog X in XI“ nadomesti z besedilom „iz Priloge X“;</w:t>
      </w:r>
    </w:p>
    <w:p w:rsidR="00EF6289" w:rsidRDefault="009809DC" w:rsidP="00624C2A">
      <w:pPr>
        <w:pStyle w:val="LITlitera"/>
        <w:keepNext/>
        <w:keepLines/>
      </w:pPr>
      <w:r>
        <w:t>c)</w:t>
      </w:r>
      <w:r>
        <w:tab/>
        <w:t>v odstavku 1b:</w:t>
      </w:r>
    </w:p>
    <w:p w:rsidR="00B01B0A" w:rsidRPr="00072863" w:rsidRDefault="00B01B0A" w:rsidP="00624C2A">
      <w:pPr>
        <w:pStyle w:val="TIRtiret"/>
      </w:pPr>
      <w:r>
        <w:t>–</w:t>
      </w:r>
      <w:r>
        <w:tab/>
        <w:t>se črta točka 2,</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v skupnem delu oštevilčenja se besedilo „členu 125 ali členu 127 Uredbe (EU) št. 1308/2013 ter v Prilogi X ali Prilogi XI“ nadomesti z besedilom „členu 125 Uredbe (EU) št. 1308/2013 in v Prilogi X“;</w:t>
      </w:r>
    </w:p>
    <w:p w:rsidR="00BF55CF" w:rsidRPr="00072863" w:rsidRDefault="00B01B0A" w:rsidP="00624C2A">
      <w:pPr>
        <w:pStyle w:val="LITlitera"/>
        <w:keepNext/>
        <w:keepLines/>
      </w:pPr>
      <w:r>
        <w:t>d)</w:t>
      </w:r>
      <w:r>
        <w:tab/>
        <w:t>za odstavkom 1b se vstavi odstavek 1ba, ki se glasi:</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„1ba. Določbe odstavka 1 se ne uporabljajo, če proizvajalec iz odstavka 1 prodaja kmetijske proizvode prek blagovne borze v smislu določb o blagovnih borzah, prek sistema trgovanja s finančnimi instrumenti v smislu določb o trgovanju s finančnimi instrumenti ali v prostorih agroživilskih veleprodajnih trgov, ki jih upravljajo gospodarske družbe, katerih glavna dejavnost zajema najem in upravljanje nepremičnin za namene trgovine z agroživilskimi proizvodi na debelo.“;</w:t>
      </w:r>
    </w:p>
    <w:p w:rsidR="003B0EDD" w:rsidRDefault="00C95BB7" w:rsidP="008B5E32">
      <w:pPr>
        <w:pStyle w:val="LITlitera"/>
        <w:keepNext/>
        <w:keepLines/>
      </w:pPr>
      <w:r>
        <w:lastRenderedPageBreak/>
        <w:t>e)</w:t>
      </w:r>
      <w:r>
        <w:tab/>
        <w:t>odstavek 1c se nadomesti z naslednjim besedilom:</w:t>
      </w:r>
    </w:p>
    <w:p w:rsidR="00E4313A" w:rsidRPr="00072863" w:rsidRDefault="003B0EDD" w:rsidP="00624C2A">
      <w:pPr>
        <w:pStyle w:val="ZLITUSTzmustliter"/>
      </w:pPr>
      <w:r>
        <w:t>„1c. Pogodbo iz odstavka 1 proizvajalec in kupec iz odstavka 1 skleneta za obdobje dveh let od konca leta, v katerem je bila v skladu to pogodbo opravljena zadnja dobava.“;</w:t>
      </w:r>
    </w:p>
    <w:p w:rsidR="00CB5759" w:rsidRPr="00072863" w:rsidRDefault="00B91D09" w:rsidP="00624C2A">
      <w:pPr>
        <w:pStyle w:val="LITlitera"/>
        <w:keepNext/>
        <w:keepLines/>
      </w:pPr>
      <w:r>
        <w:t>f)</w:t>
      </w:r>
      <w:r>
        <w:tab/>
        <w:t>odstavek 4 se nadomesti z naslednjim besedilom:</w:t>
      </w:r>
    </w:p>
    <w:p w:rsidR="00CB5759" w:rsidRPr="00072863" w:rsidRDefault="00CB5759" w:rsidP="00624C2A">
      <w:pPr>
        <w:pStyle w:val="ZLITUSTzmustliter"/>
      </w:pPr>
      <w:r>
        <w:t>„4. Minister, pristojen za kmetijske trge, lahko z uredbo določi:</w:t>
      </w:r>
    </w:p>
    <w:p w:rsidR="00137BB1" w:rsidRPr="00072863" w:rsidRDefault="00137BB1" w:rsidP="00624C2A">
      <w:pPr>
        <w:pStyle w:val="ZLITPKTzmpktliter"/>
      </w:pPr>
      <w:r>
        <w:t>1)</w:t>
      </w:r>
      <w:r>
        <w:tab/>
        <w:t>minimalno trajanje pogodbe iz odstavka 1 ali</w:t>
      </w:r>
    </w:p>
    <w:p w:rsidR="0035086C" w:rsidRPr="00924BC2" w:rsidRDefault="00137BB1" w:rsidP="00624C2A">
      <w:pPr>
        <w:pStyle w:val="ZLITPKTzmpktliter"/>
      </w:pPr>
      <w:r>
        <w:t>2)</w:t>
      </w:r>
      <w:r>
        <w:tab/>
        <w:t>minimalno obdobje med sklenitvijo pogodbe iz odstavka 1 in dobavo kmetijskih proizvodov ali</w:t>
      </w:r>
    </w:p>
    <w:p w:rsidR="00774693" w:rsidRPr="00924BC2" w:rsidRDefault="00774693" w:rsidP="00624C2A">
      <w:pPr>
        <w:pStyle w:val="ZLITPKTzmpktliter"/>
      </w:pPr>
      <w:r>
        <w:t>3)</w:t>
      </w:r>
      <w:r>
        <w:tab/>
        <w:t>datum sklenitve pogodbe iz odstavka 1</w:t>
      </w:r>
    </w:p>
    <w:p w:rsidR="00137BB1" w:rsidRPr="00072863" w:rsidRDefault="00942A4A" w:rsidP="00624C2A">
      <w:pPr>
        <w:pStyle w:val="ZLITCZWSPPKTzmczciwsppktliter"/>
      </w:pPr>
      <w:r>
        <w:t>v zvezi s kmetijskimi proizvodi, izbranimi s seznama kmetijskih proizvodov, ki spadajo v sektorje iz člena 1(2)Uredbe (EU) št. 1308/2013, in sicer sektorje iz točke (a), točke (c) navedene uredbe izključno v primeru sladkorne pese, točk (f), (h), (i), (n) in (o) navedene uredbe, točke (p) navedene uredbe izključno v primeru surovega mleka, točk (q), (r), (s) in (t) navedene uredbe ter točke (x) navedene uredbe izključno v primeru krompirja, oljne ogrščice in oljne repice, ob upoštevanju zagotavljanja pravilnega delovanja notranjega trga v teh sektorjih.“;</w:t>
      </w:r>
    </w:p>
    <w:p w:rsidR="00996DE9" w:rsidRPr="00072863" w:rsidRDefault="00D11CF7" w:rsidP="00624C2A">
      <w:pPr>
        <w:pStyle w:val="LITlitera"/>
        <w:keepNext/>
        <w:keepLines/>
      </w:pPr>
      <w:r>
        <w:t>g)</w:t>
      </w:r>
      <w:r>
        <w:tab/>
        <w:t>vstavi se odstavek 5, ki se glasi:</w:t>
      </w:r>
    </w:p>
    <w:p w:rsidR="00E4313A" w:rsidRPr="00072863" w:rsidRDefault="00996DE9" w:rsidP="00624C2A">
      <w:pPr>
        <w:pStyle w:val="ZLITUSTzmustliter"/>
      </w:pPr>
      <w:r>
        <w:t>„5. V primeru, da minister, pristojen za kmetijske trge, določi določbe o minimalnem obdobju med sklenitvijo pogodbe iz odstavka 1 in dobavo kmetijskih proizvodov, ki spadajo v sektorje iz člena 1(2)Uredbe (EU) št. 1308/2013, in sicer sektorje iz točke (a), točke (c) navedene uredbe izključno v primeru sladkorne pese, točk (f), (h), (i), (n) in (o) navedene uredbe, točke (p) navedene uredbe izključno v primeru surovega mleka, točk (q), (r), (s) in (t) navedene uredbe ter točke (x) navedene uredbe izključno v primeru krompirja, oljne ogrščice in oljne repice, ali datumu sklenitve pogodbe iz odstavka 1, se določbe, izdane na podlagi odstavka 4, ne uporabljajo, če je bil uporabljen tretji oddelek člena 148(4) ali tretji oddelek člena 168(6) Uredbe (EU) št. 1308/2013.“;</w:t>
      </w:r>
    </w:p>
    <w:p w:rsidR="00E4313A" w:rsidRPr="00072863" w:rsidRDefault="00241148" w:rsidP="00624C2A">
      <w:pPr>
        <w:pStyle w:val="PKTpunkt"/>
        <w:keepNext/>
        <w:keepLines/>
      </w:pPr>
      <w:r>
        <w:t>(2)</w:t>
      </w:r>
      <w:r>
        <w:tab/>
        <w:t xml:space="preserve">v členu 40i: </w:t>
      </w:r>
    </w:p>
    <w:p w:rsidR="00E4313A" w:rsidRPr="00072863" w:rsidRDefault="00241148" w:rsidP="00624C2A">
      <w:pPr>
        <w:pStyle w:val="LITlitera"/>
      </w:pPr>
      <w:r>
        <w:t>a)</w:t>
      </w:r>
      <w:r>
        <w:tab/>
        <w:t>se v odstavku 1 beseda „distributer“ nadomesti z besedilom „distributer ali posrednik“;</w:t>
      </w:r>
    </w:p>
    <w:p w:rsidR="00480DDC" w:rsidRDefault="008A5910" w:rsidP="00624C2A">
      <w:pPr>
        <w:pStyle w:val="LITlitera"/>
      </w:pPr>
      <w:r>
        <w:lastRenderedPageBreak/>
        <w:t>b)</w:t>
      </w:r>
      <w:r>
        <w:tab/>
        <w:t>v odstavku 1a se besedilo „distributer kupi v nasprotju z določbami člena 38q(1) ali (1a)“ nadomesti z besedilom „distributer ali posrednik kupi v nasprotju z določbami člena 38q(1)“;</w:t>
      </w:r>
    </w:p>
    <w:p w:rsidR="00F847AB" w:rsidRPr="00072863" w:rsidRDefault="00480DDC" w:rsidP="00624C2A">
      <w:pPr>
        <w:pStyle w:val="LITlitera"/>
        <w:keepNext/>
        <w:keepLines/>
      </w:pPr>
      <w:r>
        <w:t>c)</w:t>
      </w:r>
      <w:r>
        <w:tab/>
        <w:t>odstavka 1b in 1c se nadomestita z naslednjim besedilom:</w:t>
      </w:r>
    </w:p>
    <w:p w:rsidR="002A571F" w:rsidRPr="002A571F" w:rsidRDefault="00F847AB" w:rsidP="00624C2A">
      <w:pPr>
        <w:pStyle w:val="ZLITUSTzmustliter"/>
      </w:pPr>
      <w:r>
        <w:t>„1b. Prvi predelovalec, distributer ali posrednik, ki v nasprotju z določbami člena 38q(1) kupi kmetijske proizvode, ki spadajo v sektorje iz člena 38q(1), na podlagi pogodbe, ki ne izpolnjuje zahtev, določenih v:</w:t>
      </w:r>
    </w:p>
    <w:p w:rsidR="002A571F" w:rsidRPr="002A571F" w:rsidRDefault="002A571F" w:rsidP="00624C2A">
      <w:pPr>
        <w:pStyle w:val="ZLITPKTzmpktliter"/>
      </w:pPr>
      <w:r>
        <w:t>1)</w:t>
      </w:r>
      <w:r>
        <w:tab/>
        <w:t>členu 148(2)(a) in (c)(i) Uredbe (EU) št. 1308/2013 – za kmetijske proizvode, ki spadajo v sektor iz člena 1(2)(p) Uredbe (EU) št. 1308/2013 izključno v primeru surovega mleka,</w:t>
      </w:r>
    </w:p>
    <w:p w:rsidR="002A571F" w:rsidRPr="002A571F" w:rsidRDefault="002A571F" w:rsidP="00624C2A">
      <w:pPr>
        <w:pStyle w:val="ZLITPKTzmpktliter"/>
      </w:pPr>
      <w:r>
        <w:t>2)</w:t>
      </w:r>
      <w:r>
        <w:tab/>
        <w:t xml:space="preserve">členu 168(4)(a) in (c)(i) Uredbe (EU) št. 1308/2013 – za kmetijske proizvode, ki spadajo v sektorje iz člena 1(2)(a), (f), (h), (i), (n), (o), (q), (r), (s) in (t) Uredbe (EU) št. 1308/2013 in točke (x) Uredbe (EU) št. 1308/2013 izključno v primeru krompirja, oljne ogrščice in oljne repice, </w:t>
      </w:r>
    </w:p>
    <w:p w:rsidR="002A571F" w:rsidRPr="00B44A77" w:rsidRDefault="002A571F" w:rsidP="00624C2A">
      <w:pPr>
        <w:pStyle w:val="ZLITCZWSPPKTzmczciwsppktliter"/>
      </w:pPr>
      <w:r>
        <w:t>– se kaznuje z globo v višini 4 % plačila v smislu člena 29a(1) Zakona z dne 11. marca 2004 o davku na dodano vrednost za proizvode, kupljene na podlagi te pogodbe – za vsak neizpolnjen pogoj.</w:t>
      </w:r>
    </w:p>
    <w:p w:rsidR="00955DCD" w:rsidRDefault="00AC7836" w:rsidP="00624C2A">
      <w:pPr>
        <w:pStyle w:val="ZLITUSTzmustliter"/>
      </w:pPr>
      <w:r>
        <w:t>1c. Prvi predelovalec, distributer ali posrednik, ki v nasprotju z določbami člena 38q(1) kupi kmetijske proizvode, ki spadajo v sektorje iz člena 38q(1), na podlagi pogodbe, ki ne izpolnjuje zahtev, določenih v členu 125 Uredbe (EU) št. 1308/2013 in Prilogi X k Uredbi (EU) št. 1308/2013, z izjemo zahteve, določene v pododstavku l(1) te priloge – za kmetijske proizvode, ki spadajo v sektor iz člena 1(2)(c) Uredbe (EU) št. 1308/2013 izključno v primeru sladkorne pese, se kaznuje z globo v višini 8 % plačila v smislu člena 29a(1) Zakona z dne 11. marca 2004 o davku na dodano vrednost za proizvode, kupljene na podlagi te pogodbe.“;</w:t>
      </w:r>
    </w:p>
    <w:p w:rsidR="00694E98" w:rsidRPr="00072863" w:rsidRDefault="00480DDC" w:rsidP="00624C2A">
      <w:pPr>
        <w:pStyle w:val="LITlitera"/>
        <w:keepNext/>
        <w:keepLines/>
        <w:rPr>
          <w:rFonts w:ascii="Times New Roman" w:hAnsi="Times New Roman" w:cs="Times New Roman"/>
          <w:szCs w:val="24"/>
        </w:rPr>
      </w:pPr>
      <w:r>
        <w:rPr>
          <w:rFonts w:ascii="Times New Roman" w:hAnsi="Times New Roman"/>
        </w:rPr>
        <w:t>d)</w:t>
      </w:r>
      <w:r>
        <w:tab/>
      </w:r>
      <w:r>
        <w:rPr>
          <w:rFonts w:ascii="Times New Roman" w:hAnsi="Times New Roman"/>
        </w:rPr>
        <w:t>za odstavkom 1c se vstavijo odstavki 1ca–1cc, ki se glasijo:</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 xml:space="preserve">„1ca. Proizvajalec, ki je kmet v smislu člena 4(1)(a) Uredbe (EU) št. 1307/2013 Evropskega parlamenta in Sveta z dne 17. decembra 2013 o pravilih za neposredna plačila kmetom na podlagi shem podpore v okviru skupne kmetijske politike ter razveljavitvi Uredbe Sveta (ES) št. 637/2008 in Uredbe Sveta (ES) št. 73/2009, ki razpolaga s kmetijskimi proizvodi, ki spadajo v sektorje iz člena 38q(1), v nasprotju z določbami člena 38q(1) ali (1a), brez pogodbe v pisni obliki ali brez pogodbe v </w:t>
      </w:r>
      <w:r>
        <w:rPr>
          <w:rFonts w:ascii="Times New Roman" w:hAnsi="Times New Roman"/>
        </w:rPr>
        <w:lastRenderedPageBreak/>
        <w:t>tiskani ali elektronski obliki, se kaznuje z globo v višini 10 % plačila v smislu člena 29a(1) Zakona z dne 11. marca 2004 o davku na dodano vrednost za proizvode, prodane brez pogodbe v pisni obliki ali brez pogodbe v tiskani ali elektronski obliki.</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1cb. Oseba, ki ne upošteva minimalnega trajanja pogodbe iz člena 38q(1) ali minimalnega obdobja med sklenitvijo pogodbe in dobavo kmetijskih proizvodov, če sta ti obdobji določeni v določbah v skladu s členom 38q(4)(1) ali (2), se kaznuje z globo v višini 10 % plačila v smislu člena 29a(1) Zakona z dne 11. marca 2004 o davku na dodano vrednost za proizvode, prodane ali kupljene na podlagi te pogodbe zaradi neupoštevanja teh obdobij.</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1cc. Oseba, ki ne upošteva roka iz člena 38q(3) ali datuma sklenitve pogodbe iz člena 38q(1), če je to obdobje določeno v določbah v skladu s členom 38q(4)(3), se kaznuje z globo v višini 0,5 % plačila v smislu člena 29a(1) Zakona z dne 11. marca 2004 o davku na dodano vrednost za proizvode, prodane ali kupljene na podlagi te pogodbe za vsak dan neizpolnjevanja tega roka, vendar ne več kot 15 % plačila.“;</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e)</w:t>
      </w:r>
      <w:r>
        <w:tab/>
      </w:r>
      <w:r>
        <w:rPr>
          <w:rFonts w:ascii="Times New Roman" w:hAnsi="Times New Roman"/>
        </w:rPr>
        <w:t>odstavek 1d se nadomesti z naslednjim besedilom:</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„1d. Če pogodba iz člena 38q(1) ne izpolnjuje več kot enega od pogojev iz odstavkov 1a in 1b, se globe seštejejo, vendar skupni znesek globe ne sme presegati 8 % plačila v smislu člena 29a(1) Zakona z dne 11. marca 2004 o davku na dodano vrednost za proizvode, kupljene na podlagi te pogodbe.“;</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za členom 40i se vstavi člen 40ia, ki se glasi:</w:t>
      </w:r>
    </w:p>
    <w:p w:rsidR="00F02D45" w:rsidRDefault="00F02D45" w:rsidP="00624C2A">
      <w:pPr>
        <w:pStyle w:val="ZARTzmartartykuempunktem"/>
      </w:pPr>
      <w:r>
        <w:t>„Člen 40ia. Oseba, ki ne ravna v skladu s sporazumi, sklepi ali praksami, dogovorjenimi v okviru priznane organizacije proizvajalcev, združenja organizacij proizvajalcev ali priznanih medpanožnih organizacij, če so bili takšni sporazumi, sklepi ali prakse zajeti v določbah na podlagi člena 38o(3), se kaznuje z globo 5 000 PLN; v primeru neupoštevanja teh sporazumov, sklepov ali praks v zvezi s pripravo standardnih pogodb iz člena 164(4)(c) Uredbe (EU) št. 1308/2013 globa znaša 8 % plačila v smislu člena 29a(1) Zakona z dne 11. marca 2004 o davku na dodano vrednost za proizvode, prodane ali kupljene na podlagi določene pogodbe.“;</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w:t>
      </w:r>
      <w:r w:rsidR="008B5E32">
        <w:rPr>
          <w:rFonts w:ascii="Times New Roman" w:hAnsi="Times New Roman"/>
        </w:rPr>
        <w:tab/>
      </w:r>
      <w:r>
        <w:rPr>
          <w:rFonts w:ascii="Times New Roman" w:hAnsi="Times New Roman"/>
        </w:rPr>
        <w:t>v členu 40j se odstavek 1 nadomesti z naslednjim besedilom:</w:t>
      </w:r>
    </w:p>
    <w:p w:rsidR="000E419B" w:rsidRPr="000E419B" w:rsidRDefault="00284E0D" w:rsidP="00624C2A">
      <w:pPr>
        <w:pStyle w:val="ZUSTzmustartykuempunktem"/>
        <w:keepNext/>
        <w:keepLines/>
      </w:pPr>
      <w:r>
        <w:t>„1. Globe iz:</w:t>
      </w:r>
    </w:p>
    <w:p w:rsidR="000E419B" w:rsidRPr="000E419B" w:rsidRDefault="000E419B" w:rsidP="00624C2A">
      <w:pPr>
        <w:pStyle w:val="ZPKTzmpktartykuempunktem"/>
      </w:pPr>
      <w:r>
        <w:t>1)</w:t>
      </w:r>
      <w:r>
        <w:tab/>
        <w:t>člena 40i(1)–(1cc) in člena 40ia,</w:t>
      </w:r>
    </w:p>
    <w:p w:rsidR="000E419B" w:rsidRPr="000E419B" w:rsidRDefault="000E419B" w:rsidP="00624C2A">
      <w:pPr>
        <w:pStyle w:val="ZPKTzmpktartykuempunktem"/>
      </w:pPr>
      <w:r>
        <w:t>2)</w:t>
      </w:r>
      <w:r>
        <w:tab/>
        <w:t>člena 8 Uredbe (EU) 2017/40 v zvezi s podporo iz člena 38u(1)(2)</w:t>
      </w:r>
    </w:p>
    <w:p w:rsidR="000E419B" w:rsidRDefault="000E419B" w:rsidP="00624C2A">
      <w:pPr>
        <w:pStyle w:val="ZCZWSPPKTzmczciwsppktartykuempunktem"/>
      </w:pPr>
      <w:r>
        <w:lastRenderedPageBreak/>
        <w:t>– z upravno odločbo naloži direktor območnega oddelka nacionalnega centra, pristojnega za območje, na katerem se nahaja sedež ali naslov stalnega prebivališča proizvajalca, kupca ali vložnika.“.</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Člen 2</w:t>
      </w:r>
      <w:r>
        <w:rPr>
          <w:rFonts w:ascii="Times New Roman" w:hAnsi="Times New Roman"/>
        </w:rPr>
        <w:t xml:space="preserve"> Zakon z dne 15. decembra 2016 o preprečevanju nepoštene uporabe pogodbene prednosti pri trženju kmetijskih in prehrambnih proizvodov (Uradni list iz leta 2019, postavka 517) se spremeni:</w:t>
      </w:r>
    </w:p>
    <w:p w:rsidR="001E1984" w:rsidRPr="00072863" w:rsidRDefault="001E1984" w:rsidP="00624C2A">
      <w:pPr>
        <w:pStyle w:val="PKTpunkt"/>
        <w:keepNext/>
        <w:keepLines/>
      </w:pPr>
      <w:r>
        <w:t>1)</w:t>
      </w:r>
      <w:r>
        <w:tab/>
        <w:t>člen 2 se nadomesti z naslednjim besedilom:</w:t>
      </w:r>
    </w:p>
    <w:p w:rsidR="001E1984" w:rsidRPr="00072863" w:rsidRDefault="001E1984" w:rsidP="00624C2A">
      <w:pPr>
        <w:pStyle w:val="ZARTzmartartykuempunktem"/>
      </w:pPr>
      <w:r>
        <w:t>„Člen 2. Zakon se uporablja za pogodbe o nakupu kmetijskih ali prehrambnih proizvodov (v nadaljnjem besedilu: pogodbe), z izjemo neposredne dobave in kmetijske trgovine na drobno v smislu Zakona z dne 25. avgusta 2006 o varnosti hrane in krme (Uradni list iz leta 2018, postavka 1541, kakor je bil spremenjen</w:t>
      </w:r>
      <w:r>
        <w:rPr>
          <w:vertAlign w:val="superscript"/>
        </w:rPr>
        <w:t>2)</w:t>
      </w:r>
      <w:r>
        <w:t>) ter neposredne prodaje v smislu Zakona z dne 16. decembra 2005 o proizvodih živalskega izvora (Uradni list iz leta 2019, postavka 824), sklenjene med kupci teh proizvodov in njihovimi dobavitelji.“;</w:t>
      </w:r>
    </w:p>
    <w:p w:rsidR="00F91F6E" w:rsidRPr="001B4D4B" w:rsidRDefault="001E1984" w:rsidP="00624C2A">
      <w:pPr>
        <w:pStyle w:val="PKTpunkt"/>
        <w:keepNext/>
        <w:keepLines/>
      </w:pPr>
      <w:r>
        <w:t>2)</w:t>
      </w:r>
      <w:r>
        <w:tab/>
        <w:t>v členu 3(2):</w:t>
      </w:r>
    </w:p>
    <w:p w:rsidR="00F91F6E" w:rsidRDefault="00F91F6E" w:rsidP="00624C2A">
      <w:pPr>
        <w:pStyle w:val="LITlitera"/>
      </w:pPr>
      <w:r>
        <w:t>a)</w:t>
      </w:r>
      <w:r>
        <w:tab/>
        <w:t>se črta točka (b),</w:t>
      </w:r>
    </w:p>
    <w:p w:rsidR="00930905" w:rsidRDefault="00930905" w:rsidP="00624C2A">
      <w:pPr>
        <w:pStyle w:val="LITlitera"/>
      </w:pPr>
      <w:r>
        <w:t>b)</w:t>
      </w:r>
      <w:r>
        <w:tab/>
        <w:t>v točki (c) se pika nadomesti z vejico in vstavita se točki (d) in (e), ki se glasita:</w:t>
      </w:r>
    </w:p>
    <w:p w:rsidR="00930905" w:rsidRPr="00BE3D19" w:rsidRDefault="00930905" w:rsidP="00624C2A">
      <w:pPr>
        <w:pStyle w:val="ZLITLITzmlitliter"/>
      </w:pPr>
      <w:r>
        <w:t>„d)</w:t>
      </w:r>
      <w:r>
        <w:tab/>
        <w:t>priznane organizacije proizvajalcev v smislu določb o ureditvi nekaterih kmetijskih trgov, ki prodaja kmetijske ali prehrambne proizvode organizaciji, katere član je,</w:t>
      </w:r>
    </w:p>
    <w:p w:rsidR="00930905" w:rsidRPr="00BE3D19" w:rsidRDefault="00930905" w:rsidP="00624C2A">
      <w:pPr>
        <w:pStyle w:val="ZLITLITzmlitliter"/>
      </w:pPr>
      <w:r>
        <w:t>e)</w:t>
      </w:r>
      <w:r>
        <w:tab/>
        <w:t>priznane organizacije proizvajalcev v smislu določb o ureditvi trga mleka in mlečnih izdelkov, ki prodaja kmetijske ali prehrambne proizvode organizaciji, katere član je;“,</w:t>
      </w:r>
    </w:p>
    <w:p w:rsidR="001E1984" w:rsidRPr="00072863" w:rsidRDefault="00930905" w:rsidP="00624C2A">
      <w:pPr>
        <w:pStyle w:val="LITlitera"/>
        <w:keepNext/>
        <w:keepLines/>
      </w:pPr>
      <w:r>
        <w:t>c)</w:t>
      </w:r>
      <w:r>
        <w:tab/>
        <w:t>vstavi se točka 3, ki se glasi:</w:t>
      </w:r>
    </w:p>
    <w:p w:rsidR="001E1984" w:rsidRDefault="001E1984" w:rsidP="00624C2A">
      <w:pPr>
        <w:pStyle w:val="ZLITPKTzmpktliter"/>
      </w:pPr>
      <w:r>
        <w:t>„3)</w:t>
      </w:r>
      <w:r>
        <w:tab/>
        <w:t>dobavitelj prodaja kmetijske ali prehrambne proizvode prek blagovne borze v smislu določb o blagovnih borzah ali prek sistema trgovanja s finančnimi instrumenti v smislu določb o trgovanju s finančnimi instrumenti.“;</w:t>
      </w:r>
    </w:p>
    <w:p w:rsidR="00F65C42" w:rsidRDefault="00F65C42" w:rsidP="00624C2A">
      <w:pPr>
        <w:pStyle w:val="PKTpunkt"/>
        <w:keepNext/>
        <w:keepLines/>
      </w:pPr>
      <w:r>
        <w:t>3)</w:t>
      </w:r>
      <w:r>
        <w:tab/>
        <w:t>točka 3 člena 5 se nadomesti z naslednjim besedilom:</w:t>
      </w:r>
    </w:p>
    <w:p w:rsidR="00F65C42" w:rsidRDefault="00F65C42" w:rsidP="00624C2A">
      <w:pPr>
        <w:pStyle w:val="ZPKTzmpktartykuempunktem"/>
      </w:pPr>
      <w:r>
        <w:t>„3)</w:t>
      </w:r>
      <w:r>
        <w:tab/>
        <w:t>kmetijski ali prehrambni proizvod – proizvod, naveden v Prilogi I k Pogodbi o delovanju Evropske unije, ali proizvod, ki ni naveden v tej prilogi, vendar je za namene porabe predelan z uporabo proizvodov, navedenih v tej prilogi;“;</w:t>
      </w:r>
    </w:p>
    <w:p w:rsidR="000F1029" w:rsidRDefault="00F121DD" w:rsidP="00624C2A">
      <w:pPr>
        <w:pStyle w:val="PKTpunkt"/>
        <w:keepNext/>
        <w:keepLines/>
      </w:pPr>
      <w:r>
        <w:lastRenderedPageBreak/>
        <w:t>4)</w:t>
      </w:r>
      <w:r>
        <w:tab/>
        <w:t>v členu 7:</w:t>
      </w:r>
    </w:p>
    <w:p w:rsidR="00F121DD" w:rsidRDefault="000F1029" w:rsidP="00624C2A">
      <w:pPr>
        <w:pStyle w:val="LITlitera"/>
      </w:pPr>
      <w:r>
        <w:t>a)</w:t>
      </w:r>
      <w:r>
        <w:tab/>
        <w:t>se v odstavku 2 za besedilom „v nasprotju z“ doda besedilo „določbami o preprečevanju nepoštene uporabe pogodbene prednosti pri trženju kmetijskih in prehrambnih proizvodov ali“,</w:t>
      </w:r>
    </w:p>
    <w:p w:rsidR="001E1984" w:rsidRPr="00072863" w:rsidRDefault="000F1029" w:rsidP="00624C2A">
      <w:pPr>
        <w:pStyle w:val="LITlitera"/>
        <w:keepNext/>
        <w:keepLines/>
      </w:pPr>
      <w:r>
        <w:t>b)</w:t>
      </w:r>
      <w:r>
        <w:tab/>
        <w:t>v odstavku 3(4) se pika nadomesti s podpičjem in vstavi se točka 5, ki se glasi:</w:t>
      </w:r>
    </w:p>
    <w:p w:rsidR="0059066D" w:rsidRPr="008509D8" w:rsidRDefault="001E1984" w:rsidP="00624C2A">
      <w:pPr>
        <w:pStyle w:val="ZLITPKTzmpktliter"/>
      </w:pPr>
      <w:r>
        <w:t>„5)</w:t>
      </w:r>
      <w:r>
        <w:tab/>
        <w:t>nakup kmetijskega ali prehrambnega proizvoda, proizvedenega na ozemlju Republike Poljske, ki je proizvod, naveden v Prilogi I k Pogodbi o delovanju Evropske unije (v tem poglavju: proizvod), ali podkategorije proizvoda, za katerega je bila določena referenčna cena, pod to ceno, s strani kupca, ki ta proizvod ali podkategorijo proizvoda kupi neposredno od dobavitelja, ki je proizvedel ta proizvod ali podkategorijo proizvoda, ali od:</w:t>
      </w:r>
    </w:p>
    <w:p w:rsidR="0059066D" w:rsidRPr="0059066D" w:rsidRDefault="002A68BF" w:rsidP="00624C2A">
      <w:pPr>
        <w:pStyle w:val="ZLITLITwPKTzmlitwpktliter"/>
      </w:pPr>
      <w:r>
        <w:t>a)</w:t>
      </w:r>
      <w:r>
        <w:tab/>
        <w:t>zadrug teh dobaviteljev,</w:t>
      </w:r>
    </w:p>
    <w:p w:rsidR="0059066D" w:rsidRPr="008509D8" w:rsidRDefault="002A68BF" w:rsidP="00624C2A">
      <w:pPr>
        <w:pStyle w:val="ZLITLITwPKTzmlitwpktliter"/>
      </w:pPr>
      <w:r>
        <w:t>b)</w:t>
      </w:r>
      <w:r>
        <w:tab/>
        <w:t>skupin kmetijskih proizvajalcev v smislu določb o skupinah kmetijskih proizvajalcev in njihovih združenjih,</w:t>
      </w:r>
    </w:p>
    <w:p w:rsidR="0059066D" w:rsidRPr="008509D8" w:rsidRDefault="002A68BF" w:rsidP="00624C2A">
      <w:pPr>
        <w:pStyle w:val="ZLITLITwPKTzmlitwpktliter"/>
      </w:pPr>
      <w:r>
        <w:t>c)</w:t>
      </w:r>
      <w:r>
        <w:tab/>
        <w:t>priznane organizacije proizvajalcev sadja in zelenjave v smislu določb o ureditvi trgov sadja in zelenjave ter hmelja,</w:t>
      </w:r>
    </w:p>
    <w:p w:rsidR="0059066D" w:rsidRPr="008509D8" w:rsidRDefault="002A68BF" w:rsidP="00624C2A">
      <w:pPr>
        <w:pStyle w:val="ZLITLITwPKTzmlitwpktliter"/>
      </w:pPr>
      <w:r>
        <w:t>d)</w:t>
      </w:r>
      <w:r>
        <w:tab/>
        <w:t>priznane organizacije proizvajalcev v smislu določb o ureditvi nekaterih kmetijskih trgov,</w:t>
      </w:r>
    </w:p>
    <w:p w:rsidR="001E1984" w:rsidRPr="008509D8" w:rsidRDefault="003C344E" w:rsidP="00624C2A">
      <w:pPr>
        <w:pStyle w:val="ZLITLITwPKTzmlitwpktliter"/>
      </w:pPr>
      <w:r>
        <w:t>e)</w:t>
      </w:r>
      <w:r>
        <w:tab/>
        <w:t>priznane organizacije proizvajalcev v smislu določb o ureditvi trga mleka in mlečnih izdelkov.“;</w:t>
      </w:r>
    </w:p>
    <w:p w:rsidR="001E1984" w:rsidRPr="008509D8" w:rsidRDefault="00294536" w:rsidP="00624C2A">
      <w:pPr>
        <w:pStyle w:val="PKTpunkt"/>
        <w:keepNext/>
        <w:keepLines/>
      </w:pPr>
      <w:r>
        <w:t>5)</w:t>
      </w:r>
      <w:r>
        <w:tab/>
        <w:t>za členom 7 se vstavi člen 7a, ki se glasi:</w:t>
      </w:r>
    </w:p>
    <w:p w:rsidR="007B149B" w:rsidRDefault="007B149B" w:rsidP="00624C2A">
      <w:pPr>
        <w:pStyle w:val="ZARTzmartartykuempunktem"/>
        <w:rPr>
          <w:rFonts w:eastAsia="Times New Roman"/>
        </w:rPr>
      </w:pPr>
      <w:r>
        <w:t>„Člen 7a. 1. Referenčno ceno za določen proizvod in kategorijo proizvoda določi minister, pristojen za kmetijske trge, do 31. marca vsako leto za obdobje od 1. aprila zadevnega leta do 31. marca naslednjega leta po naslednji formuli:</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pri čemer:</w:t>
      </w:r>
    </w:p>
    <w:p w:rsidR="007B149B" w:rsidRPr="007B149B" w:rsidRDefault="007B149B" w:rsidP="00624C2A">
      <w:pPr>
        <w:pStyle w:val="ZLEGWMATFIZCHEMzmlegendywzorumatfizlubchemartykuempunktem"/>
        <w:rPr>
          <w:rFonts w:eastAsia="Times New Roman"/>
        </w:rPr>
      </w:pPr>
      <w:r>
        <w:t>C</w:t>
      </w:r>
      <w:r>
        <w:tab/>
        <w:t>pomeni referenčno ceno proizvoda oziroma podkategorije proizvoda v PLN na kilogram,</w:t>
      </w:r>
    </w:p>
    <w:p w:rsidR="007B149B" w:rsidRPr="007B149B" w:rsidRDefault="007B149B" w:rsidP="00624C2A">
      <w:pPr>
        <w:pStyle w:val="ZLEGWMATFIZCHEMzmlegendywzorumatfizlubchemartykuempunktem"/>
        <w:rPr>
          <w:rFonts w:eastAsia="Times New Roman"/>
        </w:rPr>
      </w:pPr>
      <w:r>
        <w:lastRenderedPageBreak/>
        <w:t>k</w:t>
      </w:r>
      <w:r>
        <w:rPr>
          <w:vertAlign w:val="subscript"/>
        </w:rPr>
        <w:t>n-1</w:t>
      </w:r>
      <w:r>
        <w:tab/>
        <w:t>predstavlja povprečne stroške za proizvodnjo proizvoda oziroma podkategorije proizvoda na komercialnem gospodarstvu, razen stroškov dela, nastalih v preteklem letu, v PLN na hektar,</w:t>
      </w:r>
    </w:p>
    <w:p w:rsidR="007B149B" w:rsidRPr="007B149B" w:rsidRDefault="007B149B" w:rsidP="00624C2A">
      <w:pPr>
        <w:pStyle w:val="ZLEGWMATFIZCHEMzmlegendywzorumatfizlubchemartykuempunktem"/>
        <w:rPr>
          <w:rFonts w:eastAsia="Times New Roman"/>
        </w:rPr>
      </w:pPr>
      <w:r>
        <w:t>k</w:t>
      </w:r>
      <w:r>
        <w:rPr>
          <w:vertAlign w:val="subscript"/>
        </w:rPr>
        <w:t>n-2</w:t>
      </w:r>
      <w:r>
        <w:tab/>
        <w:t>predstavlja povprečne stroške za proizvodnjo proizvoda oziroma podkategorije proizvoda na komercialnem gospodarstvu, razen stroškov dela, nastalih v predpreteklem letu, v PLN na hektar,</w:t>
      </w:r>
    </w:p>
    <w:p w:rsidR="007B149B" w:rsidRPr="007B149B" w:rsidRDefault="007B149B" w:rsidP="00624C2A">
      <w:pPr>
        <w:pStyle w:val="ZLEGWMATFIZCHEMzmlegendywzorumatfizlubchemartykuempunktem"/>
        <w:rPr>
          <w:rFonts w:eastAsia="Times New Roman"/>
        </w:rPr>
      </w:pPr>
      <w:r>
        <w:t>k</w:t>
      </w:r>
      <w:r>
        <w:rPr>
          <w:vertAlign w:val="subscript"/>
        </w:rPr>
        <w:t>n-3</w:t>
      </w:r>
      <w:r>
        <w:tab/>
        <w:t>predstavlja povprečne stroške za proizvod proizvoda oziroma podkategorije proizvoda na komercialnem gospodarstvu, razen stroškov dela, nastalih v letu pred predpreteklim letom, v PLN na hektar,</w:t>
      </w:r>
    </w:p>
    <w:p w:rsidR="007B149B" w:rsidRPr="007B149B" w:rsidRDefault="007B149B" w:rsidP="00624C2A">
      <w:pPr>
        <w:pStyle w:val="ZLEGWMATFIZCHEMzmlegendywzorumatfizlubchemartykuempunktem"/>
        <w:rPr>
          <w:rFonts w:eastAsia="Times New Roman"/>
        </w:rPr>
      </w:pPr>
      <w:r>
        <w:t>p</w:t>
      </w:r>
      <w:r>
        <w:rPr>
          <w:vertAlign w:val="subscript"/>
        </w:rPr>
        <w:t>n-1</w:t>
      </w:r>
      <w:r>
        <w:tab/>
        <w:t>predstavlja povprečno pridelavo proizvoda oziroma podkategorije proizvoda na komercialnem gospodarstvu v preteklem letu v kg na hektar,</w:t>
      </w:r>
    </w:p>
    <w:p w:rsidR="007B149B" w:rsidRPr="007B149B" w:rsidRDefault="007B149B" w:rsidP="00624C2A">
      <w:pPr>
        <w:pStyle w:val="ZLEGWMATFIZCHEMzmlegendywzorumatfizlubchemartykuempunktem"/>
        <w:rPr>
          <w:rFonts w:eastAsia="Times New Roman"/>
        </w:rPr>
      </w:pPr>
      <w:r>
        <w:t>p</w:t>
      </w:r>
      <w:r>
        <w:rPr>
          <w:vertAlign w:val="subscript"/>
        </w:rPr>
        <w:t>n-2</w:t>
      </w:r>
      <w:r>
        <w:tab/>
        <w:t>predstavlja povprečno pridelavo proizvoda oziroma podkategorije proizvoda na komercialnem gospodarstvu v predpreteklem letu v kg na hektar,</w:t>
      </w:r>
    </w:p>
    <w:p w:rsidR="007B149B" w:rsidRPr="007B149B" w:rsidRDefault="007B149B" w:rsidP="00624C2A">
      <w:pPr>
        <w:pStyle w:val="ZLEGWMATFIZCHEMzmlegendywzorumatfizlubchemartykuempunktem"/>
        <w:rPr>
          <w:rFonts w:eastAsia="Times New Roman"/>
        </w:rPr>
      </w:pPr>
      <w:r>
        <w:t>p</w:t>
      </w:r>
      <w:r>
        <w:rPr>
          <w:vertAlign w:val="subscript"/>
        </w:rPr>
        <w:t>n-3</w:t>
      </w:r>
      <w:r>
        <w:tab/>
        <w:t>predstavlja povprečno pridelavo proizvoda oziroma podkategorije proizvoda na komercialnem gospodarstvu v letu pred predpreteklim letom v kg na hektar,</w:t>
      </w:r>
    </w:p>
    <w:p w:rsidR="007B149B" w:rsidRPr="007B149B" w:rsidRDefault="007B149B" w:rsidP="00624C2A">
      <w:pPr>
        <w:pStyle w:val="ZLEGWMATFIZCHEMzmlegendywzorumatfizlubchemartykuempunktem"/>
        <w:rPr>
          <w:rFonts w:eastAsia="Times New Roman"/>
        </w:rPr>
      </w:pPr>
      <w:r>
        <w:t>t</w:t>
      </w:r>
      <w:r>
        <w:rPr>
          <w:vertAlign w:val="subscript"/>
        </w:rPr>
        <w:t>n-1</w:t>
      </w:r>
      <w:r>
        <w:tab/>
        <w:t>predstavlja povprečni delovni čas, namenjen za proizvodnjo proizvoda oziroma podkategorije proizvoda na komercialnem gospodarstvu v preteklem letu, v urah na hektar,</w:t>
      </w:r>
    </w:p>
    <w:p w:rsidR="007B149B" w:rsidRPr="007B149B" w:rsidRDefault="007B149B" w:rsidP="00624C2A">
      <w:pPr>
        <w:pStyle w:val="ZLEGWMATFIZCHEMzmlegendywzorumatfizlubchemartykuempunktem"/>
        <w:rPr>
          <w:rFonts w:eastAsia="Times New Roman"/>
        </w:rPr>
      </w:pPr>
      <w:r>
        <w:t>t</w:t>
      </w:r>
      <w:r>
        <w:rPr>
          <w:vertAlign w:val="subscript"/>
        </w:rPr>
        <w:t>n-2</w:t>
      </w:r>
      <w:r>
        <w:tab/>
        <w:t>predstavlja povprečni delovni čas, namenjen za proizvodnjo proizvoda oziroma podkategorije proizvoda na komercialnem gospodarstvu v predpreteklem letu, v urah na hektar,</w:t>
      </w:r>
    </w:p>
    <w:p w:rsidR="007B149B" w:rsidRDefault="007B149B" w:rsidP="00624C2A">
      <w:pPr>
        <w:pStyle w:val="ZLEGWMATFIZCHEMzmlegendywzorumatfizlubchemartykuempunktem"/>
        <w:rPr>
          <w:rFonts w:eastAsia="Times New Roman"/>
        </w:rPr>
      </w:pPr>
      <w:r>
        <w:t>t</w:t>
      </w:r>
      <w:r>
        <w:rPr>
          <w:vertAlign w:val="subscript"/>
        </w:rPr>
        <w:t>n-3</w:t>
      </w:r>
      <w:r>
        <w:tab/>
        <w:t>predstavlja povprečni delovni čas, namenjen za proizvodnjo proizvoda oziroma podkategorije proizvoda na komercialnem gospodarstvu v letu pred predpreteklim letom, v urah na hektar,</w:t>
      </w:r>
    </w:p>
    <w:p w:rsidR="007B149B" w:rsidRDefault="007F6A12" w:rsidP="00624C2A">
      <w:pPr>
        <w:pStyle w:val="ZLEGWMATFIZCHEMzmlegendywzorumatfizlubchemartykuempunktem"/>
        <w:rPr>
          <w:rFonts w:eastAsia="Times New Roman"/>
        </w:rPr>
      </w:pPr>
      <w:r>
        <w:t>g</w:t>
      </w:r>
      <w:r>
        <w:rPr>
          <w:vertAlign w:val="subscript"/>
        </w:rPr>
        <w:t>n-2</w:t>
      </w:r>
      <w:r>
        <w:tab/>
        <w:t>predstavlja stroške dela v predpreteklem letu v PLN na hektar,</w:t>
      </w:r>
    </w:p>
    <w:p w:rsidR="007B149B" w:rsidRPr="007B149B" w:rsidRDefault="00ED5616" w:rsidP="00624C2A">
      <w:pPr>
        <w:pStyle w:val="ZLEGWMATFIZCHEMzmlegendywzorumatfizlubchemartykuempunktem"/>
        <w:rPr>
          <w:rFonts w:eastAsia="Times New Roman"/>
        </w:rPr>
      </w:pPr>
      <w:r>
        <w:t>i</w:t>
      </w:r>
      <w:r>
        <w:rPr>
          <w:vertAlign w:val="subscript"/>
        </w:rPr>
        <w:t>n-1</w:t>
      </w:r>
      <w:r>
        <w:tab/>
        <w:t>je indeks sprememb plač v sektorju predelovalne industrije v preteklem letu glede na predpreteklo leto.</w:t>
      </w:r>
    </w:p>
    <w:p w:rsidR="007B149B" w:rsidRPr="007B149B" w:rsidRDefault="007B149B" w:rsidP="00900942">
      <w:pPr>
        <w:pStyle w:val="ZUSTzmustartykuempunktem"/>
        <w:keepNext/>
        <w:keepLines/>
        <w:rPr>
          <w:rFonts w:eastAsia="Times New Roman"/>
        </w:rPr>
      </w:pPr>
      <w:r>
        <w:t>2. Pri določanju referenčne cene velja naslednje:</w:t>
      </w:r>
    </w:p>
    <w:p w:rsidR="007B149B" w:rsidRPr="007B149B" w:rsidRDefault="007B149B" w:rsidP="00624C2A">
      <w:pPr>
        <w:pStyle w:val="ZPKTzmpktartykuempunktem"/>
        <w:rPr>
          <w:rFonts w:eastAsia="Times New Roman"/>
        </w:rPr>
      </w:pPr>
      <w:r>
        <w:t>1)</w:t>
      </w:r>
      <w:r>
        <w:tab/>
        <w:t xml:space="preserve">komercialno gospodarstvo se razume kot gospodarstvo iz člena 5(1) Uredbe Sveta (ES) št. 1217/2009 z dne 30. novembra 2009 o vzpostavitvi mreže za zbiranje </w:t>
      </w:r>
      <w:r>
        <w:lastRenderedPageBreak/>
        <w:t>računovodskih podatkov o dohodkih in poslovanju kmetijskih gospodarstev v Evropski skupnosti (UL L 328, 15.12.2009, str. 27, kakor je bila spremenjena</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stroški dela se razumejo kot povprečno plačilo za delo na komercialnih gospodarstvih.</w:t>
      </w:r>
    </w:p>
    <w:p w:rsidR="007B149B" w:rsidRPr="007B149B" w:rsidRDefault="007B149B" w:rsidP="00624C2A">
      <w:pPr>
        <w:pStyle w:val="ZUSTzmustartykuempunktem"/>
        <w:rPr>
          <w:rFonts w:eastAsia="Times New Roman"/>
        </w:rPr>
      </w:pPr>
      <w:r>
        <w:t>3. Referenčna cena posameznega proizvoda in podkategorije proizvoda se določi na podlagi podatkov, pridobljenih v okviru raziskave, ki jo je opravil Inštitut za kmetijsko in prehransko ekonomiko – Nacionalni raziskovalni inštitut –, indeks sprememb plač v sektorju predelovalne industrije, do katerih je v preteklem letu prišlo v primerjavi s predpreteklim letom, pa se določi na podlagi objavljenih statističnih podatkov, ki so na voljo ali se objavijo v skladu z določbami o javni statistiki.</w:t>
      </w:r>
    </w:p>
    <w:p w:rsidR="00225E1D" w:rsidRDefault="007B149B" w:rsidP="00624C2A">
      <w:pPr>
        <w:pStyle w:val="ZUSTzmustartykuempunktem"/>
      </w:pPr>
      <w:r>
        <w:t>4. Inštitut za kmetijsko in prehransko ekonomiko – Nacionalni raziskovalni inštitut – objavi podatke iz odstavka 3 na svoji strani v javnem informacijskem biltenu do 10. marca vsako leto.</w:t>
      </w:r>
    </w:p>
    <w:p w:rsidR="001E1984" w:rsidRPr="002016C0" w:rsidRDefault="003B7577" w:rsidP="00624C2A">
      <w:pPr>
        <w:pStyle w:val="ZUSTzmustartykuempunktem"/>
      </w:pPr>
      <w:r>
        <w:t>5. Minister, pristojen za kmetijske trge, z uredbo določi seznam proizvodov oziroma podkategorij proizvodov, za katere so določene referenčne cene, ob upoštevanju nacionalne kmetijske proizvodnje posameznih proizvodov in podkategorij proizvodov ter njihovega upravljanja in tveganja nepoštene uporabe pogodbene prednosti.</w:t>
      </w:r>
    </w:p>
    <w:p w:rsidR="00CB4B38" w:rsidRPr="00721BB9" w:rsidRDefault="003B7577" w:rsidP="00624C2A">
      <w:pPr>
        <w:pStyle w:val="ZUSTzmustartykuempunktem"/>
      </w:pPr>
      <w:r>
        <w:t>6. Minister, pristojen za kmetijske trge, z obvestilom objavi referenčne cene proizvodov in podkategorij proizvodov, vključenih na seznam iz odstavka 5, do 31. marca vsako leto.“.</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Člen 3</w:t>
      </w:r>
      <w:r>
        <w:rPr>
          <w:rFonts w:ascii="Times New Roman" w:hAnsi="Times New Roman"/>
        </w:rPr>
        <w:t xml:space="preserve"> Za pogodbe o dobavi kmetijskih proizvodov, ki spadajo v sektorje iz člena 1(2) Uredbe (EU) št. 1308/2013 Evropskega parlamenta in Sveta z dne 17. decembra 2013 o vzpostavitvi skupne ureditve trgov kmetijskih proizvodov in razveljavitvi uredb Sveta (EGS) št. 922/72, (EGS) št. 234/79, (ES) št. 1037/2001 in (ES) št. 1234/2007 (UL L 347, 20.12.2013, str. 671, kakor je bila spremenjena</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sklenjene pred začetkom veljavnosti tega zakona, se uporabljajo določbe zakona, spremenjenega v členu 1, v sedanjem besedilu.</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Člen 4</w:t>
      </w:r>
      <w:r>
        <w:rPr>
          <w:rFonts w:ascii="Times New Roman" w:hAnsi="Times New Roman"/>
        </w:rPr>
        <w:t xml:space="preserve"> V primeru postopkov za naložitev glob, ki so se začeli na podlagi zakona, spremenjenega v členu 1, in niso bili zaključeni s pravnomočnim sklepom do začetka </w:t>
      </w:r>
      <w:r>
        <w:rPr>
          <w:rFonts w:ascii="Times New Roman" w:hAnsi="Times New Roman"/>
        </w:rPr>
        <w:lastRenderedPageBreak/>
        <w:t>veljavnosti tega zakona, se uporabljajo določbe zakona, spremenjenega v členu 1, v sedanjem besedilu.</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Člen 5</w:t>
      </w:r>
      <w:r>
        <w:rPr>
          <w:rFonts w:ascii="Times New Roman" w:hAnsi="Times New Roman"/>
        </w:rPr>
        <w:t xml:space="preserve"> V primeru pogodb o nakupu kmetijskih ali prehrambnih proizvodov, sklenjenih pred objavo obvestila iz člena 6, se uporabljajo določbe zakona, spremenjenega v členu 2, v sedanjem besedilu.</w:t>
      </w:r>
    </w:p>
    <w:p w:rsidR="000B07C9" w:rsidRDefault="005C67D3" w:rsidP="00624C2A">
      <w:pPr>
        <w:pStyle w:val="ARTartustawynprozporzdzenia"/>
        <w:rPr>
          <w:rFonts w:ascii="Times New Roman" w:hAnsi="Times New Roman" w:cs="Times New Roman"/>
          <w:szCs w:val="24"/>
        </w:rPr>
      </w:pPr>
      <w:r>
        <w:rPr>
          <w:rFonts w:ascii="Times New Roman" w:hAnsi="Times New Roman"/>
          <w:b/>
        </w:rPr>
        <w:t>Člen 6</w:t>
      </w:r>
      <w:r>
        <w:rPr>
          <w:rFonts w:ascii="Times New Roman" w:hAnsi="Times New Roman"/>
        </w:rPr>
        <w:t xml:space="preserve"> V letu 2019 minister, pristojen za kmetijske trge, z obvestilom objavi referenčne cene proizvodov in podkategorij proizvodov, vključenih na seznam iz člena 7a(5) spremenjene različice zakona, spremenjenega v členu 2, za obdobje od dneva objave tega obvestila do 31. marca 2020 v roku 14 dni od datuma začetka veljavnosti zakona.</w:t>
      </w:r>
    </w:p>
    <w:p w:rsidR="00062717" w:rsidRDefault="00C418F0" w:rsidP="00624C2A">
      <w:pPr>
        <w:pStyle w:val="ARTartustawynprozporzdzenia"/>
      </w:pPr>
      <w:r>
        <w:rPr>
          <w:rStyle w:val="Ppogrubienie"/>
          <w:rFonts w:ascii="Times New Roman" w:hAnsi="Times New Roman"/>
        </w:rPr>
        <w:t>Člen 7</w:t>
      </w:r>
      <w:r>
        <w:t xml:space="preserve"> Ta zakon začne veljati 14 dni po objavi.</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9F5" w:rsidRDefault="002A79F5">
      <w:r>
        <w:separator/>
      </w:r>
    </w:p>
  </w:endnote>
  <w:endnote w:type="continuationSeparator" w:id="0">
    <w:p w:rsidR="002A79F5" w:rsidRDefault="002A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9F5" w:rsidRDefault="002A79F5">
      <w:r>
        <w:separator/>
      </w:r>
    </w:p>
  </w:footnote>
  <w:footnote w:type="continuationSeparator" w:id="0">
    <w:p w:rsidR="002A79F5" w:rsidRDefault="002A79F5">
      <w:r>
        <w:continuationSeparator/>
      </w:r>
    </w:p>
  </w:footnote>
  <w:footnote w:id="1">
    <w:p w:rsidR="00717F00" w:rsidRDefault="00717F00" w:rsidP="00B44A77">
      <w:pPr>
        <w:pStyle w:val="ODNONIKtreodnonika"/>
      </w:pPr>
      <w:r>
        <w:rPr>
          <w:rStyle w:val="FootnoteReference"/>
        </w:rPr>
        <w:footnoteRef/>
      </w:r>
      <w:r>
        <w:rPr>
          <w:rStyle w:val="IGindeksgrny"/>
        </w:rPr>
        <w:t>)</w:t>
      </w:r>
      <w:r>
        <w:tab/>
        <w:t>Ta zakon je bil priglašen Evropski komisiji dne […] pod št. […] v skladu z oddelkom 4 Uredbe Sveta ministrov z dne 23. decembra 2002 o načinu delovanja državnega sistema obveščanja o standardih in pravnih aktih (Uradni list [</w:t>
      </w:r>
      <w:proofErr w:type="spellStart"/>
      <w:r>
        <w:t>Dziennik</w:t>
      </w:r>
      <w:proofErr w:type="spellEnd"/>
      <w:r>
        <w:t xml:space="preserve"> </w:t>
      </w:r>
      <w:proofErr w:type="spellStart"/>
      <w:r>
        <w:t>Ustaw</w:t>
      </w:r>
      <w:proofErr w:type="spellEnd"/>
      <w:r>
        <w:t>], postavka 2039; in Uradni list iz leta 2004, postavka 597), ki izvaja določbe Direktive (EU) 2015/1535 Evropskega parlamenta in Sveta z dne 9. septembra 2015 o določitvi postopka za zbiranje informacij na področju tehničnih predpisov in pravil za storitve informacijske družbe (UL L 241, 17.9.2015, str. 1).</w:t>
      </w:r>
    </w:p>
  </w:footnote>
  <w:footnote w:id="2">
    <w:p w:rsidR="006E575F" w:rsidRDefault="006E575F" w:rsidP="006E575F">
      <w:pPr>
        <w:pStyle w:val="ODNONIKtreodnonika"/>
      </w:pPr>
      <w:r>
        <w:rPr>
          <w:rStyle w:val="FootnoteReference"/>
        </w:rPr>
        <w:footnoteRef/>
      </w:r>
      <w:r>
        <w:rPr>
          <w:rStyle w:val="IGindeksgrny"/>
        </w:rPr>
        <w:t>)</w:t>
      </w:r>
      <w:r>
        <w:tab/>
        <w:t>Spremembe prečiščenega besedila navedenega zakona so bile objavljene v postavkah 1669, 2136, 2227, 2242, 2244 in 2245 Uradnega lista iz leta 2018.</w:t>
      </w:r>
    </w:p>
  </w:footnote>
  <w:footnote w:id="3">
    <w:p w:rsidR="00753937" w:rsidRDefault="00753937" w:rsidP="00924BC2">
      <w:pPr>
        <w:pStyle w:val="ODNONIKtreodnonika"/>
      </w:pPr>
      <w:r>
        <w:rPr>
          <w:rStyle w:val="FootnoteReference"/>
        </w:rPr>
        <w:footnoteRef/>
      </w:r>
      <w:r>
        <w:rPr>
          <w:vertAlign w:val="superscript"/>
        </w:rPr>
        <w:t>)</w:t>
      </w:r>
      <w:r>
        <w:tab/>
      </w:r>
      <w:bookmarkStart w:id="0" w:name="_GoBack"/>
      <w:bookmarkEnd w:id="0"/>
      <w:r>
        <w:t>Spremembe uredbe so bile objavljene v UL L 347, 20.12.2013, str. 865, UL L 181, 20.6.2014, str. 1, UL L 280, 24.9.2014, str. 1, UL L 281, 25.9.2014, str. 1, UL L 367, 23.12.2014, str. 16, UL L 135, 2.6.2015, str. 8, UL L 28, 4.2.2016, str. 8, UL L 130, 19.5.2016, str. 16, UL L 167, 30.6.2017, str. 1, UL L 350, 29.12.2017, str. 15, UL L 30, 2.2.2018, str. 6, UL L 16, 18.1.2019, str. 1, in UL L 53, 22.2.2019, str. 14.</w:t>
      </w:r>
    </w:p>
  </w:footnote>
  <w:footnote w:id="4">
    <w:p w:rsidR="00264817" w:rsidRDefault="00264817" w:rsidP="00FF7049">
      <w:pPr>
        <w:pStyle w:val="ODNONIKtreodnonika"/>
      </w:pPr>
      <w:r>
        <w:rPr>
          <w:rStyle w:val="FootnoteReference"/>
        </w:rPr>
        <w:footnoteRef/>
      </w:r>
      <w:r>
        <w:rPr>
          <w:rStyle w:val="IGindeksgrny"/>
        </w:rPr>
        <w:t>)</w:t>
      </w:r>
      <w:r>
        <w:tab/>
        <w:t>Spremembe omenjene uredbe so bile objavljene v UL L 195, 27.7.2011, str. 42, UL L 158, 10.6.2013, str. 1, UL L 340, 17.12.2013, str. 1, UL L 328, 12.12.2017, str.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Spremembe uredbe so bile priglašene v UL L 347, 20.12.2013, str. 865, UL L 189, 27.6.2014, str. 261, UL L 130, 19.5.2016, str. 20, UL L 135, 24.5.2016, str. 1, UL L 193, 19.7.2016, str. 17, UL L 202, 28.7.2016, str. 5, UL L 91, 5.4.2017, str. 44, UL L 350, 29.12.2017, str. 15, UL L 114, 4.5.2018, str.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DF68C7">
      <w:rPr>
        <w:noProof/>
      </w:rPr>
      <w:t>10</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A79F5"/>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57C87"/>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717"/>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0CE"/>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5E32"/>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68C7"/>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sl-SI"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n-GB"/>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n-GB"/>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n-GB"/>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0C81F4-854A-442D-BC3F-0E845543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13</TotalTime>
  <Pages>10</Pages>
  <Words>2781</Words>
  <Characters>15855</Characters>
  <Application>Microsoft Office Word</Application>
  <DocSecurity>0</DocSecurity>
  <Lines>132</Lines>
  <Paragraphs>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9</cp:revision>
  <cp:lastPrinted>2019-07-03T09:10:00Z</cp:lastPrinted>
  <dcterms:created xsi:type="dcterms:W3CDTF">2019-07-15T12:36:00Z</dcterms:created>
  <dcterms:modified xsi:type="dcterms:W3CDTF">2019-07-30T02:00:00Z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