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8991" w14:textId="77777777" w:rsidR="00691C7A" w:rsidRPr="00E61926" w:rsidRDefault="00691C7A" w:rsidP="00691C7A">
      <w:pPr>
        <w:pStyle w:val="02BDGesBlatt"/>
        <w:rPr>
          <w:sz w:val="56"/>
          <w:szCs w:val="56"/>
        </w:rPr>
      </w:pPr>
      <w:r>
        <w:rPr>
          <w:sz w:val="56"/>
        </w:rPr>
        <w:t>ΕΦΗΜΕΡΙΔΑ ΟΜΟΣΠΟΝΔΙΑΚΟΥ ΔΙΚΑΙΟΥ</w:t>
      </w:r>
    </w:p>
    <w:p w14:paraId="0D804031" w14:textId="77777777" w:rsidR="00691C7A" w:rsidRPr="00E61BFF" w:rsidRDefault="00691C7A" w:rsidP="00691C7A">
      <w:pPr>
        <w:pStyle w:val="03RepOesterr"/>
      </w:pPr>
      <w:r>
        <w:t>ΤΗΣ ΔΗΜΟΚΡΑΤΙΑΣ ΤΗΣ ΑΥΣΤΡΙΑΣ</w:t>
      </w:r>
    </w:p>
    <w:p w14:paraId="0C2B5A57" w14:textId="77777777" w:rsidR="00691C7A" w:rsidRPr="00E61BFF" w:rsidRDefault="00691C7A" w:rsidP="00691C7A">
      <w:pPr>
        <w:pStyle w:val="04AusgabeDaten"/>
      </w:pPr>
      <w:r>
        <w:t>Έτος 2020</w:t>
      </w:r>
      <w:r>
        <w:tab/>
        <w:t>Εκδόθηκε στις 23 Δεκεμβρίου 2020</w:t>
      </w:r>
      <w:r>
        <w:tab/>
        <w:t>Μέρος Ι</w:t>
      </w:r>
    </w:p>
    <w:p w14:paraId="76357A78" w14:textId="77777777" w:rsidR="00691C7A" w:rsidRPr="00E61BFF" w:rsidRDefault="00691C7A" w:rsidP="00691C7A">
      <w:pPr>
        <w:pStyle w:val="05Kurztitel"/>
      </w:pPr>
      <w:r>
        <w:t>148. Ομοσπονδιακό δίκαιο:</w:t>
      </w:r>
      <w:r>
        <w:tab/>
        <w:t>Νόμος για την καταπολέμηση του μίσους στο διαδίκτυο – HiNBG</w:t>
      </w:r>
    </w:p>
    <w:p w14:paraId="7CA836A4" w14:textId="77777777" w:rsidR="00691C7A" w:rsidRDefault="00691C7A" w:rsidP="00691C7A">
      <w:pPr>
        <w:pStyle w:val="05Kurztitel"/>
      </w:pPr>
      <w:r>
        <w:tab/>
        <w:t>(ΑΡΙΘ.: GP XXVII RV 481 ΑΠO 516 P. 69. Σύμφωνα με την έκθεση: 10456 AB 10523 σ. 917.)</w:t>
      </w:r>
    </w:p>
    <w:p w14:paraId="5C4524E4" w14:textId="77777777" w:rsidR="004C001D" w:rsidRPr="00E61BFF" w:rsidRDefault="004C001D" w:rsidP="00691C7A">
      <w:pPr>
        <w:pStyle w:val="05Kurztitel"/>
      </w:pPr>
      <w:r>
        <w:tab/>
        <w:t>[Αριθ. CELEX: 32011L0093, 32012L0029, 32017L0541]</w:t>
      </w:r>
    </w:p>
    <w:p w14:paraId="63A52DA5" w14:textId="77777777" w:rsidR="004C59F5" w:rsidRPr="00E61BFF" w:rsidRDefault="00691C7A" w:rsidP="000B6E75">
      <w:pPr>
        <w:pStyle w:val="11Titel"/>
      </w:pPr>
      <w:r>
        <w:t>148. Ομοσπονδιακός νόμος με τον οποίο λαμβάνονται αστικά και πολιτικά δικονομικά μέτρα για την καταπολέμηση του μίσους στο διαδίκτυο (νόμος για την καταπολέμηση του μίσους στο διαδίκτυο [Hass-</w:t>
      </w:r>
      <w:r>
        <w:noBreakHyphen/>
        <w:t>im</w:t>
      </w:r>
      <w:r>
        <w:noBreakHyphen/>
        <w:t>-Netz-Bekämpfungs-Gesetz – HiNBG])</w:t>
      </w:r>
    </w:p>
    <w:p w14:paraId="52D50595" w14:textId="77777777" w:rsidR="004C59F5" w:rsidRPr="00E61BFF" w:rsidRDefault="004C59F5" w:rsidP="000B6E75">
      <w:pPr>
        <w:pStyle w:val="12PromKlEinlSatz"/>
      </w:pPr>
      <w:r>
        <w:t>Το Εθνικό Συμβούλιο αποφάσισε τα εξής:</w:t>
      </w:r>
    </w:p>
    <w:p w14:paraId="5143FB85" w14:textId="77777777" w:rsidR="004C59F5" w:rsidRPr="00E61BFF" w:rsidRDefault="004C59F5" w:rsidP="000B6E75">
      <w:pPr>
        <w:pStyle w:val="31InhaltSpalte"/>
      </w:pPr>
      <w:r>
        <w:t>Πίνακας περιεχομένων</w:t>
      </w:r>
    </w:p>
    <w:p w14:paraId="381507B7" w14:textId="4D003A54" w:rsidR="004C59F5" w:rsidRPr="00E61BFF" w:rsidRDefault="004C59F5" w:rsidP="000B6E75">
      <w:pPr>
        <w:pStyle w:val="32InhaltEintragEinzug"/>
      </w:pPr>
      <w:r>
        <w:tab/>
        <w:t>Άρθρο</w:t>
      </w:r>
      <w:r w:rsidR="00945033">
        <w:rPr>
          <w:lang w:val="hr-HR"/>
        </w:rPr>
        <w:t xml:space="preserve"> </w:t>
      </w:r>
      <w:r>
        <w:t>1</w:t>
      </w:r>
      <w:r w:rsidR="00945033">
        <w:rPr>
          <w:lang w:val="hr-HR"/>
        </w:rPr>
        <w:t xml:space="preserve"> </w:t>
      </w:r>
      <w:r>
        <w:t>Τροποποίηση του Αστικού Κώδικα</w:t>
      </w:r>
    </w:p>
    <w:p w14:paraId="19D5CEA0" w14:textId="77777777" w:rsidR="004C59F5" w:rsidRPr="00E61BFF" w:rsidRDefault="004C59F5" w:rsidP="000B6E75">
      <w:pPr>
        <w:pStyle w:val="32InhaltEintragEinzug"/>
      </w:pPr>
      <w:r>
        <w:tab/>
        <w:t>Άρθρο 2 Τροποποίηση του Αυστριακού Αστικού Κώδικα</w:t>
      </w:r>
    </w:p>
    <w:p w14:paraId="3A648D1E" w14:textId="77777777" w:rsidR="004C59F5" w:rsidRPr="00E61BFF" w:rsidRDefault="004C59F5" w:rsidP="000B6E75">
      <w:pPr>
        <w:pStyle w:val="32InhaltEintragEinzug"/>
      </w:pPr>
      <w:r>
        <w:tab/>
        <w:t>Άρθρο 3 Τροποποίηση του Αυστριακού Αστικού Κώδικα</w:t>
      </w:r>
    </w:p>
    <w:p w14:paraId="3E868C31" w14:textId="77777777" w:rsidR="004C59F5" w:rsidRPr="00E61BFF" w:rsidRDefault="004C59F5" w:rsidP="000B6E75">
      <w:pPr>
        <w:pStyle w:val="32InhaltEintragEinzug"/>
      </w:pPr>
      <w:r>
        <w:tab/>
        <w:t>Άρθρο 4 Τροποποίηση του Αυστριακού Αστικού Κώδικα</w:t>
      </w:r>
    </w:p>
    <w:p w14:paraId="4ABD1AE7" w14:textId="77777777" w:rsidR="004C59F5" w:rsidRPr="00E61BFF" w:rsidRDefault="004C59F5" w:rsidP="000B6E75">
      <w:pPr>
        <w:pStyle w:val="32InhaltEintragEinzug"/>
      </w:pPr>
      <w:r>
        <w:tab/>
        <w:t>Άρθρο 5 Τροποποίηση του Αυστριακού Αστικού Κώδικα</w:t>
      </w:r>
    </w:p>
    <w:p w14:paraId="53BDE75C" w14:textId="77777777" w:rsidR="004C59F5" w:rsidRPr="00E61BFF" w:rsidRDefault="004C59F5" w:rsidP="000B6E75">
      <w:pPr>
        <w:pStyle w:val="32InhaltEintragEinzug"/>
      </w:pPr>
      <w:r>
        <w:tab/>
        <w:t>Άρθρο 6 Τροποποίηση του Αυστριακού Αστικού Κώδικα</w:t>
      </w:r>
    </w:p>
    <w:p w14:paraId="37618D4A" w14:textId="77777777" w:rsidR="004C59F5" w:rsidRPr="00E61BFF" w:rsidRDefault="004C59F5" w:rsidP="000B6E75">
      <w:pPr>
        <w:pStyle w:val="32InhaltEintragEinzug"/>
      </w:pPr>
      <w:r>
        <w:tab/>
        <w:t>Άρθρο 7 Τροποποίηση του Αυστριακού Αστικού Κώδικα</w:t>
      </w:r>
    </w:p>
    <w:p w14:paraId="347613B2" w14:textId="77777777" w:rsidR="004C59F5" w:rsidRPr="00E61BFF" w:rsidRDefault="004C59F5" w:rsidP="000B6E75">
      <w:pPr>
        <w:pStyle w:val="32InhaltEintragEinzug"/>
      </w:pPr>
      <w:r>
        <w:tab/>
        <w:t>Άρθρο 8 Τροποποίηση του Ποινικού Κώδικα</w:t>
      </w:r>
    </w:p>
    <w:p w14:paraId="30DE55E7" w14:textId="77777777" w:rsidR="004C59F5" w:rsidRPr="00E61BFF" w:rsidRDefault="004C59F5" w:rsidP="000B6E75">
      <w:pPr>
        <w:pStyle w:val="32InhaltEintragEinzug"/>
      </w:pPr>
      <w:r>
        <w:tab/>
        <w:t>Άρθρο 9 Τροποποίηση του νόμου περί μέσων ενημέρωσης</w:t>
      </w:r>
    </w:p>
    <w:p w14:paraId="5C924845" w14:textId="77777777" w:rsidR="004C59F5" w:rsidRPr="00E61BFF" w:rsidRDefault="004C59F5" w:rsidP="000B6E75">
      <w:pPr>
        <w:pStyle w:val="32InhaltEintragEinzug"/>
      </w:pPr>
      <w:r>
        <w:tab/>
        <w:t>Άρθρο 10 Τροποποίηση του Κώδικα Ποινικής Δικονομίας 1975</w:t>
      </w:r>
    </w:p>
    <w:p w14:paraId="72EB7899" w14:textId="02E791AB" w:rsidR="004C59F5" w:rsidRPr="00E61BFF" w:rsidRDefault="004C59F5" w:rsidP="000B6E75">
      <w:pPr>
        <w:pStyle w:val="32InhaltEintragEinzug"/>
      </w:pPr>
      <w:r>
        <w:tab/>
        <w:t>Άρθρο</w:t>
      </w:r>
      <w:r w:rsidR="00945033">
        <w:rPr>
          <w:lang w:val="hr-HR"/>
        </w:rPr>
        <w:t xml:space="preserve"> </w:t>
      </w:r>
      <w:r>
        <w:t>11</w:t>
      </w:r>
      <w:r w:rsidR="00945033">
        <w:rPr>
          <w:lang w:val="hr-HR"/>
        </w:rPr>
        <w:t xml:space="preserve"> </w:t>
      </w:r>
      <w:r>
        <w:t>Θέση σε ισχύ</w:t>
      </w:r>
    </w:p>
    <w:p w14:paraId="4E7E773F" w14:textId="147C480E" w:rsidR="004C59F5" w:rsidRPr="00E61BFF" w:rsidRDefault="004C59F5" w:rsidP="000B6E75">
      <w:pPr>
        <w:pStyle w:val="32InhaltEintragEinzug"/>
      </w:pPr>
      <w:r>
        <w:tab/>
        <w:t>Άρθρο</w:t>
      </w:r>
      <w:r w:rsidR="00945033">
        <w:rPr>
          <w:lang w:val="hr-HR"/>
        </w:rPr>
        <w:t xml:space="preserve"> </w:t>
      </w:r>
      <w:r>
        <w:t>12 Κοινοποίηση</w:t>
      </w:r>
    </w:p>
    <w:p w14:paraId="64B19ADB" w14:textId="77777777" w:rsidR="004C59F5" w:rsidRPr="00E61BFF" w:rsidRDefault="004C59F5" w:rsidP="000B6E75">
      <w:pPr>
        <w:pStyle w:val="41UeberschrG1"/>
      </w:pPr>
      <w:r>
        <w:t>Άρθρο 1</w:t>
      </w:r>
    </w:p>
    <w:p w14:paraId="0C8E9DC7" w14:textId="77777777" w:rsidR="004C59F5" w:rsidRPr="00E61BFF" w:rsidRDefault="004C59F5" w:rsidP="000B6E75">
      <w:pPr>
        <w:pStyle w:val="43UeberschrG2"/>
      </w:pPr>
      <w:r>
        <w:t>Τροποποίηση του Αυστριακού Αστικού Κώδικα</w:t>
      </w:r>
    </w:p>
    <w:p w14:paraId="56478314" w14:textId="77777777" w:rsidR="004C59F5" w:rsidRPr="00E61BFF" w:rsidRDefault="004C59F5" w:rsidP="000B6E75">
      <w:pPr>
        <w:pStyle w:val="12PromKlEinlSatz"/>
      </w:pPr>
      <w:r>
        <w:t>Ο Γενικός Αστικός Κώδικας – ABGB, JGS αριθ. 946/1811, όπως τροποποιήθηκε τελευταία με τον ομοσπονδιακό νόμο που δημοσιεύθηκε στην στην Εφημερίδα Ομοσπονδιακού Δικαίου Ι αριθ. 16/2020, τροποποιείται ως εξής:</w:t>
      </w:r>
    </w:p>
    <w:p w14:paraId="107C816B" w14:textId="77777777" w:rsidR="004C59F5" w:rsidRPr="00E61BFF" w:rsidRDefault="004C59F5" w:rsidP="000B6E75">
      <w:pPr>
        <w:pStyle w:val="21NovAo1"/>
      </w:pPr>
      <w:r>
        <w:t>1. Μετά το άρθρο 17 προστίθεται το ακόλουθο άρθρο 17a συμπεριλαμβανομένου του τίτλου του:</w:t>
      </w:r>
    </w:p>
    <w:p w14:paraId="137D8F9C" w14:textId="77777777" w:rsidR="004C59F5" w:rsidRPr="00E61BFF" w:rsidRDefault="004C59F5" w:rsidP="000B6E75">
      <w:pPr>
        <w:pStyle w:val="45UeberschrPara"/>
      </w:pPr>
      <w:r>
        <w:t>«Άσκηση προσωπικών δικαιωμάτων</w:t>
      </w:r>
    </w:p>
    <w:p w14:paraId="52FB0DD1" w14:textId="77777777" w:rsidR="004C59F5" w:rsidRPr="00E61BFF" w:rsidRDefault="004C59F5" w:rsidP="000B6E75">
      <w:pPr>
        <w:pStyle w:val="51Abs"/>
      </w:pPr>
      <w:r>
        <w:rPr>
          <w:rStyle w:val="991GldSymbol"/>
        </w:rPr>
        <w:t>Άρθρο 17α.</w:t>
      </w:r>
      <w:r>
        <w:t xml:space="preserve"> 1) Τα προσωπικά δικαιώματα δεν είναι κατά βάση μεταβιβάσιμα.</w:t>
      </w:r>
    </w:p>
    <w:p w14:paraId="044DE2F8" w14:textId="77777777" w:rsidR="004C59F5" w:rsidRPr="00E61BFF" w:rsidRDefault="004C59F5" w:rsidP="000B6E75">
      <w:pPr>
        <w:pStyle w:val="51Abs"/>
      </w:pPr>
      <w:r>
        <w:t>2) Η επέμβαση στα δικαιώματα ενός προσώπου μπορεί να επιτραπεί μόνο στο μέτρο που δεν παραβιάζει τα χρηστά ήθη. Η συγκατάθεση για την επέμβαση στον πυρήνα ενός προσωπικού δικαιώματος μπορεί να δοθεί μόνο από τον ίδιο τον φορέα λήψης αποφάσεων του δικαιώματος προσωπικότητας, εκτός εάν ορίζεται διαφορετικά από τον νόμο.</w:t>
      </w:r>
    </w:p>
    <w:p w14:paraId="3B0907FB" w14:textId="77777777" w:rsidR="004C59F5" w:rsidRPr="00E61BFF" w:rsidRDefault="004C59F5" w:rsidP="000B6E75">
      <w:pPr>
        <w:pStyle w:val="51Abs"/>
      </w:pPr>
      <w:r>
        <w:t xml:space="preserve">(3) Τα προσωπικά δικαιώματα ενός ατόμου διατηρούνται μετά το θάνατο προς ανάμνησή του. Οι συγγενείς και ο επιζών σύζυγος, ο καταχωρισμένος σύντροφος ή ο σύντροφος της ζωής του θανόντα στον πρώτο βαθμό, άλλοι ανιόντες ή κατιόντες μόνο για 10 έτη μετά το τέλος του έτους θανάτου μπορούν να </w:t>
      </w:r>
      <w:r>
        <w:lastRenderedPageBreak/>
        <w:t>εγείρουν αξίωση αποζημίωσης για βλάβες στην ανάμνηση. Σε κάθε περίπτωση, επιτρέπονται παρεμβάσεις δημοσίου συμφέροντος για αρχειακούς, επιστημονικούς και καλλιτεχνικούς σκοπούς.»</w:t>
      </w:r>
    </w:p>
    <w:p w14:paraId="6483F163" w14:textId="77777777" w:rsidR="004C59F5" w:rsidRPr="00E61BFF" w:rsidRDefault="004C59F5" w:rsidP="000B6E75">
      <w:pPr>
        <w:pStyle w:val="21NovAo1"/>
      </w:pPr>
      <w:r>
        <w:t>2. Το άρθρο 20 ορίζει μαζί με την επικεφαλίδα:</w:t>
      </w:r>
    </w:p>
    <w:p w14:paraId="34D04E90" w14:textId="77777777" w:rsidR="004C59F5" w:rsidRPr="00E61BFF" w:rsidRDefault="004C59F5" w:rsidP="000B6E75">
      <w:pPr>
        <w:pStyle w:val="45UeberschrPara"/>
      </w:pPr>
      <w:r>
        <w:t>Αξίωση παράλειψης και κατάργησης</w:t>
      </w:r>
    </w:p>
    <w:p w14:paraId="3662BDDC" w14:textId="77777777" w:rsidR="004C59F5" w:rsidRPr="00E61BFF" w:rsidRDefault="004C59F5" w:rsidP="000B6E75">
      <w:pPr>
        <w:pStyle w:val="51Abs"/>
      </w:pPr>
      <w:r>
        <w:rPr>
          <w:rStyle w:val="991GldSymbol"/>
        </w:rPr>
        <w:t>Άρθρο 20.</w:t>
      </w:r>
      <w:r>
        <w:t xml:space="preserve"> 1) Όποιος διαπιστώσει παραβίαση των προσωπικών του δικαιωμάτων ή φοβάται μια τέτοια παραβίαση μπορεί να προσφύγει για παράλειψη και κατάργηση της παράνομης κατάστασης. Το δικαίωμα αγωγής παράλειψης περιλαμβάνει επίσης το δικαίωμα επανόρθωσης κάθε κατάστασης που έρχεται σε σύγκρουση με την υποχρέωση άσκησης της αγωγής. Υπό τους όρους του άρθρου 17α παρ. 3, τα πρόσωπα που αναφέρονται σε αυτό έχουν επίσης δικαίωμα προσφυγής.</w:t>
      </w:r>
    </w:p>
    <w:p w14:paraId="051A68B5" w14:textId="77777777" w:rsidR="004C59F5" w:rsidRPr="00E61BFF" w:rsidRDefault="004C59F5" w:rsidP="000B6E75">
      <w:pPr>
        <w:pStyle w:val="51Abs"/>
      </w:pPr>
      <w:r>
        <w:t>2) Εάν η φήμη ενός εργαζόμενου ή το απόρρητο παραβιάζεται σε ένα μέσο σε σχέση με τις δραστηριότητες ενός εργαζόμενου και αυτή η συμπεριφορά είναι κατάλληλη για να μην υποβαθμιστεί αμετάκλητα η ικανότητα του εργοδότη να χρησιμοποιεί τον εργαζόμενο ή να προσβληθεί σοβαρά η φήμη του εργοδότη, ανεξάρτητα από το δικαίωμα του εργαζόμενου, έχει το δικό του δικαίωμα για προσφυγή παράλειψης και κατάργησης. Το ίδιο ισχύει και για τους εθελοντές και τα σώματα ενός φορέα. Ο ισχυρισμός του δικαιώματος του εργοδότη δεν συνδέεται με τη συγκατάθεση του εργαζόμενου. Ο εργοδότης ή ο πάροχος υπηρεσίας δεν υποχρεούται να διεκδικήσει νομική αξίωση σχετικά με την παραβίαση των προσωπικών δικαιωμάτων που επηρεάζουν τον εργαζόμενο ή τον λήπτη υπηρεσίας, ιδίως λόγω του καθήκοντος περίθαλψης βάσει του εργατικού δικαίου.</w:t>
      </w:r>
    </w:p>
    <w:p w14:paraId="612F9BAD" w14:textId="77777777" w:rsidR="004C59F5" w:rsidRPr="00E61BFF" w:rsidRDefault="004C59F5" w:rsidP="000B6E75">
      <w:pPr>
        <w:pStyle w:val="51Abs"/>
      </w:pPr>
      <w:r>
        <w:t>3) Εάν το άτομο που έχει διαπράξει παραβίαση προσωπικού δικαιώματος ή απειλεί με τέτοια παραβίαση χρησιμοποιεί τις υπηρεσίες ενός ενδιάμεσου, δύναται να ασκηθεί και σε αυτόν προσφυγή παράλειψης και κατάργησης. Εάν ο ενδιάμεσος πληροί τις προϋποθέσεις αποκλεισμού ευθύνης σύμφωνα με τον νόμο για το ηλεκτρονικό εμπόριο, μπορεί να γίνει προσφυγή μόνο μετά από όχληση.» Οι πάροχοι υπηρεσιών σύμφωνα με το άρθρο 13 του νόμου για το ηλεκτρονικό εμπόριο δεν θεωρούνται ενδιάμεσοι, κατά την έννοια της παρούσας διάταξης.»</w:t>
      </w:r>
    </w:p>
    <w:p w14:paraId="7A743754" w14:textId="77777777" w:rsidR="004C59F5" w:rsidRPr="00E61BFF" w:rsidRDefault="004C59F5" w:rsidP="00431A52">
      <w:pPr>
        <w:pStyle w:val="22NovAo2"/>
      </w:pPr>
      <w:r>
        <w:t xml:space="preserve">3. Στο άρθρο 1328a παράγραφος 2, η διατύπωση </w:t>
      </w:r>
      <w:r>
        <w:rPr>
          <w:i w:val="0"/>
        </w:rPr>
        <w:t>“είναι προσανατολισμένος”</w:t>
      </w:r>
      <w:r>
        <w:t xml:space="preserve">· προστίθεται στη δεύτερη πρόταση μετά τη διατύπωση </w:t>
      </w:r>
      <w:r>
        <w:rPr>
          <w:i w:val="0"/>
        </w:rPr>
        <w:t>«σε περίπτωση παρέμβασης προσώπου υπεύθυνου για τον νόμο περί μέσων ενημέρωσης»</w:t>
      </w:r>
      <w:r>
        <w:t>.</w:t>
      </w:r>
    </w:p>
    <w:p w14:paraId="577B788A" w14:textId="77777777" w:rsidR="004C59F5" w:rsidRPr="00E61BFF" w:rsidRDefault="004C59F5" w:rsidP="000B6E75">
      <w:pPr>
        <w:pStyle w:val="21NovAo1"/>
      </w:pPr>
      <w:r>
        <w:t>4. Στο άρθρο 1503 προστίθεται η ακόλουθη παράγραφος 16:</w:t>
      </w:r>
    </w:p>
    <w:p w14:paraId="36CC3D0B" w14:textId="77777777" w:rsidR="004C59F5" w:rsidRPr="00E61BFF" w:rsidRDefault="004C59F5" w:rsidP="000B6E75">
      <w:pPr>
        <w:pStyle w:val="51Abs"/>
      </w:pPr>
      <w:r>
        <w:t>«16) Τα άρθρα 17α, 20, 20α και 1328α παρ. 2, όπως τροποποιήθηκαν με τον ομοσπονδιακό νόμο και δημοσιεύθηκαν στην Εφημερίδα Ομοσπονδιακού Δικαίου Ι αριθ. 148/2020, τίθενται σε ισχύ την 1η Ιανουαρίου 2021. Το άρθρο 20 παράγραφος 2 και το άρθρο 1328α παράγραφος 2 εφαρμόζονται σε περιπτώσεις στις οποίες η παράβαση πραγματοποιήθηκε μετά τις 31 Δεκεμβρίου 2020.»</w:t>
      </w:r>
    </w:p>
    <w:p w14:paraId="544EB2F3" w14:textId="77777777" w:rsidR="004C59F5" w:rsidRPr="00E61BFF" w:rsidRDefault="004C59F5" w:rsidP="000B6E75">
      <w:pPr>
        <w:pStyle w:val="41UeberschrG1"/>
      </w:pPr>
      <w:r>
        <w:t>Άρθρο 2</w:t>
      </w:r>
      <w:r>
        <w:br/>
        <w:t>Τροποποίηση του νόμου περί δικαιοδοσίας</w:t>
      </w:r>
    </w:p>
    <w:p w14:paraId="6708F222" w14:textId="77777777" w:rsidR="004C59F5" w:rsidRPr="00E61BFF" w:rsidRDefault="004C59F5" w:rsidP="000B6E75">
      <w:pPr>
        <w:pStyle w:val="12PromKlEinlSatz"/>
      </w:pPr>
      <w:r>
        <w:t xml:space="preserve">Ο νόμος περί δικαιοδοσίας, RGBl. αριθ. 111/1895, όπως τροποποιήθηκε τελευταία με τον ομοσπονδιακό νόμο BGBl. Ι αριθ. 61/2019, τροποποιείται ως εξής: </w:t>
      </w:r>
    </w:p>
    <w:p w14:paraId="5D3E0327" w14:textId="77777777" w:rsidR="004C59F5" w:rsidRPr="00E61BFF" w:rsidRDefault="004C59F5" w:rsidP="000B6E75">
      <w:pPr>
        <w:pStyle w:val="21NovAo1"/>
      </w:pPr>
      <w:r>
        <w:t>1. Το ακόλουθο κείμενο τροποποιείται στο άρθρο 49 παράγραφος 2 μετά τα σημεία 5 και 6:</w:t>
      </w:r>
    </w:p>
    <w:p w14:paraId="2F0BD239" w14:textId="77777777" w:rsidR="004C59F5" w:rsidRPr="00E61BFF" w:rsidRDefault="00431A52" w:rsidP="00431A52">
      <w:pPr>
        <w:pStyle w:val="52Aufzaehle1Ziffer"/>
      </w:pPr>
      <w:r>
        <w:tab/>
        <w:t>«6.</w:t>
      </w:r>
      <w:r>
        <w:tab/>
        <w:t>Διαφορές σύμφωνα με το άρθρο 549 ΚΠολΔ,»</w:t>
      </w:r>
    </w:p>
    <w:p w14:paraId="738CB37D" w14:textId="77777777" w:rsidR="004C59F5" w:rsidRPr="00E61BFF" w:rsidRDefault="004C59F5" w:rsidP="000B6E75">
      <w:pPr>
        <w:pStyle w:val="21NovAo1"/>
      </w:pPr>
      <w:r>
        <w:t>2. Μετά το άρθρο 59, παρεμβάλλεται το ακόλουθο άρθρο 59α:</w:t>
      </w:r>
    </w:p>
    <w:p w14:paraId="77CEB9FE" w14:textId="77777777" w:rsidR="004C59F5" w:rsidRPr="00E61BFF" w:rsidRDefault="004C59F5" w:rsidP="000B6E75">
      <w:pPr>
        <w:pStyle w:val="51Abs"/>
      </w:pPr>
      <w:r>
        <w:t>«</w:t>
      </w:r>
      <w:r>
        <w:rPr>
          <w:rStyle w:val="991GldSymbol"/>
        </w:rPr>
        <w:t>Άρθρο 59α.</w:t>
      </w:r>
      <w:r>
        <w:t xml:space="preserve"> Στην περίπτωση αγωγών παράλειψης σύμφωνα με το άρθρο 549 ΚΠολΔ, το επίδικο ποσό είναι 5 000 ευρώ.»</w:t>
      </w:r>
    </w:p>
    <w:p w14:paraId="50C24194" w14:textId="77777777" w:rsidR="004C59F5" w:rsidRPr="00E61BFF" w:rsidRDefault="004C59F5" w:rsidP="000B6E75">
      <w:pPr>
        <w:pStyle w:val="21NovAo1"/>
      </w:pPr>
      <w:r>
        <w:t>3. Μετά το άρθρο 122 προστίθεται το ακόλουθο τέταρτο μέρος:</w:t>
      </w:r>
    </w:p>
    <w:p w14:paraId="475AB1CB" w14:textId="77777777" w:rsidR="004C59F5" w:rsidRPr="00E61BFF" w:rsidRDefault="004C59F5" w:rsidP="000B6E75">
      <w:pPr>
        <w:pStyle w:val="41UeberschrG1"/>
      </w:pPr>
      <w:r>
        <w:t>«Τέταρτο μέρος</w:t>
      </w:r>
    </w:p>
    <w:p w14:paraId="7D638937" w14:textId="77777777" w:rsidR="004C59F5" w:rsidRPr="00E61BFF" w:rsidRDefault="004C59F5" w:rsidP="000B6E75">
      <w:pPr>
        <w:pStyle w:val="43UeberschrG2"/>
      </w:pPr>
      <w:r>
        <w:t>Διατάξεις περί έναρξης ισχύος, τελικές διατάξεις και μεταβατικές διατάξεις</w:t>
      </w:r>
    </w:p>
    <w:p w14:paraId="6E940654" w14:textId="77777777" w:rsidR="004C59F5" w:rsidRPr="00E61BFF" w:rsidRDefault="004C59F5" w:rsidP="000B6E75">
      <w:pPr>
        <w:pStyle w:val="51Abs"/>
      </w:pPr>
      <w:r>
        <w:rPr>
          <w:rStyle w:val="991GldSymbol"/>
        </w:rPr>
        <w:t>Άρθρο 123.</w:t>
      </w:r>
      <w:r>
        <w:t xml:space="preserve"> Τα άρθρα 49 και 59α, τροποποιήθηκαν με τον ομοσπονδιακό νόμο και δημοσιεύτηκαν στην Εφημερίδα Ομοσπονδιακού Δικαίου Ι αριθ. 148/2020, τίθενται σε ισχύ την 1η Ιανουαρίου 2021 και πρόκειται να εφαρμοστούν σε αυτήν την έκδοση σε προσφυγές που ασκήθηκαν μετά την 31η Δεκεμβρίου 2020.»</w:t>
      </w:r>
    </w:p>
    <w:p w14:paraId="3FC3AE64" w14:textId="77777777" w:rsidR="004C59F5" w:rsidRPr="00E61BFF" w:rsidRDefault="004C59F5" w:rsidP="000B6E75">
      <w:pPr>
        <w:pStyle w:val="41UeberschrG1"/>
      </w:pPr>
      <w:r>
        <w:lastRenderedPageBreak/>
        <w:t>Άρθρο 3</w:t>
      </w:r>
      <w:r>
        <w:br/>
        <w:t>Τροποποίηση του Κώδικα Πολιτικής Δικονομίας</w:t>
      </w:r>
    </w:p>
    <w:p w14:paraId="6E1975CB" w14:textId="77777777" w:rsidR="004C59F5" w:rsidRPr="00E61BFF" w:rsidRDefault="004C59F5" w:rsidP="000B6E75">
      <w:pPr>
        <w:pStyle w:val="12PromKlEinlSatz"/>
      </w:pPr>
      <w:r>
        <w:t xml:space="preserve">Ο Κώδικας Πολιτικής Δικονομίας, RGBl. αριθ. 113/1895, όπως τροποποιήθηκε τελευταία με τον ομοσπονδιακό νόμο BGBl. Ι αριθ. 109/2018, τροποποιείται ως εξής: </w:t>
      </w:r>
    </w:p>
    <w:p w14:paraId="61C8E0A9" w14:textId="77777777" w:rsidR="004C59F5" w:rsidRPr="00E61BFF" w:rsidRDefault="004C59F5" w:rsidP="000B6E75">
      <w:pPr>
        <w:pStyle w:val="21NovAo1"/>
      </w:pPr>
      <w:r>
        <w:t>1. Στο άρθρο 502 παράγραφος 5 και στο τέλος του σημείου 4 η τελεία αντικαθίσταται με άνω τελεία και προστίθεται το ακόλουθο σημείο 5:</w:t>
      </w:r>
    </w:p>
    <w:p w14:paraId="725F8D3B" w14:textId="77777777" w:rsidR="004C59F5" w:rsidRPr="00E61BFF" w:rsidRDefault="004C59F5" w:rsidP="000B6E75">
      <w:pPr>
        <w:pStyle w:val="52Aufzaehle1Ziffer"/>
      </w:pPr>
      <w:r>
        <w:tab/>
        <w:t>«5. για τις διαφορές σύμφωνα με το άρθρο 549.»</w:t>
      </w:r>
      <w:r>
        <w:tab/>
      </w:r>
    </w:p>
    <w:p w14:paraId="56BA0878" w14:textId="77777777" w:rsidR="004C59F5" w:rsidRPr="00E61BFF" w:rsidRDefault="004C59F5" w:rsidP="000B6E75">
      <w:pPr>
        <w:pStyle w:val="21NovAo1"/>
      </w:pPr>
      <w:r>
        <w:t>2. Μετά το άρθρο 548 προστίθεται το ακόλουθο δεύτερο μέρος:</w:t>
      </w:r>
    </w:p>
    <w:p w14:paraId="39E3BD22" w14:textId="77777777" w:rsidR="004C59F5" w:rsidRPr="00E61BFF" w:rsidRDefault="004C59F5" w:rsidP="00431A52">
      <w:pPr>
        <w:pStyle w:val="41UeberschrG1"/>
      </w:pPr>
      <w:r>
        <w:t>«Δεύτερο μέρος</w:t>
      </w:r>
    </w:p>
    <w:p w14:paraId="70DB9D83" w14:textId="77777777" w:rsidR="004C59F5" w:rsidRPr="00E61BFF" w:rsidRDefault="004C59F5" w:rsidP="000B6E75">
      <w:pPr>
        <w:pStyle w:val="43UeberschrG2"/>
      </w:pPr>
      <w:r>
        <w:t>Διαδικασία εντολής</w:t>
      </w:r>
    </w:p>
    <w:p w14:paraId="34369477" w14:textId="77777777" w:rsidR="004C59F5" w:rsidRPr="00E61BFF" w:rsidRDefault="004C59F5" w:rsidP="000B6E75">
      <w:pPr>
        <w:pStyle w:val="45UeberschrPara"/>
      </w:pPr>
      <w:r>
        <w:t>Διαδικασίες για ουσιώδη παραβίαση προσωπικών δικαιωμάτων σε δίκτυο ηλεκτρονικών επικοινωνιών</w:t>
      </w:r>
    </w:p>
    <w:p w14:paraId="2CEA6609" w14:textId="77777777" w:rsidR="004C59F5" w:rsidRPr="00E61BFF" w:rsidRDefault="004C59F5" w:rsidP="000B6E75">
      <w:pPr>
        <w:pStyle w:val="51Abs"/>
      </w:pPr>
      <w:r>
        <w:rPr>
          <w:rStyle w:val="991GldSymbol"/>
        </w:rPr>
        <w:t>Άρθρο 549.</w:t>
      </w:r>
      <w:r>
        <w:t xml:space="preserve"> 1) Σε δικαστικές διαφορές που αφορούν αγωγές στις οποίες προβάλλονται αποκλειστικά αιτήματα λήψης μέτρων λόγω σημαντικής παραβίασης προσωπικών δικαιωμάτων σε δίκτυο ηλεκτρονικών επικοινωνιών που θίγει την ανθρώπινη αξιοπρέπεια ενός φυσικού προσώπου, το δικαστήριο, κατόπιν αίτησης του ενάγοντος, εκδίδει ασφαλιστικά μέτρα χωρίς προηγούμενη προφορική ακρόαση και χωρίς ακρόαση του εναγομένου, εάν ο ισχυρισμός που προβάλλεται μπορεί να προκύψει οριστικά από τις πληροφορίες από τα στοιχεία της καταγγελίας. Στοιχεία από το δίκτυο ηλεκτρονικών επικοινωνιών πρέπει να επισυνάπτονται στην προσφυγή, τα οποία να δείχνουν ή να διαπιστώνουν το παραβατικό περιεχόμενο.</w:t>
      </w:r>
    </w:p>
    <w:p w14:paraId="375921B7" w14:textId="77777777" w:rsidR="004C59F5" w:rsidRPr="00E61BFF" w:rsidRDefault="004C59F5" w:rsidP="000B6E75">
      <w:pPr>
        <w:pStyle w:val="51Abs"/>
      </w:pPr>
      <w:r>
        <w:t>2) Η διαταγή παύσης και παράλειψης περιλαμβάνει δήλωση παύσης και παράλειψης της προβαλλόμενης παράβασης και την επιγραφή «Εντολή παύσης και παράλειψης» και αναφέρει ότι ο εναγόμενος, σε περίπτωση αμφισβήτησης της προβαλλόμενης αξίωσης, μπορεί να προβάλλει αντιρρήσεις κατά της διαταγής εντός δεκατεσσάρων ημερών. Πρέπει να γίνει σαφές ότι η αγωγή παράλειψης υπάρχει δυνατότητα εναντίωσης μόνο με την υποβολή αντιρρήσεων και ότι στην περίπτωση διατύπωσης αντιρρήσεων, θα πραγματοποιηθεί η συνήθης διαδικασία επί της αγωγής.</w:t>
      </w:r>
    </w:p>
    <w:p w14:paraId="716F3707" w14:textId="77777777" w:rsidR="004C59F5" w:rsidRPr="00E61BFF" w:rsidRDefault="004C59F5" w:rsidP="000B6E75">
      <w:pPr>
        <w:pStyle w:val="51Abs"/>
      </w:pPr>
      <w:r>
        <w:t>3) Η αίτηση παράλειψης πρέπει να επιδοθεί στον εναγόμενο με την προσφυγή. Οι αντιρρήσεις κατά της αίτησης παράλειψης μπορούν να εγερθούν μόνο εντός αποκλειστικής προθεσμίας δεκατεσσάρων ημερών από την παράδοση. Θεωρείται αρκετό, εάν από το έγγραφο προκύπτει η πρόθεση για έγερση αντιρρήσεων. Η απόφαση για το κόστος που περιέχεται στην αίτηση παράλειψης μπορεί να αμφισβητηθεί με έφεση. Τα άρθρα 556 παρ. 5, 557 παρ. 2 έως 6 και 558 ισχύουν τηρουμένων των αναλογιών.</w:t>
      </w:r>
    </w:p>
    <w:p w14:paraId="529F07AB" w14:textId="77777777" w:rsidR="004C59F5" w:rsidRPr="00E61BFF" w:rsidRDefault="004C59F5" w:rsidP="000B6E75">
      <w:pPr>
        <w:pStyle w:val="51Abs"/>
      </w:pPr>
      <w:r>
        <w:t>4) Κατόπιν αιτήματος του ενάγοντος, το δικαστήριο μπορεί να εκδώσει προσωρινή εκτελεστότητα στην αίτηση παράλειψης, εάν η συνέχιση των αποτελεσμάτων της υποτιθέμενης παραβατικής πράξης είναι απαράδεκτη για τον προσφεύγοντα ή συνεπάγεται σημαντικά μειονεκτήματα ή είναι ασυμβίβαστη με τις θεμελιώδεις αξίες της αυστριακής έννομης τάξης. Η προσωρινή εκτελεστότητα τίθεται σε ισχύ μόλις εκδοθεί η απόφαση για την έκδοσή της και συνεχίζει να ισχύει έως τη νομική περάτωση της διαδικασίας. Κατά της αποφάσεως αυτής δεν προβλέπεται η άσκηση αναιρέσεως.</w:t>
      </w:r>
    </w:p>
    <w:p w14:paraId="39F61C57" w14:textId="77777777" w:rsidR="004C59F5" w:rsidRPr="00E61BFF" w:rsidRDefault="004C59F5" w:rsidP="000B6E75">
      <w:pPr>
        <w:pStyle w:val="51Abs"/>
      </w:pPr>
      <w:r>
        <w:t>5) Η ομοσπονδιακή υπουργός δικαιοσύνης εξουσιοδοτείται να υποβάλει έντυπο για την προσφυγή και την έγκριση για αίτηση παράλειψης και να το διατηρεί διαθέσιμο στο διαδίκτυο στον ιστότοπο του Υπουργείου Δικαιοσύνης.»</w:t>
      </w:r>
    </w:p>
    <w:p w14:paraId="31A9FAB1" w14:textId="77777777" w:rsidR="004C59F5" w:rsidRPr="00E61BFF" w:rsidRDefault="004C59F5" w:rsidP="00431A52">
      <w:pPr>
        <w:pStyle w:val="22NovAo2"/>
      </w:pPr>
      <w:r>
        <w:t>3. Η ονομασία ενότητας «Δεύτερη ενότητα» πριν από το άρθρο 555 καταργείται.</w:t>
      </w:r>
    </w:p>
    <w:p w14:paraId="61031DE8" w14:textId="77777777" w:rsidR="004C59F5" w:rsidRPr="00E61BFF" w:rsidRDefault="004C59F5" w:rsidP="000B6E75">
      <w:pPr>
        <w:pStyle w:val="21NovAo1"/>
      </w:pPr>
      <w:r>
        <w:t>4. Μετά το άρθρο 618 προστίθεται το ακόλουθο έβδομο μέρος:</w:t>
      </w:r>
    </w:p>
    <w:p w14:paraId="4F9F43AB" w14:textId="77777777" w:rsidR="004C59F5" w:rsidRPr="00E61BFF" w:rsidRDefault="004C59F5" w:rsidP="00431A52">
      <w:pPr>
        <w:pStyle w:val="41UeberschrG1"/>
      </w:pPr>
      <w:r>
        <w:t>«Έβδομο μέρος</w:t>
      </w:r>
    </w:p>
    <w:p w14:paraId="2BF3D0A9" w14:textId="77777777" w:rsidR="004C59F5" w:rsidRPr="00E61BFF" w:rsidRDefault="004C59F5" w:rsidP="000B6E75">
      <w:pPr>
        <w:pStyle w:val="43UeberschrG2"/>
      </w:pPr>
      <w:r>
        <w:t>Διατάξεις περί έναρξης ισχύος, τελικές διατάξεις και μεταβατικές διατάξεις</w:t>
      </w:r>
    </w:p>
    <w:p w14:paraId="4398BF8E" w14:textId="77777777" w:rsidR="004C59F5" w:rsidRPr="00E61BFF" w:rsidRDefault="004C59F5" w:rsidP="000B6E75">
      <w:pPr>
        <w:pStyle w:val="51Abs"/>
      </w:pPr>
      <w:r>
        <w:rPr>
          <w:rStyle w:val="991GldSymbol"/>
        </w:rPr>
        <w:t>Άρθρο 619.</w:t>
      </w:r>
      <w:r>
        <w:t xml:space="preserve"> Τα άρθρα 502 και 549 και οι τροποποιήσεις των ονομασιών των ενοτήτων, όπως τροποποιήθηκαν με τον ομοσπονδιακό νόμο και δημοσιεύθηκαν στην Εφημερίδα Ομοσπονδιακού Δικαίου Ι αριθ. 148/2020, τίθενται σε ισχύ την 1η Ιανουαρίου 2021. Τα άρθρα 502 και 549 πρόκειται να εφαρμοστούν σε προσφυγές που ασκήθηκαν μετά την 31η Δεκεμβρίου 2020. Το άρθρο 502 παράγραφος 5 σημείο 5 όπως τροποποιήθηκε με τον ομοσπονδιακό νόμο 148/2020 παύει να ισχύει στις 31 Δεκεμβρίου 2030 και δεν ισχύει πλέον για διαδικασίες κατά τις οποίες η προσφυγή ασκείται μετά τις 31 Δεκεμβρίου 2030.»</w:t>
      </w:r>
    </w:p>
    <w:p w14:paraId="55F99475" w14:textId="77777777" w:rsidR="004C59F5" w:rsidRPr="00E61BFF" w:rsidRDefault="004C59F5" w:rsidP="000B6E75">
      <w:pPr>
        <w:pStyle w:val="41UeberschrG1"/>
      </w:pPr>
      <w:r>
        <w:lastRenderedPageBreak/>
        <w:t>Άρθρο 4</w:t>
      </w:r>
      <w:r>
        <w:br/>
        <w:t>Τροποποίηση του Κώδικα δικονομικής εκτέλεσης</w:t>
      </w:r>
    </w:p>
    <w:p w14:paraId="2AB1840F" w14:textId="77777777" w:rsidR="004C59F5" w:rsidRPr="00E61BFF" w:rsidRDefault="004C59F5" w:rsidP="000B6E75">
      <w:pPr>
        <w:pStyle w:val="12PromKlEinlSatz"/>
      </w:pPr>
      <w:r>
        <w:t>Ο Κώδικας δικονομικής εκτέλεσης, Εφημερίδα Αυτοκρατορικού Δικαίου αριθ. 79/1896, όπως τροποποιήθηκε τελευταία στην Εφημερίδα Ομοσπονδιακού Δικαίου Ι αριθ. 16/2020, τροποποιείται ως εξής:</w:t>
      </w:r>
    </w:p>
    <w:p w14:paraId="7724051E" w14:textId="77777777" w:rsidR="004C59F5" w:rsidRPr="00E61BFF" w:rsidRDefault="004C59F5" w:rsidP="00431A52">
      <w:pPr>
        <w:pStyle w:val="22NovAo2"/>
      </w:pPr>
      <w:r>
        <w:t>Στο άρθρο 1 παράγραφος 2, οι λέξεις «εντολής και» και οι λέξεις «καθώς και σε διαδικασίες εξωσυμβατικής ευθύνης» παραλείπονται και στο τέλος πριν από την άνω τελεία εισάγονται οι λέξεις «καθώς και αγωγές παράλειψης σύμφωνα με το άρθρο 549 ΚΠολΔ, κατά των οποίων δεν προβάλλονται αντιρρήσεις σε εύθετο χρόνο ή στις οποίες παρέχεται προσωρινή εκτελεστότητα».</w:t>
      </w:r>
    </w:p>
    <w:p w14:paraId="3BE54FA7" w14:textId="77777777" w:rsidR="004C59F5" w:rsidRPr="00E61BFF" w:rsidRDefault="004C59F5" w:rsidP="000B6E75">
      <w:pPr>
        <w:pStyle w:val="41UeberschrG1"/>
      </w:pPr>
      <w:r>
        <w:t>Άρθρο 5</w:t>
      </w:r>
      <w:r>
        <w:br/>
        <w:t>Τροποποίηση του νόμου περί δικηγορικών αμοιβών</w:t>
      </w:r>
    </w:p>
    <w:p w14:paraId="58C607D0" w14:textId="77777777" w:rsidR="004C59F5" w:rsidRPr="00E61BFF" w:rsidRDefault="004C59F5" w:rsidP="000B6E75">
      <w:pPr>
        <w:pStyle w:val="12PromKlEinlSatz"/>
      </w:pPr>
      <w:r>
        <w:t>Ο νόμος περί δικηγορικών αμοιβών (RATG), BGBl. αριθ. 189/1969, όπως τροποποιήθηκε τελευταία με τον ομοσπονδιακό νόμο BGBl. Ι αριθ. 19/2020, τροποποιείται ως εξής:</w:t>
      </w:r>
    </w:p>
    <w:p w14:paraId="4026A4C8" w14:textId="77777777" w:rsidR="004C59F5" w:rsidRPr="00E61BFF" w:rsidRDefault="004C59F5" w:rsidP="00431A52">
      <w:pPr>
        <w:pStyle w:val="22NovAo2"/>
      </w:pPr>
      <w:r>
        <w:t>1. Στο άρθρο 10 παράγραφος 6 μετά τις λέξεις «σύμφωνα με» προστίθενται οι λέξεις «άρθρο 20 και».</w:t>
      </w:r>
    </w:p>
    <w:p w14:paraId="258C6DEA" w14:textId="77777777" w:rsidR="004C59F5" w:rsidRPr="00E61BFF" w:rsidRDefault="004C59F5" w:rsidP="000B6E75">
      <w:pPr>
        <w:pStyle w:val="21NovAo1"/>
      </w:pPr>
      <w:r>
        <w:t>2. Μετά το άρθρο 10 παράγραφος 6 στοιχείο β), παρεμβάλλεται η ακόλουθη τελευταία πρόταση:</w:t>
      </w:r>
    </w:p>
    <w:p w14:paraId="17617B02" w14:textId="77777777" w:rsidR="004C59F5" w:rsidRPr="00E61BFF" w:rsidRDefault="004C59F5" w:rsidP="00431A52">
      <w:pPr>
        <w:pStyle w:val="23SatznachNovao"/>
      </w:pPr>
      <w:r>
        <w:t>«στις αγωγές παράλειψης δυνάμει του άρθρου 549 του Κώδικα Πολιτικής Δικονομίας, το αντικείμενο αποτιμάται σε 5 000 ευρώ·»</w:t>
      </w:r>
    </w:p>
    <w:p w14:paraId="11B8BCC4" w14:textId="77777777" w:rsidR="004C59F5" w:rsidRPr="00E61BFF" w:rsidRDefault="004C59F5" w:rsidP="000B6E75">
      <w:pPr>
        <w:pStyle w:val="21NovAo1"/>
      </w:pPr>
      <w:r>
        <w:t>3. Στο άρθρο 26a προστίθεται η ακόλουθη παράγραφος 3:</w:t>
      </w:r>
    </w:p>
    <w:p w14:paraId="772E7827" w14:textId="77777777" w:rsidR="004C59F5" w:rsidRPr="00E61BFF" w:rsidRDefault="004C59F5" w:rsidP="000B6E75">
      <w:pPr>
        <w:pStyle w:val="51Abs"/>
      </w:pPr>
      <w:r>
        <w:t>«(3) Το άρθρο 10, στοιχείο 2 των τελών ενότητα I σημείο 1 στοιχείο β) και γ), στοιχείο 3 A των τελών ενότητα I σημείο 1 στοιχείο β) και θέση 4 των τελών ενότητα I σημείο 2, όπως τροποποιήθηκε από τον ομοσπονδιακό νόμο, Εφημερίδα Ομοσπονδιακού Δικαίου Ι αριθ. 148/2020, τίθεται σε ισχύ την 1η Ιανουαρίου 2021.»</w:t>
      </w:r>
    </w:p>
    <w:p w14:paraId="4CC45EE9" w14:textId="77777777" w:rsidR="004C59F5" w:rsidRPr="00E61BFF" w:rsidRDefault="004C59F5" w:rsidP="00431A52">
      <w:pPr>
        <w:pStyle w:val="22NovAo2"/>
      </w:pPr>
      <w:r>
        <w:t xml:space="preserve">4. Στη θέση 2 των τελών, ενότητα I σημείο 1 στοιχείο β), η λέξη </w:t>
      </w:r>
      <w:r>
        <w:rPr>
          <w:i w:val="0"/>
        </w:rPr>
        <w:t>«Προσφυγή εντολής»</w:t>
      </w:r>
      <w:r>
        <w:t xml:space="preserve">· αντικαθίσταται από τη φράση </w:t>
      </w:r>
      <w:r>
        <w:rPr>
          <w:i w:val="0"/>
        </w:rPr>
        <w:t>«Προσφυγές και απαιτήσεις σύμφωνα με το άρθρο 549 ΚΠολΔ»</w:t>
      </w:r>
      <w:r>
        <w:t>.</w:t>
      </w:r>
    </w:p>
    <w:p w14:paraId="2479FC78" w14:textId="77777777" w:rsidR="004C59F5" w:rsidRPr="00E61BFF" w:rsidRDefault="004C59F5" w:rsidP="00431A52">
      <w:pPr>
        <w:pStyle w:val="22NovAo2"/>
      </w:pPr>
      <w:r>
        <w:t xml:space="preserve">5. Στη θέση 2 των τελών, ενότητα I, σημείο 1 στοιχείο γ), πρώτη ημιπερίοδος, μετά την εισαγωγή της λέξης </w:t>
      </w:r>
      <w:r>
        <w:rPr>
          <w:i w:val="0"/>
        </w:rPr>
        <w:t>«Διαταγές πληρωμής»</w:t>
      </w:r>
      <w:r>
        <w:t xml:space="preserve"> παρεμβάλλονται η φράση </w:t>
      </w:r>
      <w:r>
        <w:rPr>
          <w:i w:val="0"/>
        </w:rPr>
        <w:t>«και κατά της λήψης ασφαλιστικών μέτρων σύμφωνα με το άρθρο 549 ΚΠολΔ»</w:t>
      </w:r>
      <w:r>
        <w:t xml:space="preserve"> και η λέξη </w:t>
      </w:r>
      <w:r>
        <w:rPr>
          <w:i w:val="0"/>
        </w:rPr>
        <w:t>«Διαταγή πληρωμής»</w:t>
      </w:r>
      <w:r>
        <w:t xml:space="preserve"> αντικαθίσταται από τη φράση </w:t>
      </w:r>
      <w:r>
        <w:rPr>
          <w:i w:val="0"/>
        </w:rPr>
        <w:t>«Διαταγή πληρωμής ή αγωγή παράλειψης»</w:t>
      </w:r>
      <w:r>
        <w:t>.</w:t>
      </w:r>
    </w:p>
    <w:p w14:paraId="76D749AD" w14:textId="77777777" w:rsidR="004C59F5" w:rsidRPr="00E61BFF" w:rsidRDefault="00431A52" w:rsidP="00431A52">
      <w:pPr>
        <w:pStyle w:val="22NovAo2"/>
      </w:pPr>
      <w:r>
        <w:t xml:space="preserve">6. Στη θέση 2 των τελών, ενότητα I σημείο 1 στοιχείο γ) προστίθεται η δεύτερη ημιπερίπτωση μετά τη λέξη </w:t>
      </w:r>
      <w:r>
        <w:rPr>
          <w:i w:val="0"/>
        </w:rPr>
        <w:t>«Διαταγές πληρωμής»</w:t>
      </w:r>
      <w:r>
        <w:t xml:space="preserve">, η φράση </w:t>
      </w:r>
      <w:r>
        <w:rPr>
          <w:i w:val="0"/>
        </w:rPr>
        <w:t>«και κατά παραλείψεων δυνάμει του άρθρου 549 ZPO</w:t>
      </w:r>
      <w:r>
        <w:t>.</w:t>
      </w:r>
    </w:p>
    <w:p w14:paraId="3C3279FE" w14:textId="77777777" w:rsidR="004C59F5" w:rsidRPr="00E61BFF" w:rsidRDefault="004C59F5" w:rsidP="00431A52">
      <w:pPr>
        <w:pStyle w:val="22NovAo2"/>
      </w:pPr>
      <w:r>
        <w:t xml:space="preserve">6. Στη θέση 3 A των τελών, τμήμα I, σημείο 1 στοιχείο β), μετά τη λέξη </w:t>
      </w:r>
      <w:r>
        <w:rPr>
          <w:i w:val="0"/>
        </w:rPr>
        <w:t>«Διαταγές πληρωμής»</w:t>
      </w:r>
      <w:r>
        <w:t xml:space="preserve">, παρεμβάλλεται η φράση </w:t>
      </w:r>
      <w:r>
        <w:rPr>
          <w:i w:val="0"/>
        </w:rPr>
        <w:t>«και κατά των ασφαλιστικών μέτρων σύμφωνα με το άρθρο 549 ZPO»</w:t>
      </w:r>
      <w:r>
        <w:t>.</w:t>
      </w:r>
    </w:p>
    <w:p w14:paraId="777EE0C2" w14:textId="77777777" w:rsidR="004C59F5" w:rsidRPr="00E61BFF" w:rsidRDefault="004C59F5" w:rsidP="00431A52">
      <w:pPr>
        <w:pStyle w:val="22NovAo2"/>
      </w:pPr>
      <w:r>
        <w:t xml:space="preserve">7. Στη θέση 4, των τελών τμήμα I σημείο 2, εισάγεται η πρόταση </w:t>
      </w:r>
      <w:r>
        <w:rPr>
          <w:i w:val="0"/>
        </w:rPr>
        <w:t>«, 33α»</w:t>
      </w:r>
      <w:r>
        <w:t xml:space="preserve">· μετά το απόσπασμα </w:t>
      </w:r>
      <w:r>
        <w:rPr>
          <w:i w:val="0"/>
        </w:rPr>
        <w:t>«33(2)»</w:t>
      </w:r>
      <w:r>
        <w:t>.</w:t>
      </w:r>
    </w:p>
    <w:p w14:paraId="54DA3D3D" w14:textId="08ADB0BD" w:rsidR="004C59F5" w:rsidRPr="00E61BFF" w:rsidRDefault="004C59F5" w:rsidP="00945033">
      <w:pPr>
        <w:pStyle w:val="41UeberschrG1"/>
      </w:pPr>
      <w:r>
        <w:t>Άρθρο 6</w:t>
      </w:r>
      <w:r>
        <w:br/>
        <w:t>Τροποποίηση του νόμου περί ηλεκτρονικού εμπορίου</w:t>
      </w:r>
    </w:p>
    <w:p w14:paraId="536C23A0" w14:textId="77777777" w:rsidR="004C59F5" w:rsidRPr="00E61BFF" w:rsidRDefault="00431A52" w:rsidP="000B6E75">
      <w:pPr>
        <w:pStyle w:val="12PromKlEinlSatz"/>
      </w:pPr>
      <w:r>
        <w:t>Ο νόμος για το ηλεκτρονικό εμπόριο [E</w:t>
      </w:r>
      <w:r>
        <w:noBreakHyphen/>
        <w:t>Commerce-Gesetz – ECG], Εφημερίδα Ομοσπονδιακού Δικαίου Ι αριθ. 152/2001, όπως τροποποιήθηκε τελευταία με τον ομοσπονδιακό νόμο που δημοσιεύθηκε στην Εφημερίδα Ομοσπονδιακού Δικαίου Ι αριθ. 34/2015, τροποποιείται ως εξής:</w:t>
      </w:r>
    </w:p>
    <w:p w14:paraId="769FA27D" w14:textId="77777777" w:rsidR="004C59F5" w:rsidRPr="00E61BFF" w:rsidRDefault="004C59F5" w:rsidP="000B6E75">
      <w:pPr>
        <w:pStyle w:val="21NovAo1"/>
      </w:pPr>
      <w:r>
        <w:t>1. Μετά το άρθρο 18 παράγραφος 4 εισάγεται η ακόλουθη παράγραφος 4α:</w:t>
      </w:r>
    </w:p>
    <w:p w14:paraId="65298ECB" w14:textId="77777777" w:rsidR="004C59F5" w:rsidRPr="00E61BFF" w:rsidRDefault="004C59F5" w:rsidP="000B6E75">
      <w:pPr>
        <w:pStyle w:val="51Abs"/>
      </w:pPr>
      <w:r>
        <w:t>«4α) Η αξίωση σύμφωνα με το άρθρο 18 παράγραφος 4 πρέπει να διεκδικηθεί ενώπιον του πρωτοβάθμιου δικαστηρίου, το οποίο έχει οριστεί να ασκεί δικαιοδοσία σε εμπορικές υποθέσεις, σε διαδικασίες εκτός από διαφορές.»</w:t>
      </w:r>
    </w:p>
    <w:p w14:paraId="0657E57B" w14:textId="77777777" w:rsidR="004C59F5" w:rsidRPr="00E61BFF" w:rsidRDefault="004C59F5" w:rsidP="000B6E75">
      <w:pPr>
        <w:pStyle w:val="21NovAo1"/>
      </w:pPr>
      <w:r>
        <w:t>2. Στο άρθρο 28 προστίθεται η ακόλουθη παράγραφος 3:</w:t>
      </w:r>
    </w:p>
    <w:p w14:paraId="750B4A17" w14:textId="77777777" w:rsidR="004C59F5" w:rsidRPr="00E61BFF" w:rsidRDefault="004C59F5" w:rsidP="000B6E75">
      <w:pPr>
        <w:pStyle w:val="51Abs"/>
      </w:pPr>
      <w:r>
        <w:t xml:space="preserve">«3) Το άρθρο 18 παράγραφος 4 στοιχείο α, όπως τροποποιήθηκε τελευταία με τον ομοσπονδιακό νόμο που δημοσιεύθηκε στην Εφημερίδα Ομοσπονδιακού Δικαίου Ι αριθ. 148/2020, τίθεται σε ισχύ την </w:t>
      </w:r>
      <w:r>
        <w:lastRenderedPageBreak/>
        <w:t>1η Ιανουαρίου 2021 και δεν ισχύει για διαφορές που εκκρεμούσαν πριν τεθεί σε ισχύ ο παρών ομοσπονδιακός νόμος.»</w:t>
      </w:r>
    </w:p>
    <w:p w14:paraId="4D264D37" w14:textId="77777777" w:rsidR="004C59F5" w:rsidRPr="00E61BFF" w:rsidRDefault="004C59F5" w:rsidP="000B6E75">
      <w:pPr>
        <w:pStyle w:val="41UeberschrG1"/>
      </w:pPr>
      <w:r>
        <w:t>Άρθρο 7</w:t>
      </w:r>
      <w:r>
        <w:br/>
        <w:t>Τροποποίηση του νόμου περί δικαστικών εξόδων</w:t>
      </w:r>
    </w:p>
    <w:p w14:paraId="6019DABC" w14:textId="77777777" w:rsidR="004C59F5" w:rsidRPr="00E61BFF" w:rsidRDefault="004C59F5" w:rsidP="000B6E75">
      <w:pPr>
        <w:pStyle w:val="12PromKlEinlSatz"/>
      </w:pPr>
      <w:r>
        <w:t>Ο νόμος περί δικαστικών εξόδων (GGG), Εφημερίδα Ομοσπονδιακού Δικαίου  αριθ. 501/1984, όπως τροποποιήθηκε τελευταία με τον ομοσπονδιακό νόμο που δημοσιεύθηκε στην Εφημερίδα Ομοσπονδιακού Δικαίου I αριθ. ##/20##, τροποποιείται ως εξής:</w:t>
      </w:r>
    </w:p>
    <w:p w14:paraId="5AE95069" w14:textId="77777777" w:rsidR="004C59F5" w:rsidRPr="00E61BFF" w:rsidRDefault="004C59F5" w:rsidP="000B6E75">
      <w:pPr>
        <w:pStyle w:val="21NovAo1"/>
      </w:pPr>
      <w:r>
        <w:t>1. Στο άρθρο 16 παράγραφος 1 σημείο 1 προστίθεται μετά το στοιχείο δ) το ακόλουθο στοιχείο ε):</w:t>
      </w:r>
    </w:p>
    <w:p w14:paraId="43BEBE7C" w14:textId="77777777" w:rsidR="004C59F5" w:rsidRPr="00E61BFF" w:rsidRDefault="00431A52" w:rsidP="00431A52">
      <w:pPr>
        <w:pStyle w:val="52Aufzaehle2Lit"/>
      </w:pPr>
      <w:r>
        <w:tab/>
        <w:t>«ε) Διαδικασία εντολής σύμφωνα με το άρθρο 549 ΚΠολΔ,»</w:t>
      </w:r>
      <w:r>
        <w:tab/>
      </w:r>
    </w:p>
    <w:p w14:paraId="079E7BEF" w14:textId="77777777" w:rsidR="004C59F5" w:rsidRPr="00E61BFF" w:rsidRDefault="004C59F5" w:rsidP="000B6E75">
      <w:pPr>
        <w:pStyle w:val="21NovAo1"/>
      </w:pPr>
      <w:r>
        <w:t>2. Στη θέση 12 των τελών στοιχείο γ) παρεμβάλλεται το ακόλουθο σημείο 1 πριν από το δεύτερο σημείο:</w:t>
      </w:r>
    </w:p>
    <w:tbl>
      <w:tblPr>
        <w:tblW w:w="8505" w:type="dxa"/>
        <w:tblInd w:w="108" w:type="dxa"/>
        <w:tblBorders>
          <w:insideH w:val="single" w:sz="4" w:space="0" w:color="auto"/>
          <w:insideV w:val="single" w:sz="4" w:space="0" w:color="auto"/>
        </w:tblBorders>
        <w:tblLook w:val="0000" w:firstRow="0" w:lastRow="0" w:firstColumn="0" w:lastColumn="0" w:noHBand="0" w:noVBand="0"/>
      </w:tblPr>
      <w:tblGrid>
        <w:gridCol w:w="1016"/>
        <w:gridCol w:w="4283"/>
        <w:gridCol w:w="1931"/>
        <w:gridCol w:w="1275"/>
      </w:tblGrid>
      <w:tr w:rsidR="004C59F5" w:rsidRPr="00E61BFF" w14:paraId="73C1302D" w14:textId="77777777" w:rsidTr="004148A6">
        <w:tc>
          <w:tcPr>
            <w:tcW w:w="1016" w:type="dxa"/>
            <w:vAlign w:val="center"/>
          </w:tcPr>
          <w:p w14:paraId="66052DFA" w14:textId="77777777" w:rsidR="004C59F5" w:rsidRPr="00E61BFF" w:rsidRDefault="004C59F5" w:rsidP="00220685">
            <w:pPr>
              <w:pStyle w:val="83ErlText"/>
            </w:pPr>
            <w:r>
              <w:t>Θέση τελών</w:t>
            </w:r>
          </w:p>
        </w:tc>
        <w:tc>
          <w:tcPr>
            <w:tcW w:w="4283" w:type="dxa"/>
            <w:vAlign w:val="center"/>
          </w:tcPr>
          <w:p w14:paraId="6FC1CBD3" w14:textId="77777777" w:rsidR="004C59F5" w:rsidRPr="00E61BFF" w:rsidRDefault="004C59F5" w:rsidP="00220685">
            <w:pPr>
              <w:pStyle w:val="83ErlText"/>
            </w:pPr>
            <w:r>
              <w:t>Αντικείμενο</w:t>
            </w:r>
          </w:p>
        </w:tc>
        <w:tc>
          <w:tcPr>
            <w:tcW w:w="1931" w:type="dxa"/>
            <w:vAlign w:val="center"/>
          </w:tcPr>
          <w:p w14:paraId="78B54F17" w14:textId="77777777" w:rsidR="004C59F5" w:rsidRPr="00E61BFF" w:rsidRDefault="004C59F5" w:rsidP="00220685">
            <w:pPr>
              <w:pStyle w:val="83ErlText"/>
            </w:pPr>
            <w:r>
              <w:t>Κλίμακα για τη μέτρηση των τελών</w:t>
            </w:r>
          </w:p>
        </w:tc>
        <w:tc>
          <w:tcPr>
            <w:tcW w:w="1275" w:type="dxa"/>
            <w:vAlign w:val="center"/>
          </w:tcPr>
          <w:p w14:paraId="5EA825DB" w14:textId="77777777" w:rsidR="004C59F5" w:rsidRPr="00E61BFF" w:rsidRDefault="004C59F5" w:rsidP="00220685">
            <w:pPr>
              <w:pStyle w:val="83ErlText"/>
            </w:pPr>
            <w:r>
              <w:t>Ύψος των τελών</w:t>
            </w:r>
          </w:p>
        </w:tc>
      </w:tr>
      <w:tr w:rsidR="004C59F5" w:rsidRPr="00E61BFF" w14:paraId="3B5FC724" w14:textId="77777777" w:rsidTr="004148A6">
        <w:tc>
          <w:tcPr>
            <w:tcW w:w="1016" w:type="dxa"/>
          </w:tcPr>
          <w:p w14:paraId="55622495" w14:textId="77777777" w:rsidR="004C59F5" w:rsidRPr="00E61BFF" w:rsidRDefault="004C59F5" w:rsidP="004148A6">
            <w:pPr>
              <w:pStyle w:val="09Abstand"/>
            </w:pPr>
          </w:p>
        </w:tc>
        <w:tc>
          <w:tcPr>
            <w:tcW w:w="4283" w:type="dxa"/>
          </w:tcPr>
          <w:p w14:paraId="31225A3F" w14:textId="77777777" w:rsidR="004C59F5" w:rsidRPr="00E61BFF" w:rsidRDefault="00220685" w:rsidP="00220685">
            <w:pPr>
              <w:pStyle w:val="85ErlAufzaehlg"/>
            </w:pPr>
            <w:r>
              <w:t>«1.</w:t>
            </w:r>
            <w:r>
              <w:tab/>
              <w:t>Αγωγή για το δικαίωμα πληροφόρησης σύμφωνα με το άρθρο 18 παρ. 4α ECG,</w:t>
            </w:r>
          </w:p>
        </w:tc>
        <w:tc>
          <w:tcPr>
            <w:tcW w:w="1931" w:type="dxa"/>
            <w:vAlign w:val="bottom"/>
          </w:tcPr>
          <w:p w14:paraId="0DECEEDE" w14:textId="77777777" w:rsidR="004C59F5" w:rsidRPr="00E61BFF" w:rsidRDefault="004C59F5" w:rsidP="004148A6">
            <w:pPr>
              <w:pStyle w:val="09Abstand"/>
            </w:pPr>
          </w:p>
        </w:tc>
        <w:tc>
          <w:tcPr>
            <w:tcW w:w="1275" w:type="dxa"/>
            <w:vAlign w:val="bottom"/>
          </w:tcPr>
          <w:p w14:paraId="5594752B" w14:textId="77777777" w:rsidR="004C59F5" w:rsidRPr="00E61BFF" w:rsidRDefault="004C59F5" w:rsidP="00220685">
            <w:pPr>
              <w:pStyle w:val="83ErlText"/>
            </w:pPr>
            <w:r>
              <w:t>82 ευρώ»</w:t>
            </w:r>
          </w:p>
        </w:tc>
      </w:tr>
    </w:tbl>
    <w:p w14:paraId="646785B8" w14:textId="77777777" w:rsidR="004C59F5" w:rsidRPr="00E61BFF" w:rsidRDefault="004C59F5" w:rsidP="000B6E75">
      <w:pPr>
        <w:pStyle w:val="21NovAo1"/>
      </w:pPr>
      <w:r>
        <w:t>3. Στη δασμολογική κλάση 13, το στοιχείο α) έχει ως εξής:</w:t>
      </w:r>
    </w:p>
    <w:tbl>
      <w:tblPr>
        <w:tblW w:w="8505" w:type="dxa"/>
        <w:tblInd w:w="108" w:type="dxa"/>
        <w:tblLayout w:type="fixed"/>
        <w:tblLook w:val="01E0" w:firstRow="1" w:lastRow="1" w:firstColumn="1" w:lastColumn="1" w:noHBand="0" w:noVBand="0"/>
      </w:tblPr>
      <w:tblGrid>
        <w:gridCol w:w="959"/>
        <w:gridCol w:w="567"/>
        <w:gridCol w:w="5245"/>
        <w:gridCol w:w="1734"/>
      </w:tblGrid>
      <w:tr w:rsidR="004C59F5" w:rsidRPr="00E61BFF" w14:paraId="5B23DE90" w14:textId="77777777" w:rsidTr="004148A6">
        <w:tc>
          <w:tcPr>
            <w:tcW w:w="959" w:type="dxa"/>
            <w:tcBorders>
              <w:top w:val="nil"/>
              <w:left w:val="nil"/>
              <w:bottom w:val="nil"/>
              <w:right w:val="single" w:sz="4" w:space="0" w:color="auto"/>
            </w:tcBorders>
          </w:tcPr>
          <w:p w14:paraId="7281D548" w14:textId="77777777" w:rsidR="004C59F5" w:rsidRPr="00E61BFF" w:rsidRDefault="004C59F5" w:rsidP="004148A6">
            <w:pPr>
              <w:pStyle w:val="09Abstand"/>
            </w:pPr>
          </w:p>
        </w:tc>
        <w:tc>
          <w:tcPr>
            <w:tcW w:w="567" w:type="dxa"/>
            <w:tcBorders>
              <w:top w:val="nil"/>
              <w:left w:val="single" w:sz="4" w:space="0" w:color="auto"/>
              <w:bottom w:val="nil"/>
              <w:right w:val="nil"/>
            </w:tcBorders>
          </w:tcPr>
          <w:p w14:paraId="79E02B81" w14:textId="77777777" w:rsidR="004C59F5" w:rsidRPr="00E61BFF" w:rsidRDefault="004C59F5" w:rsidP="00220685">
            <w:pPr>
              <w:pStyle w:val="83ErlText"/>
            </w:pPr>
            <w:r>
              <w:t>«α)</w:t>
            </w:r>
          </w:p>
        </w:tc>
        <w:tc>
          <w:tcPr>
            <w:tcW w:w="5245" w:type="dxa"/>
            <w:tcBorders>
              <w:top w:val="nil"/>
              <w:left w:val="nil"/>
              <w:bottom w:val="nil"/>
              <w:right w:val="single" w:sz="4" w:space="0" w:color="auto"/>
            </w:tcBorders>
            <w:vAlign w:val="bottom"/>
          </w:tcPr>
          <w:p w14:paraId="27F1F9E9" w14:textId="77777777" w:rsidR="004C59F5" w:rsidRPr="00E61BFF" w:rsidRDefault="004C59F5" w:rsidP="00220685">
            <w:pPr>
              <w:pStyle w:val="83ErlText"/>
            </w:pPr>
            <w:r>
              <w:t>Ιδιωτική αγωγή και αξιώσεις του ιδιώτη που υποκαθιστά την εισαγγελική αρχή για την έκδοση ασφαλιστικών μέτρων δυνάμει του άρθρου 445 του ΚΠΔ</w:t>
            </w:r>
          </w:p>
        </w:tc>
        <w:tc>
          <w:tcPr>
            <w:tcW w:w="1734" w:type="dxa"/>
            <w:tcBorders>
              <w:top w:val="nil"/>
              <w:left w:val="single" w:sz="4" w:space="0" w:color="auto"/>
              <w:bottom w:val="nil"/>
              <w:right w:val="nil"/>
            </w:tcBorders>
            <w:vAlign w:val="bottom"/>
          </w:tcPr>
          <w:p w14:paraId="090D37D7" w14:textId="77777777" w:rsidR="004C59F5" w:rsidRPr="00E61BFF" w:rsidRDefault="004C59F5" w:rsidP="00220685">
            <w:pPr>
              <w:pStyle w:val="83ErlText"/>
            </w:pPr>
            <w:r>
              <w:t>269 ευρώ»</w:t>
            </w:r>
          </w:p>
        </w:tc>
      </w:tr>
    </w:tbl>
    <w:p w14:paraId="0A1E21A4" w14:textId="77777777" w:rsidR="004C59F5" w:rsidRPr="00E61BFF" w:rsidRDefault="004C59F5" w:rsidP="000B6E75">
      <w:pPr>
        <w:pStyle w:val="21NovAo1"/>
      </w:pPr>
      <w:r>
        <w:t>4. Στο άρθρο VI μετά από το σημείο 71, προστίθεται το ακόλουθο εδάφιο 71:</w:t>
      </w:r>
    </w:p>
    <w:p w14:paraId="40FD5690" w14:textId="77777777" w:rsidR="004C59F5" w:rsidRPr="00E61BFF" w:rsidRDefault="004C59F5" w:rsidP="000B6E75">
      <w:pPr>
        <w:pStyle w:val="52Aufzaehle1Ziffer"/>
      </w:pPr>
      <w:r>
        <w:tab/>
        <w:t>«71.</w:t>
      </w:r>
      <w:r>
        <w:tab/>
        <w:t>Το άρθρο 16 παρ. 1, δασμολογική κλάση 12 στοιχείο γ) σημείο 1 και δασμολογική κλάση 13 στοιχείο α) στη διατύπωση του ομοσπονδιακού νόμου που δημοσιεύθηκε στην Εφημερίδα Ομοσπονδιακού Δικαίου Ι αριθ. 148/2020, τίθενται σε ισχύ την 1η Ιανουαρίου 2021. Το άρθρο 31α πρέπει να εφαρμοστεί στους λόγους καταβολής τελών που δημιουργήθηκαν πρόσφατα με αυτόν τον ομοσπονδιακό νόμο με την προϋπόθεση ότι το σημείο εκκίνησης για τον επαναπροσδιορισμό είναι ο τελικός αριθμός ευρετηρίου, που δημοσιεύθηκε για τον Μάρτιο του 2017, του δείκτη τιμών καταναλωτή που δημοσιεύθηκε από την Ομοσπονδιακή Στατιστική Υπηρεσία Αυστρίας.»</w:t>
      </w:r>
    </w:p>
    <w:p w14:paraId="51EE9ED0" w14:textId="77777777" w:rsidR="004C59F5" w:rsidRPr="00E61BFF" w:rsidRDefault="004C59F5" w:rsidP="000B6E75">
      <w:pPr>
        <w:pStyle w:val="41UeberschrG1"/>
      </w:pPr>
      <w:r>
        <w:t>Άρθρο 8</w:t>
      </w:r>
    </w:p>
    <w:p w14:paraId="4A4F7CDC" w14:textId="77777777" w:rsidR="004C59F5" w:rsidRPr="00E61BFF" w:rsidRDefault="004C59F5" w:rsidP="000B6E75">
      <w:pPr>
        <w:pStyle w:val="43UeberschrG2"/>
      </w:pPr>
      <w:r>
        <w:t>Τροποποίηση Ποινικού Κώδικα</w:t>
      </w:r>
    </w:p>
    <w:p w14:paraId="6675E1F4" w14:textId="77777777" w:rsidR="004C59F5" w:rsidRPr="00E61BFF" w:rsidRDefault="004C59F5" w:rsidP="000B6E75">
      <w:pPr>
        <w:pStyle w:val="12PromKlEinlSatz"/>
      </w:pPr>
      <w:r>
        <w:t>Ο Ποινικός Κώδικας, Εφημερίδα Ομοσπονδιακού Δικαίου αριθ. 60/1974, όπως τροποποιήθηκε τελευταία με τον ομοσπονδιακό νόμο, Εφημερίδα Ομοσπονδιακού Δικαίου Ι αριθ. 111/2019, τροποποιείται ως εξής:</w:t>
      </w:r>
    </w:p>
    <w:p w14:paraId="536A4C45" w14:textId="77777777" w:rsidR="004C59F5" w:rsidRPr="00E61BFF" w:rsidRDefault="004C59F5" w:rsidP="000B6E75">
      <w:pPr>
        <w:pStyle w:val="21NovAo1"/>
      </w:pPr>
      <w:r>
        <w:t>1. Το άρθρο 107γ, μαζί με την επικεφαλίδα του, διατυπώνεται ως εξής:</w:t>
      </w:r>
    </w:p>
    <w:p w14:paraId="2FFCCBDC" w14:textId="77777777" w:rsidR="004C59F5" w:rsidRPr="00E61BFF" w:rsidRDefault="004C59F5" w:rsidP="000B6E75">
      <w:pPr>
        <w:pStyle w:val="45UeberschrPara"/>
      </w:pPr>
      <w:r>
        <w:t>«Συνεχής παρενόχληση μέσω συστήματος τηλεπικοινωνιών ή υπολογιστών</w:t>
      </w:r>
    </w:p>
    <w:p w14:paraId="102573C4" w14:textId="77777777" w:rsidR="004C59F5" w:rsidRPr="00E61BFF" w:rsidRDefault="004C59F5" w:rsidP="000B6E75">
      <w:pPr>
        <w:pStyle w:val="51Abs"/>
      </w:pPr>
      <w:r>
        <w:rPr>
          <w:rStyle w:val="991GldSymbol"/>
        </w:rPr>
        <w:t>Άρθρο 107γ.</w:t>
      </w:r>
      <w:r>
        <w:t xml:space="preserve"> 1) Οποιοδήποτε πρόσωπο, μέσω τηλεπικοινωνιών ή χρησιμοποιώντας σύστημα υπολογιστή, κατά τρόπο που ενδέχεται να προκαλέσει παράλογες δυσμενείς επιπτώσεις στη ζωή ενός ατόμου,</w:t>
      </w:r>
    </w:p>
    <w:p w14:paraId="07D6EC91" w14:textId="77777777" w:rsidR="004C59F5" w:rsidRPr="00E61BFF" w:rsidRDefault="004C59F5" w:rsidP="000B6E75">
      <w:pPr>
        <w:pStyle w:val="52Aufzaehle1Ziffer"/>
      </w:pPr>
      <w:r>
        <w:tab/>
        <w:t>1.</w:t>
      </w:r>
      <w:r>
        <w:tab/>
        <w:t>μπορεί να γίνει αντιληπτή εγκληματική πράξη εις βάρος της τιμής ενός προσώπου για μεγαλύτερο αριθμό ατόμων για μεγαλύτερο χρονικό διάστημα· ή</w:t>
      </w:r>
    </w:p>
    <w:p w14:paraId="5B3E194B" w14:textId="77777777" w:rsidR="004C59F5" w:rsidRPr="00E61BFF" w:rsidRDefault="004C59F5" w:rsidP="000B6E75">
      <w:pPr>
        <w:pStyle w:val="52Aufzaehle1Ziffer"/>
      </w:pPr>
      <w:r>
        <w:tab/>
        <w:t>2.</w:t>
      </w:r>
      <w:r>
        <w:tab/>
        <w:t>καθιστά ένα γεγονός ή μια εικόνα της προσωπικής σφαίρας της ζωής του ατόμου αντιληπτή για μεγαλύτερο χρονικό διάστημα σε μεγαλύτερο αριθμό ατόμων χωρίς τη συγκατάθεσή τους,</w:t>
      </w:r>
    </w:p>
    <w:p w14:paraId="785D28EF" w14:textId="77777777" w:rsidR="004C59F5" w:rsidRPr="00E61BFF" w:rsidRDefault="004C59F5" w:rsidP="00220685">
      <w:pPr>
        <w:pStyle w:val="58Schlussteile0Abs"/>
      </w:pPr>
      <w:r>
        <w:t>τιμωρείται με φυλάκιση μέχρι ενός έτους ή με χρηματική ποινή μέχρι 720 ημερήσιες ποινές.</w:t>
      </w:r>
    </w:p>
    <w:p w14:paraId="28F85F19" w14:textId="77777777" w:rsidR="004C59F5" w:rsidRPr="00E61BFF" w:rsidRDefault="004C59F5" w:rsidP="000B6E75">
      <w:pPr>
        <w:pStyle w:val="51Abs"/>
      </w:pPr>
      <w:r>
        <w:t>(2) Όταν το αδίκημα έχει ως αποτέλεσμα την αυτοκτονία ή απόπειρα αυτοκτονίας του ζημιωθέντος κατά την έννοια της παραγράφου 1, ο δράστης εξακολουθεί να διαπράττει πράξεις κατά του ζημιωθέντος εντός χρονικού διαστήματος που υπερβαίνει το ένα έτος ή υπερβαίνει για ένα έτος τη διάρκεια της αντίληψης που αναφέρεται στην παράγραφο 1 του παρόντος άρθρου, ο δράστης τιμωρείται με φυλάκιση έως 3 έτη.»</w:t>
      </w:r>
    </w:p>
    <w:p w14:paraId="5B6508BD" w14:textId="77777777" w:rsidR="004C59F5" w:rsidRPr="00E61BFF" w:rsidRDefault="004C59F5" w:rsidP="000B6E75">
      <w:pPr>
        <w:pStyle w:val="21NovAo1"/>
      </w:pPr>
      <w:r>
        <w:lastRenderedPageBreak/>
        <w:t>2. Μετά το άρθρο 120 προστίθεται το ακόλουθο άρθρο 120a συμπεριλαμβανομένου του τίτλου του:</w:t>
      </w:r>
    </w:p>
    <w:p w14:paraId="4E0D1F83" w14:textId="77777777" w:rsidR="004C59F5" w:rsidRPr="00E61BFF" w:rsidRDefault="004C59F5" w:rsidP="000B6E75">
      <w:pPr>
        <w:pStyle w:val="45UeberschrPara"/>
      </w:pPr>
      <w:r>
        <w:t>«Μη εξουσιοδοτημένη καταγραφή εικόνων</w:t>
      </w:r>
    </w:p>
    <w:p w14:paraId="687ED129" w14:textId="77777777" w:rsidR="004C59F5" w:rsidRPr="00E61BFF" w:rsidRDefault="004C59F5" w:rsidP="000B6E75">
      <w:pPr>
        <w:pStyle w:val="51Abs"/>
      </w:pPr>
      <w:r>
        <w:rPr>
          <w:rStyle w:val="991GldSymbol"/>
        </w:rPr>
        <w:t>Άρθρο 120α.</w:t>
      </w:r>
      <w:r>
        <w:t xml:space="preserve"> 1) Όποιος εκ προθέσεως φωτογραφίζει γεννητικά όργανα, την ηβική περιοχή, γλουτούς, θηλυκά στήθη ή εσώρουχα που καλύπτουν αυτά τα μέρη του σώματος άλλου προσώπου που έχει προστατεύσει τις περιοχές αυτές από τη θέα ή βρίσκεται σε κατοικία ή σε χώρο ειδικά προστατευμένο κατά της θέας, χωρίς τη συναίνεσή του, τιμωρείται με φυλάκιση έως 6 μηνών ή χρηματική ποινή έως 360 ημερήσιες αποζημιώσεις.</w:t>
      </w:r>
    </w:p>
    <w:p w14:paraId="642AF34D" w14:textId="77777777" w:rsidR="004C59F5" w:rsidRPr="00E61BFF" w:rsidRDefault="004C59F5" w:rsidP="000B6E75">
      <w:pPr>
        <w:pStyle w:val="51Abs"/>
      </w:pPr>
      <w:r>
        <w:t>2) Όποιος λαμβάνει ή δημοσιεύει φωτογραφία σύμφωνα με την παράγραφο 1 χωρίς τη συναίνεση του απεικονιζόμενου προσώπου τιμωρείται με φυλάκιση έως 12 μήνες ή με χρηματική ποινή μέχρι 720 ημερήσιες αποζημιώσεις, εάν το αδίκημα δεν τιμωρείται με άλλη διάταξη με την ίδια ή αυστηρότερη ποινή.</w:t>
      </w:r>
    </w:p>
    <w:p w14:paraId="5EC4AFE8" w14:textId="77777777" w:rsidR="004C59F5" w:rsidRPr="00E61BFF" w:rsidRDefault="004C59F5" w:rsidP="000B6E75">
      <w:pPr>
        <w:pStyle w:val="51Abs"/>
      </w:pPr>
      <w:r>
        <w:t>3) Ο δράστης διώκεται μόνο με την άδεια του ζημιωθέντος.»</w:t>
      </w:r>
    </w:p>
    <w:p w14:paraId="3A9D3671" w14:textId="77777777" w:rsidR="004C59F5" w:rsidRPr="00E61BFF" w:rsidRDefault="004C59F5" w:rsidP="00220685">
      <w:pPr>
        <w:pStyle w:val="22NovAo2"/>
      </w:pPr>
      <w:r>
        <w:t xml:space="preserve">3. Στο άρθρο 283 παράγραφος 1 σημείο 1, οι λέξεις </w:t>
      </w:r>
      <w:r>
        <w:rPr>
          <w:i w:val="0"/>
        </w:rPr>
        <w:t>«φυσική ή ψυχική»</w:t>
      </w:r>
      <w:r>
        <w:t xml:space="preserve"> διαγράφονται πριν από τη λέξη </w:t>
      </w:r>
      <w:r>
        <w:rPr>
          <w:i w:val="0"/>
        </w:rPr>
        <w:t>«αναπηρία»</w:t>
      </w:r>
      <w:r>
        <w:t>.</w:t>
      </w:r>
    </w:p>
    <w:p w14:paraId="3C3E5AC1" w14:textId="77777777" w:rsidR="004C59F5" w:rsidRPr="00E61BFF" w:rsidRDefault="004C59F5" w:rsidP="000B6E75">
      <w:pPr>
        <w:pStyle w:val="21NovAo1"/>
      </w:pPr>
      <w:r>
        <w:t>4. Το άρθρο 283, παράγραφος 1, σημείο 2, έχει ως εξής:</w:t>
      </w:r>
    </w:p>
    <w:p w14:paraId="3F2C5F73" w14:textId="77777777" w:rsidR="004C59F5" w:rsidRPr="00E61BFF" w:rsidRDefault="004C59F5" w:rsidP="000B6E75">
      <w:pPr>
        <w:pStyle w:val="52Aufzaehle1Ziffer"/>
      </w:pPr>
      <w:r>
        <w:tab/>
        <w:t>«2.</w:t>
      </w:r>
      <w:r>
        <w:tab/>
        <w:t>προσβάλλει μια από τις ομάδες που αναφέρονται στο σημείο 1 ή ένα άτομο λόγω του ότι ανήκει σε μια τέτοια ομάδα με την πρόθεση να παραβιάσει την ανθρώπινη αξιοπρέπεια της ομάδας ή του ατόμου με τρόπο που είναι πιθανό να περιφρονεί ή να υποτιμά την ομάδα ή το πρόσωπο στην κοινή γνώμη, ή»</w:t>
      </w:r>
    </w:p>
    <w:p w14:paraId="2456A79B" w14:textId="77777777" w:rsidR="004C59F5" w:rsidRPr="00E61BFF" w:rsidRDefault="004C59F5" w:rsidP="000B6E75">
      <w:pPr>
        <w:pStyle w:val="41UeberschrG1"/>
      </w:pPr>
      <w:r>
        <w:t>Άρθρο 9</w:t>
      </w:r>
    </w:p>
    <w:p w14:paraId="2B689D35" w14:textId="77777777" w:rsidR="004C59F5" w:rsidRPr="00E61BFF" w:rsidRDefault="004C59F5" w:rsidP="000B6E75">
      <w:pPr>
        <w:pStyle w:val="43UeberschrG2"/>
      </w:pPr>
      <w:r>
        <w:t>Τροποποίηση του νόμου για τα μέσα ενημέρωσης</w:t>
      </w:r>
    </w:p>
    <w:p w14:paraId="6763C10F" w14:textId="77777777" w:rsidR="004C59F5" w:rsidRPr="00E61BFF" w:rsidRDefault="004C59F5" w:rsidP="000B6E75">
      <w:pPr>
        <w:pStyle w:val="12PromKlEinlSatz"/>
      </w:pPr>
      <w:r>
        <w:t>Ο ομοσπονδιακός νόμος για τον Τύπο και άλλα δημόσια μέσα ενημέρωσης (Mediengesetz – MedienG), Εφημερίδα Ομοσπονδιακού Δικαίου αριθ. 314/1981, όπως τροποποιήθηκε τελευταία με τον ομοσπονδιακό νόμο, Εφημερίδα Ομοσπονδιακού Δικαίου Ι αριθ. 32/2018, τροποποιείται ως εξής:</w:t>
      </w:r>
    </w:p>
    <w:p w14:paraId="78F24F3C" w14:textId="77777777" w:rsidR="004C59F5" w:rsidRPr="00E61BFF" w:rsidRDefault="004C59F5" w:rsidP="000B6E75">
      <w:pPr>
        <w:pStyle w:val="21NovAo1"/>
      </w:pPr>
      <w:r>
        <w:t>1. Πριν από την παράγραφο 6 παρεμβάλλεται το ακόλουθο όνομα και τίτλος:</w:t>
      </w:r>
    </w:p>
    <w:p w14:paraId="02D6BB7E" w14:textId="77777777" w:rsidR="004C59F5" w:rsidRPr="00E61BFF" w:rsidRDefault="004C59F5" w:rsidP="000B6E75">
      <w:pPr>
        <w:pStyle w:val="41UeberschrG1"/>
      </w:pPr>
      <w:r>
        <w:t>«Πρώτη υποενότητα</w:t>
      </w:r>
    </w:p>
    <w:p w14:paraId="02E38CA5" w14:textId="77777777" w:rsidR="004C59F5" w:rsidRPr="00E61BFF" w:rsidRDefault="004C59F5" w:rsidP="000B6E75">
      <w:pPr>
        <w:pStyle w:val="43UeberschrG2"/>
      </w:pPr>
      <w:r>
        <w:t>Συμβάντα αποζημίωσης»</w:t>
      </w:r>
    </w:p>
    <w:p w14:paraId="6E974E70" w14:textId="77777777" w:rsidR="004C59F5" w:rsidRPr="00E61BFF" w:rsidRDefault="004C59F5" w:rsidP="000B6E75">
      <w:pPr>
        <w:pStyle w:val="21NovAo1"/>
      </w:pPr>
      <w:r>
        <w:t>2. Το άρθρο 6(1) διατυπώνεται ως εξής:</w:t>
      </w:r>
    </w:p>
    <w:p w14:paraId="3DA90DE0" w14:textId="77777777" w:rsidR="004C59F5" w:rsidRPr="00E61BFF" w:rsidRDefault="004C59F5" w:rsidP="000B6E75">
      <w:pPr>
        <w:pStyle w:val="51Abs"/>
      </w:pPr>
      <w:r>
        <w:t>«1) Εάν το αντικειμενικό γεγονός της δυσφήμισης, της κακοποίησης, της γελοιοποίησης ή της συκοφαντίας παραχθεί σε μέσο, ο ενδιαφερόμενος δικαιούται αποζημίωση από τον ιδιοκτήτη του μέσου για την ηθική βλάβη που υπέστη (άρθρο 8 παρ. 1).»</w:t>
      </w:r>
    </w:p>
    <w:p w14:paraId="19863201" w14:textId="77777777" w:rsidR="004C59F5" w:rsidRPr="00E61BFF" w:rsidRDefault="004C59F5" w:rsidP="000B6E75">
      <w:pPr>
        <w:pStyle w:val="21NovAo1"/>
      </w:pPr>
      <w:r>
        <w:t>3. Το άρθρο 7 παράγραφος 1 διατυπώνεται ως εξής:</w:t>
      </w:r>
    </w:p>
    <w:p w14:paraId="4C390BDB" w14:textId="77777777" w:rsidR="004C59F5" w:rsidRPr="00E61BFF" w:rsidRDefault="004C59F5" w:rsidP="000B6E75">
      <w:pPr>
        <w:pStyle w:val="51Abs"/>
      </w:pPr>
      <w:r>
        <w:t>«1) Εάν ιδιαίτερα προσωπική πτυχή της ζωής ενός ατόμου συζητείται ή παρουσιάζεται σε μέσο κατά τρόπο ικανό να το εκθέτει στο κοινό, ο ενδιαφερόμενος έχει το δικαίωμα αποζημίωσης από τον ιδιοκτήτη των μέσων ενημέρωσης για την ηθική βλάβη που υπέστη (άρθρο 8 παρ. 1).»</w:t>
      </w:r>
    </w:p>
    <w:p w14:paraId="4388B2F1" w14:textId="77777777" w:rsidR="004C59F5" w:rsidRPr="00E61BFF" w:rsidRDefault="004C59F5" w:rsidP="000B6E75">
      <w:pPr>
        <w:pStyle w:val="21NovAo1"/>
      </w:pPr>
      <w:r>
        <w:t>4. Το άρθρο 7α παράγραφος 1 έχει ως εξής:</w:t>
      </w:r>
    </w:p>
    <w:p w14:paraId="6E458DFB" w14:textId="77777777" w:rsidR="004C59F5" w:rsidRPr="00E61BFF" w:rsidRDefault="004C59F5" w:rsidP="000B6E75">
      <w:pPr>
        <w:pStyle w:val="51Abs"/>
      </w:pPr>
      <w:r>
        <w:t>«1) Εάν το όνομα, η εικόνα ή άλλες πληροφορίες δημοσιεύονται σε ένα μέσο που είναι πιθανό να οδηγήσει στην αποκάλυψη της ταυτότητας ενός ατόμου σε μια ευρύτερη ομάδα ατόμων που δεν ενημερώνονται άμεσα, και εάν αυτό το άτομο</w:t>
      </w:r>
    </w:p>
    <w:p w14:paraId="7D64CC7E" w14:textId="77777777" w:rsidR="004C59F5" w:rsidRPr="00E61BFF" w:rsidRDefault="004C59F5" w:rsidP="000B6E75">
      <w:pPr>
        <w:pStyle w:val="52Aufzaehle1Ziffer"/>
      </w:pPr>
      <w:r>
        <w:tab/>
        <w:t>1.</w:t>
      </w:r>
      <w:r>
        <w:tab/>
        <w:t>αποτελεί θύμα (άρθρο 65 παράγραφος 1 ΚΠΔ) μιας αξιόποινης πράξης ή</w:t>
      </w:r>
    </w:p>
    <w:p w14:paraId="1F05F6C9" w14:textId="77777777" w:rsidR="004C59F5" w:rsidRPr="00E61BFF" w:rsidRDefault="004C59F5" w:rsidP="000B6E75">
      <w:pPr>
        <w:pStyle w:val="52Aufzaehle1Ziffer"/>
      </w:pPr>
      <w:r>
        <w:tab/>
        <w:t>2.</w:t>
      </w:r>
      <w:r>
        <w:tab/>
        <w:t>είναι ύποπτος για διάπραξη τέτοιας πράξης ή έχει καταδικαστεί για τέτοια πράξη,</w:t>
      </w:r>
    </w:p>
    <w:p w14:paraId="42D93DFC" w14:textId="77777777" w:rsidR="004C59F5" w:rsidRPr="00E61BFF" w:rsidRDefault="004C59F5" w:rsidP="000B6E75">
      <w:pPr>
        <w:pStyle w:val="52Aufzaehle1Ziffer"/>
      </w:pPr>
      <w:r>
        <w:tab/>
        <w:t>3.</w:t>
      </w:r>
      <w:r>
        <w:tab/>
        <w:t>παρουσιάστηκε ως πληροφοριοδότης ενώπιον μιας ερευνητικής επιτροπής του Αυστριακού Εθνικού Συμβουλίου,</w:t>
      </w:r>
    </w:p>
    <w:p w14:paraId="232BB288" w14:textId="77777777" w:rsidR="004C59F5" w:rsidRPr="00E61BFF" w:rsidRDefault="004C59F5" w:rsidP="000B6E75">
      <w:pPr>
        <w:pStyle w:val="58Schlussteile0Abs"/>
      </w:pPr>
      <w:r>
        <w:t>και εάν παραβιάζονται τα συμφέροντα αυτού του ατόμου που αξίζουν προστασίας, ο ενδιαφερόμενος έχει το δικαίωμα αποζημίωσης από τον ιδιοκτήτη των μέσων ενημέρωσης για τον τραυματισμό που υπέστη (άρθρο 8 παράγραφος 1), εκτός εάν λόγω της θέσης του ενδιαφερομένου στο κοινό, λόγω οποιασδήποτε άλλης σχέσης με δημόσια ζωή ή για άλλους λόγους υπερισχύει το συμφέρον για τη δημοσίευση αυτών των πληροφοριών.»</w:t>
      </w:r>
    </w:p>
    <w:p w14:paraId="5E6CD7E8" w14:textId="77777777" w:rsidR="004C59F5" w:rsidRPr="00E61BFF" w:rsidRDefault="004C59F5" w:rsidP="000B6E75">
      <w:pPr>
        <w:pStyle w:val="21NovAo1"/>
      </w:pPr>
      <w:r>
        <w:lastRenderedPageBreak/>
        <w:t>5. Στο άρθρο 7α μετά από την παράγραφο 1 προστίθεται η ακόλουθη παράγραφος 1α:</w:t>
      </w:r>
    </w:p>
    <w:p w14:paraId="10A3CA95" w14:textId="77777777" w:rsidR="004C59F5" w:rsidRPr="00E61BFF" w:rsidRDefault="004C59F5" w:rsidP="000B6E75">
      <w:pPr>
        <w:pStyle w:val="51Abs"/>
      </w:pPr>
      <w:r>
        <w:t>«1α) Εάν δημοσίευσε το όνομα ή την εικόνα ενός ατόμου σε ένα μέσο, το οποίο</w:t>
      </w:r>
    </w:p>
    <w:p w14:paraId="769F6DCC" w14:textId="77777777" w:rsidR="004C59F5" w:rsidRPr="00E61BFF" w:rsidRDefault="004C59F5" w:rsidP="000B6E75">
      <w:pPr>
        <w:pStyle w:val="52Aufzaehle1Ziffer"/>
      </w:pPr>
      <w:r>
        <w:tab/>
        <w:t>1.</w:t>
      </w:r>
      <w:r>
        <w:tab/>
        <w:t>είναι συγγενής (άρθρο 72 ΠΚ) προσώπου που αναφέρεται στο άρθρο 1, παράγραφος 1 ή 2, αλλά δεν είναι ο ίδιος θύμα σύμφωνα με το άρθρο 65 παράγραφος 1 στοιχείο β) του Κώδικα Ποινικής Δικονομίας, ή</w:t>
      </w:r>
    </w:p>
    <w:p w14:paraId="5D4429BD" w14:textId="77777777" w:rsidR="004C59F5" w:rsidRPr="00E61BFF" w:rsidRDefault="004C59F5" w:rsidP="000B6E75">
      <w:pPr>
        <w:pStyle w:val="52Aufzaehle1Ziffer"/>
      </w:pPr>
      <w:r>
        <w:tab/>
        <w:t>2.</w:t>
      </w:r>
      <w:r>
        <w:tab/>
        <w:t>ήταν μάρτυρας μιας πράξης που διώκεται ποινικά,</w:t>
      </w:r>
    </w:p>
    <w:p w14:paraId="1B02109A" w14:textId="77777777" w:rsidR="004C59F5" w:rsidRPr="00E61BFF" w:rsidRDefault="004C59F5" w:rsidP="000B6E75">
      <w:pPr>
        <w:pStyle w:val="58Schlussteile0Abs"/>
      </w:pPr>
      <w:r>
        <w:t>και εάν παραβιαστούν τα συμφέροντα αυτού του ατόμου που αξίζουν προστασίας, το υποκείμενο των δεδομένων έχει το δικαίωμα αποζημίωσης από τον ιδιοκτήτη των μέσων ενημέρωσης για τη βλάβη που υπέστη (άρθρο 8 παρ. 1), εκτός εάν υπερισχύει το συμφέρον για τη δημοσίευση αυτών των πληροφοριών (άρθρο 1).»</w:t>
      </w:r>
    </w:p>
    <w:p w14:paraId="3943AEB9" w14:textId="77777777" w:rsidR="004C59F5" w:rsidRPr="00E61BFF" w:rsidRDefault="004C59F5" w:rsidP="000B6E75">
      <w:pPr>
        <w:pStyle w:val="21NovAo1"/>
      </w:pPr>
      <w:r>
        <w:t>6. Στην παράγραφο 7a, 2, το σημείο 1 διατυπώνεται ως εξής:</w:t>
      </w:r>
    </w:p>
    <w:p w14:paraId="7492D3AF" w14:textId="77777777" w:rsidR="004C59F5" w:rsidRPr="00E61BFF" w:rsidRDefault="004C59F5" w:rsidP="000B6E75">
      <w:pPr>
        <w:pStyle w:val="52Aufzaehle1Ziffer"/>
      </w:pPr>
      <w:r>
        <w:tab/>
        <w:t>«1.</w:t>
      </w:r>
      <w:r>
        <w:tab/>
        <w:t>είναι υπεύθυνη, στις περιπτώσεις που αναφέρονται στην παράγραφο 1 σημείο 1 ή στην παράγραφο 1α, να παρεμβαίνει στο προσωπικό πεδίο της ζωής ή να θίγει τα νόμιμα συμφέροντα ασφάλειας του θύματος, συγγενούς ή μάρτυρα·»</w:t>
      </w:r>
    </w:p>
    <w:p w14:paraId="3FCFD0AB" w14:textId="77777777" w:rsidR="004C59F5" w:rsidRPr="00E61BFF" w:rsidRDefault="004C59F5" w:rsidP="00220685">
      <w:pPr>
        <w:pStyle w:val="22NovAo2"/>
      </w:pPr>
      <w:r>
        <w:t xml:space="preserve">7. Στο άρθρο 7α παράγραφος 3 σημείο 3 προστίθεται προσθήκη μετά τη λέξη </w:t>
      </w:r>
      <w:r>
        <w:rPr>
          <w:i w:val="0"/>
        </w:rPr>
        <w:t>«ανησυχίες»</w:t>
      </w:r>
      <w:r>
        <w:t>.</w:t>
      </w:r>
    </w:p>
    <w:p w14:paraId="2284FFC6" w14:textId="77777777" w:rsidR="004C59F5" w:rsidRPr="00E61BFF" w:rsidRDefault="004C59F5" w:rsidP="000B6E75">
      <w:pPr>
        <w:pStyle w:val="21NovAo1"/>
      </w:pPr>
      <w:r>
        <w:t>8. Το άρθρο 7β παράγραφος 1 διατυπώνεται ως εξής:</w:t>
      </w:r>
    </w:p>
    <w:p w14:paraId="635505A0" w14:textId="77777777" w:rsidR="004C59F5" w:rsidRPr="00E61BFF" w:rsidRDefault="004C59F5" w:rsidP="000B6E75">
      <w:pPr>
        <w:pStyle w:val="51Abs"/>
      </w:pPr>
      <w:r>
        <w:t>«1) Εάν, σε ένα μέσο, ένα πρόσωπο που είναι ύποπτο για ποινικώς κολάσιμη πράξη, αλλά δεν έχει καταδικαστεί με τελεσίδικη απόφαση, βρεθεί καταδικασμένο ή ένοχο ή αναγνωριστεί ως ο δράστης αυτής της εγκληματικής πράξης και όχι μόνο ως ύποπτος, ο ενδιαφερόμενος δικαιούται αποζημίωσης από τον ιδιοκτήτη των μέσων ενημέρωσης για αποζημίωση για τη βλάβη που υπέστη (άρθρο 8 παρ. 1).»</w:t>
      </w:r>
    </w:p>
    <w:p w14:paraId="4FC5BBE4" w14:textId="77777777" w:rsidR="004C59F5" w:rsidRPr="00E61BFF" w:rsidRDefault="004C59F5" w:rsidP="00220685">
      <w:pPr>
        <w:pStyle w:val="22NovAo2"/>
      </w:pPr>
      <w:r>
        <w:t>9. Στο άρθρο 7γ παρ. 1, η λέξη «προσβολή» αντικαθίσταται από τη φράση «προσωπική βλάβη (άρθρο 8 παρ. 1)»· η δεύτερη πρόταση διαγράφεται.</w:t>
      </w:r>
    </w:p>
    <w:p w14:paraId="6FC601D3" w14:textId="77777777" w:rsidR="004C59F5" w:rsidRPr="00E61BFF" w:rsidRDefault="004C59F5" w:rsidP="000B6E75">
      <w:pPr>
        <w:pStyle w:val="21NovAo1"/>
      </w:pPr>
      <w:r>
        <w:t>10. Το άρθρο 8, παράγραφοι 1 και 2, έχει ως εξής:</w:t>
      </w:r>
    </w:p>
    <w:p w14:paraId="1A41005A" w14:textId="77777777" w:rsidR="004C59F5" w:rsidRPr="00E61BFF" w:rsidRDefault="004C59F5" w:rsidP="000B6E75">
      <w:pPr>
        <w:pStyle w:val="51Abs"/>
      </w:pPr>
      <w:r>
        <w:t>1) Το ποσό της αποζημίωσης σύμφωνα με τα άρθρα 6, 7, 7α, 7β ή 7γ υπολογίζεται κατ’ αναλογία προς το εύρος, την αξία δημοσίευσης και τον αντίκτυπο της δημοσίευσης, καθώς και το είδος και την έκταση της διανομής του μέσου και, στην περίπτωση των ιστοσελίδων, επίσης κατ’ αναλογία προς τον αριθμό των τελικών χρηστών που έχουν πρόσβαση στη δημοσίευση· Οι επιπτώσεις θα πρέπει γενικά να θεωρηθούν μικρότερες, εάν γίνει δημοσίευση μετά από προηγούμενες συγκρίσιμες δημοσιεύσεις, αλλά προτού υποβληθεί για πρώτη φορά αξίωση αποζημίωσης σύμφωνα με αυτήν την υποενότητα. Εάν ένας ενδιαφερόμενος δικαιούται αποζημίωση λόγω δημοσίευσης βάσει διαφόρων διατάξεων αυτής της υποενότητας, πρέπει να καθοριστεί ένα ενιαίο, αντίστοιχα υψηλότερο ποσό αποζημίωσης. Πρέπει να ληφθεί μέριμνα για την προστασία της οικονομικής επιβίωσης του ιδιοκτήτη των μέσων ενημέρωσης. Το ποσό της αποζημίωσης καθορίζεται σε τουλάχιστον 100 EUR και το ποσό των 40 000 EUR δεν μπορεί, ωστόσο, να υπερβαίνει το ποσό των 100 000 EUR σύμφωνα με τις παραγράφους 6, 7 ή 7γ σε περίπτωση ιδιαίτερα σοβαρών συνεπειών δημοσίευσης και σοβαρής αμέλειας ή εκ προθέσεως συμπεριφοράς του ιδιοκτήτη των μέσων ενημέρωσης ή του υπαλλήλου του.</w:t>
      </w:r>
    </w:p>
    <w:p w14:paraId="4AB74A8C" w14:textId="77777777" w:rsidR="004C59F5" w:rsidRPr="00E61BFF" w:rsidRDefault="004C59F5" w:rsidP="000B6E75">
      <w:pPr>
        <w:pStyle w:val="51Abs"/>
      </w:pPr>
      <w:r>
        <w:t>2) Σε ποινικές διαδικασίες στις οποίες ο ιδιοκτήτης μέσων εμπλέκεται ως ύποπτος ή σύμφωνα με το άρθρο 41 παράγραφος 6, ο ενδιαφερόμενος μπορεί να διεκδικήσει την αξίωσή του για αποζημίωση σύμφωνα με τα άρθρα 6, 7, 7α, 7β ή 7γ έως το τέλος της κύριας ακρόασης. Εάν δεν διεξάγεται τέτοια ποινική διαδικασία, το αίτημα μπορεί να επιβεβαιωθεί με ανεξάρτητη αίτηση (άρθρο 8α). Στην απόφασή του επί αγωγής αποζημίωσης σύμφωνα με τα άρθρα 6, 7, 7α, 7β ή 7γ, το δικαστήριο δεν δεσμεύεται από τη νομική εκτίμηση του θιγόμενου προσώπου· Ο ενδιαφερόμενος μπορεί, ωστόσο, να δηλώσει ότι δεν βασίζεται σε μεμονωμένες διατάξεις αυτής της υποενότητας.»</w:t>
      </w:r>
    </w:p>
    <w:p w14:paraId="74B3AC21" w14:textId="77777777" w:rsidR="004C59F5" w:rsidRPr="00E61BFF" w:rsidRDefault="004C59F5" w:rsidP="00B47DC9">
      <w:pPr>
        <w:pStyle w:val="22NovAo2"/>
      </w:pPr>
      <w:r>
        <w:t xml:space="preserve">11. Στο άρθρο 8α παράγραφος 2, μετά τις λέξεις «έξι μήνες» οι λέξεις </w:t>
      </w:r>
      <w:r>
        <w:rPr>
          <w:i w:val="0"/>
        </w:rPr>
        <w:t>«ωστόσο, εάν ο αιτών είναι θύμα κατά την έννοια του άρθρου 65 παράγραφος 1 στοιχεία α) και β) του Κώδικα Ποινικής Δικονομίας,  «τότε, εντός ενός έτους», παρεμβάλλονται</w:t>
      </w:r>
      <w:r>
        <w:t xml:space="preserve"> και η λέξη </w:t>
      </w:r>
      <w:r>
        <w:rPr>
          <w:i w:val="0"/>
        </w:rPr>
        <w:t>«ακρόαση»</w:t>
      </w:r>
      <w:r>
        <w:t xml:space="preserve"> αντικαθίσταται από τη λέξη </w:t>
      </w:r>
      <w:r>
        <w:rPr>
          <w:i w:val="0"/>
        </w:rPr>
        <w:t>«κύρια ακρόαση»</w:t>
      </w:r>
      <w:r>
        <w:t>.</w:t>
      </w:r>
    </w:p>
    <w:p w14:paraId="2BDF74F0" w14:textId="77777777" w:rsidR="004C59F5" w:rsidRPr="00E61BFF" w:rsidRDefault="004C59F5" w:rsidP="000B6E75">
      <w:pPr>
        <w:pStyle w:val="21NovAo1"/>
      </w:pPr>
      <w:r>
        <w:t>12. Το έως τώρα άρθρο 8a παράγραφος 4 τάσσεται μετά το άρθρο 8 παράγραφος 3· στο άρθρο 8α προσαρτάται η ακόλουθη παράγραφος 4:</w:t>
      </w:r>
    </w:p>
    <w:p w14:paraId="3695D3E9" w14:textId="77777777" w:rsidR="004C59F5" w:rsidRPr="00E61BFF" w:rsidRDefault="004C59F5" w:rsidP="000B6E75">
      <w:pPr>
        <w:pStyle w:val="51Abs"/>
      </w:pPr>
      <w:r>
        <w:t>«4) Το άρθρο 8 παράγραφος 4 εφαρμόζεται.»</w:t>
      </w:r>
    </w:p>
    <w:p w14:paraId="2CEF5861" w14:textId="77777777" w:rsidR="004C59F5" w:rsidRPr="00E61BFF" w:rsidRDefault="004C59F5" w:rsidP="000B6E75">
      <w:pPr>
        <w:pStyle w:val="21NovAo1"/>
      </w:pPr>
      <w:r>
        <w:lastRenderedPageBreak/>
        <w:t>13. Πριν από την παράγραφο 9 παρεμβάλλεται το ακόλουθο όνομα και τίτλος:</w:t>
      </w:r>
    </w:p>
    <w:p w14:paraId="751E46B2" w14:textId="77777777" w:rsidR="004C59F5" w:rsidRPr="00E61BFF" w:rsidRDefault="004C59F5" w:rsidP="000B6E75">
      <w:pPr>
        <w:pStyle w:val="41UeberschrG1"/>
      </w:pPr>
      <w:r>
        <w:t>«Δεύτερη υποενότητα</w:t>
      </w:r>
    </w:p>
    <w:p w14:paraId="258B031E" w14:textId="77777777" w:rsidR="004C59F5" w:rsidRPr="00E61BFF" w:rsidRDefault="004C59F5" w:rsidP="000B6E75">
      <w:pPr>
        <w:pStyle w:val="43UeberschrG2"/>
      </w:pPr>
      <w:r>
        <w:t>Απάντηση και επακόλουθη κοινοποίηση του αποτελέσματος της ποινικής διαδικασίας»</w:t>
      </w:r>
    </w:p>
    <w:p w14:paraId="61035177" w14:textId="77777777" w:rsidR="004C59F5" w:rsidRPr="00E61BFF" w:rsidRDefault="004C59F5" w:rsidP="00B47DC9">
      <w:pPr>
        <w:pStyle w:val="22NovAo2"/>
      </w:pPr>
      <w:r>
        <w:t>14. Στο άρθρο 10 παράγραφος 1 σημείο 3, οι λέξεις «κύρια διαδικασία» αντικαθίστανται από τις λέξεις «ποινική διαδικασία».</w:t>
      </w:r>
    </w:p>
    <w:p w14:paraId="57592B94" w14:textId="77777777" w:rsidR="004C59F5" w:rsidRPr="00E61BFF" w:rsidRDefault="004C59F5" w:rsidP="00B47DC9">
      <w:pPr>
        <w:pStyle w:val="22NovAo2"/>
      </w:pPr>
      <w:r>
        <w:t>15. Στο άρθρο 11 παράγραφος 1 σημείο 10 η φράση «από την απόσυρση της καταγγελίας» αντικαθίσταται από τη φράση «από την εγκατάλειψη της ποινικής δίωξης».</w:t>
      </w:r>
    </w:p>
    <w:p w14:paraId="12E9B572" w14:textId="77777777" w:rsidR="004C59F5" w:rsidRPr="00E61BFF" w:rsidRDefault="004C59F5" w:rsidP="00B47DC9">
      <w:pPr>
        <w:pStyle w:val="22NovAo2"/>
      </w:pPr>
      <w:r>
        <w:t>16. Στο άρθρο 13 παράγραφος 7 η λέξη «περιορισμοί» αντικαθίσταται από τη λέξη «επεμβάσεις».</w:t>
      </w:r>
    </w:p>
    <w:p w14:paraId="2AE28060" w14:textId="77777777" w:rsidR="004C59F5" w:rsidRPr="00E61BFF" w:rsidRDefault="004C59F5" w:rsidP="00B47DC9">
      <w:pPr>
        <w:pStyle w:val="22NovAo2"/>
      </w:pPr>
      <w:r>
        <w:t>17. Στο άρθρο 14 παράγραφος 2 μετά τη λέξη «πρωτοδικείο» προστίθενται οι λέξεις «του μονομελούς δικαστηρίου».</w:t>
      </w:r>
    </w:p>
    <w:p w14:paraId="4E63B1EC" w14:textId="77777777" w:rsidR="004C59F5" w:rsidRPr="00E61BFF" w:rsidRDefault="004C59F5" w:rsidP="00B47DC9">
      <w:pPr>
        <w:pStyle w:val="22NovAo2"/>
      </w:pPr>
      <w:r>
        <w:t xml:space="preserve">18. Στο άρθρο 14 παρ. 3 στο τέλος της λέξης «επιτρέπεται» παρεμβάλλεται η ακόλουθη πρόταση: </w:t>
      </w:r>
      <w:r>
        <w:rPr>
          <w:i w:val="0"/>
        </w:rPr>
        <w:t>«και μια προφανώς αβάσιμη αίτηση μπορεί να απορριφθεί μόνο μετά από δημόσια ακρόαση, εκτός εάν ο αιτών παραιτηθεί ρητά από αυτήν»</w:t>
      </w:r>
    </w:p>
    <w:p w14:paraId="61AD9CC6" w14:textId="77777777" w:rsidR="004C59F5" w:rsidRPr="00E61BFF" w:rsidRDefault="004C59F5" w:rsidP="000B6E75">
      <w:pPr>
        <w:pStyle w:val="21NovAo1"/>
      </w:pPr>
      <w:r>
        <w:t>19. Το άρθρο 15 παράγραφος 1 διατυπώνεται ως εξής:</w:t>
      </w:r>
    </w:p>
    <w:p w14:paraId="5C64434D" w14:textId="77777777" w:rsidR="004C59F5" w:rsidRPr="00E61BFF" w:rsidRDefault="004C59F5" w:rsidP="000B6E75">
      <w:pPr>
        <w:pStyle w:val="51Abs"/>
      </w:pPr>
      <w:r>
        <w:t>«1) Εάν δεν έχουν διατυπωθεί αντιρρήσεις εντός της νόμιμης προθεσμίας, το δικαστήριο πρέπει να αποφασίσει με απόφαση εντός πέντε εργάσιμων ημερών μετά τη λήξη της προθεσμίας. Η αίτηση γίνεται δεκτή χωρίς ακρόαση· ωστόσο, εάν η αίτηση είναι προδήλως αβάσιμη, η απόφαση εκδίδεται μετά από δημόσια προφορική διαδικασία, εκτός εάν ο αιτών παραιτηθεί ρητά από αυτήν.»</w:t>
      </w:r>
    </w:p>
    <w:p w14:paraId="0D76C5FB" w14:textId="77777777" w:rsidR="004C59F5" w:rsidRPr="00E61BFF" w:rsidRDefault="004C59F5" w:rsidP="00B47DC9">
      <w:pPr>
        <w:pStyle w:val="22NovAo2"/>
      </w:pPr>
      <w:r>
        <w:t>20. Στο άρθρο 15 παράγραφος 3, οι λέξεις «δημόσια ακρόαση» αντικαθίστανται από τις λέξεις «διεξαγωγή κύριας ακρόασης».</w:t>
      </w:r>
    </w:p>
    <w:p w14:paraId="2095DBF8" w14:textId="77777777" w:rsidR="004C59F5" w:rsidRPr="00E61BFF" w:rsidRDefault="004C59F5" w:rsidP="00B47DC9">
      <w:pPr>
        <w:pStyle w:val="22NovAo2"/>
      </w:pPr>
      <w:r>
        <w:t>21. Στο άρθρο 16 παράγραφος 1, οι λέξεις «δημόσια ακρόαση» αντικαθίστανται από τις λέξεις «διεξαγωγή κύριας ακρόασης».</w:t>
      </w:r>
    </w:p>
    <w:p w14:paraId="30246BE5" w14:textId="77777777" w:rsidR="004C59F5" w:rsidRPr="00E61BFF" w:rsidRDefault="004C59F5" w:rsidP="00B47DC9">
      <w:pPr>
        <w:pStyle w:val="22NovAo2"/>
      </w:pPr>
      <w:r>
        <w:t xml:space="preserve">22. Στο άρθρο 20 παράγραφος 2, η λέξη </w:t>
      </w:r>
      <w:r>
        <w:rPr>
          <w:i w:val="0"/>
        </w:rPr>
        <w:t>«Αίτημα δημοσίευσης»</w:t>
      </w:r>
      <w:r>
        <w:t xml:space="preserve">· αντικαθίσταται από τη λέξη </w:t>
      </w:r>
      <w:r>
        <w:rPr>
          <w:i w:val="0"/>
        </w:rPr>
        <w:t>«Διαταγή δημοσίευσης»</w:t>
      </w:r>
      <w:r>
        <w:t>.</w:t>
      </w:r>
    </w:p>
    <w:p w14:paraId="004C0FE1" w14:textId="77777777" w:rsidR="004C59F5" w:rsidRPr="00E61BFF" w:rsidRDefault="004C59F5" w:rsidP="000B6E75">
      <w:pPr>
        <w:pStyle w:val="21NovAo1"/>
      </w:pPr>
      <w:r>
        <w:t>23. Πριν από την παράγραφο 22 παρεμβάλλεται το ακόλουθο όνομα και τίτλος:</w:t>
      </w:r>
    </w:p>
    <w:p w14:paraId="0109DC7F" w14:textId="77777777" w:rsidR="004C59F5" w:rsidRPr="00E61BFF" w:rsidRDefault="004C59F5" w:rsidP="000B6E75">
      <w:pPr>
        <w:pStyle w:val="41UeberschrG1"/>
      </w:pPr>
      <w:r>
        <w:t>«Τρίτη υποενότητα</w:t>
      </w:r>
    </w:p>
    <w:p w14:paraId="725C98A0" w14:textId="77777777" w:rsidR="004C59F5" w:rsidRPr="00E61BFF" w:rsidRDefault="004C59F5" w:rsidP="000B6E75">
      <w:pPr>
        <w:pStyle w:val="43UeberschrG2"/>
      </w:pPr>
      <w:r>
        <w:t>Λήψεις εικόνων και ηχογραφήσεις και μεταδόσεις εικόνας και ήχου»</w:t>
      </w:r>
    </w:p>
    <w:p w14:paraId="65582BF2" w14:textId="77777777" w:rsidR="004C59F5" w:rsidRPr="00E61BFF" w:rsidRDefault="004C59F5" w:rsidP="000B6E75">
      <w:pPr>
        <w:pStyle w:val="21NovAo1"/>
      </w:pPr>
      <w:r>
        <w:t>24. Πριν από την παράγραφο 23 παρεμβάλλεται το ακόλουθο όνομα και τίτλος:</w:t>
      </w:r>
    </w:p>
    <w:p w14:paraId="029ABEDB" w14:textId="77777777" w:rsidR="004C59F5" w:rsidRPr="00E61BFF" w:rsidRDefault="004C59F5" w:rsidP="000B6E75">
      <w:pPr>
        <w:pStyle w:val="41UeberschrG1"/>
      </w:pPr>
      <w:r>
        <w:t>«Τέταρτη υποενότητα</w:t>
      </w:r>
    </w:p>
    <w:p w14:paraId="0598862B" w14:textId="77777777" w:rsidR="004C59F5" w:rsidRPr="00E61BFF" w:rsidRDefault="004C59F5" w:rsidP="000B6E75">
      <w:pPr>
        <w:pStyle w:val="43UeberschrG2"/>
      </w:pPr>
      <w:r>
        <w:t>Απαγορευμένη επιρροή σε ποινικές διαδικασίες»</w:t>
      </w:r>
    </w:p>
    <w:p w14:paraId="475FD25A" w14:textId="77777777" w:rsidR="004C59F5" w:rsidRPr="00E61BFF" w:rsidRDefault="004C59F5" w:rsidP="00B47DC9">
      <w:pPr>
        <w:pStyle w:val="22NovAo2"/>
      </w:pPr>
      <w:r>
        <w:t xml:space="preserve">25. Στο άρθρο 30, η λέξη «μία»· αντικαθίσταται από τη λέξη </w:t>
      </w:r>
      <w:r>
        <w:rPr>
          <w:i w:val="0"/>
        </w:rPr>
        <w:t>«μία»</w:t>
      </w:r>
      <w:r>
        <w:t>.</w:t>
      </w:r>
    </w:p>
    <w:p w14:paraId="4215900A" w14:textId="77777777" w:rsidR="004C59F5" w:rsidRPr="00E61BFF" w:rsidRDefault="004C59F5" w:rsidP="00B47DC9">
      <w:pPr>
        <w:pStyle w:val="22NovAo2"/>
      </w:pPr>
      <w:r>
        <w:t xml:space="preserve">26. Στην παράγραφο 32, δεύτερη πρόταση, μετά τη λέξη </w:t>
      </w:r>
      <w:r>
        <w:rPr>
          <w:i w:val="0"/>
        </w:rPr>
        <w:t>«απειλούμενη»</w:t>
      </w:r>
      <w:r>
        <w:t xml:space="preserve">, η φράση </w:t>
      </w:r>
      <w:r>
        <w:rPr>
          <w:i w:val="0"/>
        </w:rPr>
        <w:t>’ή δεσμεύτηκε από το περιεχόμενο ενός ανακτήσιμου περιοδικού ηλεκτρονικού μέσου»</w:t>
      </w:r>
      <w:r>
        <w:t>.</w:t>
      </w:r>
    </w:p>
    <w:p w14:paraId="5043B9E1" w14:textId="77777777" w:rsidR="004C59F5" w:rsidRPr="00E61BFF" w:rsidRDefault="004C59F5" w:rsidP="00B47DC9">
      <w:pPr>
        <w:pStyle w:val="22NovAo2"/>
      </w:pPr>
      <w:r>
        <w:t xml:space="preserve">27. Στο άρθρο 33 παράγραφος 2, η πρώτη πρόταση αντικαθιστά τη φράση </w:t>
      </w:r>
      <w:r>
        <w:rPr>
          <w:i w:val="0"/>
        </w:rPr>
        <w:t>«δεν είναι δυνατή για λόγους αποκλεισμού της τιμωρίας»</w:t>
      </w:r>
      <w:r>
        <w:t xml:space="preserve"> με τη φράση </w:t>
      </w:r>
      <w:r>
        <w:rPr>
          <w:i w:val="0"/>
        </w:rPr>
        <w:t>«για λόγους που αποκλείουν την τιμωρία, για παράδειγμα επειδή ο ποινικός χαρακτήρας της αξιόποινης πράξης έχει παραγραφεί»</w:t>
      </w:r>
      <w:r>
        <w:t>.</w:t>
      </w:r>
    </w:p>
    <w:p w14:paraId="513EDC4E" w14:textId="77777777" w:rsidR="004C59F5" w:rsidRPr="00E61BFF" w:rsidRDefault="004C59F5" w:rsidP="00B47DC9">
      <w:pPr>
        <w:pStyle w:val="22NovAo2"/>
      </w:pPr>
      <w:r>
        <w:t>28. Το άρθρο 33 παράγραφος 3 παραλείπεται.</w:t>
      </w:r>
    </w:p>
    <w:p w14:paraId="739687EE" w14:textId="77777777" w:rsidR="004C59F5" w:rsidRPr="00E61BFF" w:rsidRDefault="004C59F5" w:rsidP="000B6E75">
      <w:pPr>
        <w:pStyle w:val="21NovAo1"/>
      </w:pPr>
      <w:r>
        <w:t>29. Μετά το άρθρο 33 προστίθεται το ακόλουθο άρθρο 33a συμπεριλαμβανομένου του τίτλου του:</w:t>
      </w:r>
    </w:p>
    <w:p w14:paraId="70E9AF5E" w14:textId="77777777" w:rsidR="004C59F5" w:rsidRPr="00E61BFF" w:rsidRDefault="004C59F5" w:rsidP="000B6E75">
      <w:pPr>
        <w:pStyle w:val="45UeberschrPara"/>
      </w:pPr>
      <w:r>
        <w:t>«Δήμευση λόγω προσβολής του εργοδότη</w:t>
      </w:r>
    </w:p>
    <w:p w14:paraId="4FF9975E" w14:textId="77777777" w:rsidR="004C59F5" w:rsidRPr="00E61BFF" w:rsidRDefault="004C59F5" w:rsidP="000B6E75">
      <w:pPr>
        <w:pStyle w:val="51Abs"/>
      </w:pPr>
      <w:r>
        <w:rPr>
          <w:rStyle w:val="991GldSymbol"/>
        </w:rPr>
        <w:t>Άρθρο 33α.</w:t>
      </w:r>
      <w:r>
        <w:t xml:space="preserve"> 1) Εάν, σε μέσο σχετικό με τη δραστηριότητα εργαζομένου ή υπαλλήλου, προκύπτουν ή απειλούνται με κίνδυνο αντικειμενικά πραγματικά περιστατικά της μομφής, προσβολής, παρενόχλησης ή δυσφήμισης (άρθρο 74 παράγραφος 1 σημείο 5 του Ποινικού Κώδικα), και εφόσον η συμπεριφορά αυτή </w:t>
      </w:r>
      <w:r>
        <w:lastRenderedPageBreak/>
        <w:t>ενδέχεται να επηρεάσει σημαντικά την ικανότητα του εργοδότη να χρησιμοποιήσει τον υπάλληλο ή να βλάψει σοβαρά την εικόνα του εργοδότη, ο τελευταίος δικαιούται να υποβάλει αίτηση για τη συλλογή των μέσων ενημέρωσης που προορίζονται για τη διανομή ή τη διαγραφή των σχετικών τμημάτων του δικτυακού τόπου. Το ίδιο ισχύει και για τους εθελοντές και τα σώματα ενός φορέα. Ο ισχυρισμός του δικαιώματος του εργοδότη δεν συνδέεται με τη συγκατάθεση του εργαζόμενου. Ο εργοδότης ή ο πάροχος υπηρεσίας δεν υποχρεούται να διεκδικήσει νομική αξίωση σχετικά με την παραβίαση των προσωπικών δικαιωμάτων που επηρεάζουν τον εργαζόμενο ή τον λήπτη υπηρεσίας, ιδίως λόγω του καθήκοντος περίθαλψης βάσει του εργατικού δικαίου.</w:t>
      </w:r>
    </w:p>
    <w:p w14:paraId="3530D27B" w14:textId="77777777" w:rsidR="004C59F5" w:rsidRPr="00E61BFF" w:rsidRDefault="00730F15" w:rsidP="00730F15">
      <w:pPr>
        <w:pStyle w:val="51Abs"/>
      </w:pPr>
      <w:r>
        <w:t>2) Το δικαίωμα κατάσχεσης δεν υφίσταται σε περίπτωση μομφής εάν υπάρχει λόγος αποκλεισμού σύμφωνα με το άρθρο 6 παράγραφος 2 σημεία 2 ή 4. Εφαρμόζεται το άρθρο 33 παράγραφος 2 δεύτερη πρόταση.</w:t>
      </w:r>
    </w:p>
    <w:p w14:paraId="2D0790A7" w14:textId="77777777" w:rsidR="004C59F5" w:rsidRPr="00E61BFF" w:rsidRDefault="004C59F5" w:rsidP="000B6E75">
      <w:pPr>
        <w:pStyle w:val="51Abs"/>
      </w:pPr>
      <w:r>
        <w:t>3) Ο εργοδότης μπορεί να ζητήσει κατάσχεση στο πλαίσιο ποινικής διαδικασίας έως το τέλος της κύριας ακρόασης ή με ανεξάρτητη αίτηση. Το άρθρο 33 παράγραφοι 4 και 5 εφαρμόζονται στη διαδικασία για μια τέτοια αίτηση.</w:t>
      </w:r>
    </w:p>
    <w:p w14:paraId="16451396" w14:textId="77777777" w:rsidR="004C59F5" w:rsidRPr="00E61BFF" w:rsidRDefault="004C59F5" w:rsidP="000B6E75">
      <w:pPr>
        <w:pStyle w:val="51Abs"/>
      </w:pPr>
      <w:r>
        <w:t>4) Η αίτηση μπορεί επίσης να υποβληθεί σε ανεξάρτητη διαδικασία που πραγματοποιείται μέσω αίτησης από τον ενδιαφερόμενο για την ίδια δημοσίευση και το αντίστροφο.»</w:t>
      </w:r>
    </w:p>
    <w:p w14:paraId="730D2ED1" w14:textId="77777777" w:rsidR="004C59F5" w:rsidRPr="00E61BFF" w:rsidRDefault="004C59F5" w:rsidP="00B47DC9">
      <w:pPr>
        <w:pStyle w:val="22NovAo2"/>
      </w:pPr>
      <w:r>
        <w:t xml:space="preserve">30. Στο άρθρο 34 παράγραφος 3, στην πρώτη πρόταση, η φράση </w:t>
      </w:r>
      <w:r>
        <w:rPr>
          <w:i w:val="0"/>
        </w:rPr>
        <w:t>«δεν είναι δυνατή για λόγους αποκλεισμού της τιμωρίας»</w:t>
      </w:r>
      <w:r>
        <w:t xml:space="preserve"> αντικαθίσταται από τη φράση </w:t>
      </w:r>
      <w:r>
        <w:rPr>
          <w:i w:val="0"/>
        </w:rPr>
        <w:t>«για λόγους που αποκλείουν την τιμωρία, όπως το ατιμώρητο του αδικήματος έχει παραγραφεί»</w:t>
      </w:r>
      <w:r>
        <w:t>· στη δεύτερη πρόταση, η λέξη «και η παράγραφος 3 είναι» αντικαθίστανται από τη λέξη «είναι».</w:t>
      </w:r>
    </w:p>
    <w:p w14:paraId="5BC9F326" w14:textId="77777777" w:rsidR="004C59F5" w:rsidRPr="00E61BFF" w:rsidRDefault="004C59F5" w:rsidP="00B47DC9">
      <w:pPr>
        <w:pStyle w:val="22NovAo2"/>
      </w:pPr>
      <w:r>
        <w:t>31. Στο άρθρο 36 παρ. 1 η αναφορά «άρθρο 33» αντικαθίσταται από την αναφορά «άρθρα 33 ή 33α».</w:t>
      </w:r>
    </w:p>
    <w:p w14:paraId="6D81CFF2" w14:textId="77777777" w:rsidR="004C59F5" w:rsidRPr="00E61BFF" w:rsidRDefault="004C59F5" w:rsidP="00B47DC9">
      <w:pPr>
        <w:pStyle w:val="22NovAo2"/>
      </w:pPr>
      <w:r>
        <w:t>32. Στο άρθρο 36 παράγραφος 2 μετά τη λέξη «αδίκημα ως προς το περιεχόμενο των μέσων», προστίθεται η φράση «ή σύμφωνα με το άρθρο 33α».</w:t>
      </w:r>
    </w:p>
    <w:p w14:paraId="28135A45" w14:textId="77777777" w:rsidR="004C59F5" w:rsidRPr="00E61BFF" w:rsidRDefault="004C59F5" w:rsidP="000B6E75">
      <w:pPr>
        <w:pStyle w:val="21NovAo1"/>
      </w:pPr>
      <w:r>
        <w:t>33. Μετά το άρθρο 36α προστίθεται το ακόλουθο άρθρο 36β, συμπεριλαμβανομένου του τίτλου:</w:t>
      </w:r>
    </w:p>
    <w:p w14:paraId="097ADD84" w14:textId="77777777" w:rsidR="004C59F5" w:rsidRPr="00E61BFF" w:rsidRDefault="004C59F5" w:rsidP="000B6E75">
      <w:pPr>
        <w:pStyle w:val="45UeberschrPara"/>
      </w:pPr>
      <w:r>
        <w:t>«Επιβολή δήμευσης, κατάσχεσης και δημοσίευσης δικαστικών αποφάσεων σε ιστότοπους εναντίον παρόχων υπηρεσιών</w:t>
      </w:r>
    </w:p>
    <w:p w14:paraId="4990B944" w14:textId="77777777" w:rsidR="004C59F5" w:rsidRPr="00E61BFF" w:rsidRDefault="004C59F5" w:rsidP="000B6E75">
      <w:pPr>
        <w:pStyle w:val="51Abs"/>
      </w:pPr>
      <w:r>
        <w:rPr>
          <w:rStyle w:val="991GldSymbol"/>
        </w:rPr>
        <w:t>Άρθρο 36β.</w:t>
      </w:r>
      <w:r>
        <w:t> Εάν ο ιδιοκτήτης των μέσων ενημέρωσης έχει την καταστατική του έδρα στο εξωτερικό ή ο ιδιοκτήτης των μέσων ενημέρωσης δεν μπορεί να εναχθεί για άλλους λόγους, το δικαστήριο, κατόπιν αιτήματος του εισαγγελέα ή του αιτούντος, διατάσσει τον πάροχο υπηρεσιών φιλοξενίας (άρθρο 16 του νόμου για το ηλεκτρονικό εμπόριο – ECG, Εφημερίδα Ομοσπονδιακού Δικαίου Ι αριθ. 152/2001) να διαγράψει τα σχετικά τμήματα της ιστοσελίδας (δήμευση ή κατάσχεση – άρθρο 33, 33α, 36) ή να δημοσιεύσει τα μέρη της απόφασης (άρθρο 34).»</w:t>
      </w:r>
    </w:p>
    <w:p w14:paraId="502034E7" w14:textId="77777777" w:rsidR="004C59F5" w:rsidRPr="00E61BFF" w:rsidRDefault="004C59F5" w:rsidP="00B47DC9">
      <w:pPr>
        <w:pStyle w:val="22NovAo2"/>
      </w:pPr>
      <w:r>
        <w:t xml:space="preserve">34. Στο άρθρο 41 παράγραφος 1, μετά το απόσπασμα </w:t>
      </w:r>
      <w:r>
        <w:rPr>
          <w:i w:val="0"/>
        </w:rPr>
        <w:t>«33(2)»</w:t>
      </w:r>
      <w:r>
        <w:t>, το απόσπασμα «</w:t>
      </w:r>
      <w:r>
        <w:rPr>
          <w:i w:val="0"/>
        </w:rPr>
        <w:t>, 33a(3)»</w:t>
      </w:r>
      <w:r>
        <w:t>· εισάγεται σε παρένθεση.</w:t>
      </w:r>
    </w:p>
    <w:p w14:paraId="7E9A5B87" w14:textId="77777777" w:rsidR="004C59F5" w:rsidRPr="00E61BFF" w:rsidRDefault="004C59F5" w:rsidP="000B6E75">
      <w:pPr>
        <w:pStyle w:val="21NovAo1"/>
      </w:pPr>
      <w:r>
        <w:t>35. Το άρθρο 41(5) διατυπώνεται ως εξής:</w:t>
      </w:r>
    </w:p>
    <w:p w14:paraId="02B6538A" w14:textId="77777777" w:rsidR="004C59F5" w:rsidRPr="00E61BFF" w:rsidRDefault="004C59F5" w:rsidP="000B6E75">
      <w:pPr>
        <w:pStyle w:val="51Abs"/>
      </w:pPr>
      <w:r>
        <w:t>«5) Το άρθρο 71 του ΚΠΔ εφαρμόζεται σε διαδικασίες που βασίζονται σε ιδιωτική κατηγορία· ομοίως, οι κανονισμοί που έχουν θεσπιστεί εκεί για την ανεξάρτητη διαδικασία για εντολές ιδιοκτησίας εφαρμόζονται, τηρουμένων των αναλογιών, στην ανεξάρτητη διαδικασία σύμφωνα με το άρθρο 8α, το άρθρο 33 παράγραφος 2, το άρθρο 33α παράγραφος 3 και το άρθρο 34 παράγραφος 3. Το δικαστήριο πρέπει να εξετάσει το κατηγορητήριο ή την αίτηση για έναρξη ανεξάρτητης διαδικασίας σύμφωνα με το άρθρο 485 ΚΠΔ, σύμφωνα με το οποίο πρέπει να αποφασίσει στις υποθέσεις του άρθρου 485 παρ. 1 σημείο 3 σε σχέση με το άρθρο 212 σημείο 1 και 2 ΚΠΔ μετά από δημόσια προφορική ακρόαση, εκτός εάν ο ιδιώτης που υποκαθιστά την εισαγγελική αρχή ή ο αιτών παραιτείται ρητά από αυτό.»</w:t>
      </w:r>
    </w:p>
    <w:p w14:paraId="27AF9499" w14:textId="77777777" w:rsidR="004C59F5" w:rsidRPr="00E61BFF" w:rsidRDefault="004C59F5" w:rsidP="000B6E75">
      <w:pPr>
        <w:pStyle w:val="21NovAo1"/>
      </w:pPr>
      <w:r>
        <w:t xml:space="preserve">36. Στο άρθρο 41, στην τρέχουσα παράγραφο 7 αποδίδεται η ονομασία πώλησης </w:t>
      </w:r>
      <w:r>
        <w:rPr>
          <w:i w:val="0"/>
        </w:rPr>
        <w:t>«(8)»</w:t>
      </w:r>
      <w:r>
        <w:t xml:space="preserve"> και ταξινομείται σύμφωνα με την παράγραφο 7· Η ενότητα 7 διατυπώνεται ως εξής:</w:t>
      </w:r>
    </w:p>
    <w:p w14:paraId="15E485A8" w14:textId="77777777" w:rsidR="004C59F5" w:rsidRPr="00E61BFF" w:rsidRDefault="004C59F5" w:rsidP="000B6E75">
      <w:pPr>
        <w:pStyle w:val="51Abs"/>
      </w:pPr>
      <w:r>
        <w:t xml:space="preserve">«7) Στη διαδικασία που αναφέρεται στην υποενότητα 1, εάν ζητείται η επιβολή της κατάσχεσης (άρθρο 33) ή η δημοσίευση της απόφασης (άρθρο 34) σύμφωνα με το άρθρο 36β, ο πάροχος υπηρεσιών φιλοξενίας καλείται στην κύρια ακρόαση, αλλά η μη εμφάνισή του δεν εμποδίζει τη διαδικασία, την απόφαση και την απόφαση επί της αίτησης σύμφωνα με το άρθρο 36β. Ο πάροχος υπηρεσιών φιλοξενίας έχει το δικαίωμα να γνωμοδοτεί σχετικά με τις απαιτήσεις του άρθρου 36β. Εάν στον πάροχο υπηρεσιών φιλοξενίας επιβληθεί η εκτέλεση της κατάσχεσης (άρθρο 36) σύμφωνα με το άρθρο 36β, ή εάν η εκτέλεση της κατάσχεσης ή η δημοσίευση της απόφασης ζητηθεί και διαταχθεί μόνο μετά την οριστική απόφαση επί της κατάσχεσης, η διαταγή κατάσχεσης ή η απόφαση κατάσχεσης ή δημοσίευσης της απόφασης και η </w:t>
      </w:r>
      <w:r>
        <w:lastRenderedPageBreak/>
        <w:t>διαταγή εκτέλεσης της απόφασης σύμφωνα με το άρθρο 36β κοινοποιούνται στον πάροχο υπηρεσιών φιλοξενίας.»</w:t>
      </w:r>
    </w:p>
    <w:p w14:paraId="7AE840DD" w14:textId="77777777" w:rsidR="004C59F5" w:rsidRPr="00E61BFF" w:rsidRDefault="004C59F5" w:rsidP="000B6E75">
      <w:pPr>
        <w:pStyle w:val="21NovAo1"/>
      </w:pPr>
      <w:r>
        <w:t>37. Στο άρθρο 41, η ακόλουθη παράγραφος 9 προστίθεται μετά την παράγραφο 8:</w:t>
      </w:r>
    </w:p>
    <w:p w14:paraId="3B0D5F63" w14:textId="77777777" w:rsidR="004C59F5" w:rsidRPr="00E61BFF" w:rsidRDefault="004C59F5" w:rsidP="000B6E75">
      <w:pPr>
        <w:pStyle w:val="51Abs"/>
      </w:pPr>
      <w:r>
        <w:t>«9) Η υποστήριξη ψυχοκοινωνικών και νομικών διαδικασιών (άρθρο 66β παράγραφος 2 ΚΠΔ) διατίθεται κατόπιν αίτησης στα άτομα που αναφέρονται στο άρθρο 66β παράγραφος 1 ΚΠΔ υπό τους όρους που αναφέρονται εκεί, επίσης για ανεξάρτητες αιτήσεις σύμφωνα με το άρθρο 8α, το άρθρο 33 παρ. 2 και το άρθρο 34 παρ. 3.»</w:t>
      </w:r>
    </w:p>
    <w:p w14:paraId="0B11319C" w14:textId="77777777" w:rsidR="004C59F5" w:rsidRPr="00E61BFF" w:rsidRDefault="004C59F5" w:rsidP="00B47DC9">
      <w:pPr>
        <w:pStyle w:val="22NovAo2"/>
      </w:pPr>
      <w:r>
        <w:t>38. Στο άρθρο 42 πριν από τη φράση «κολάσιμο αδίκημα» εισάγεται η λέξη «νομικά».</w:t>
      </w:r>
    </w:p>
    <w:p w14:paraId="2DA8DC94" w14:textId="77777777" w:rsidR="004C59F5" w:rsidRPr="00E61BFF" w:rsidRDefault="004C59F5" w:rsidP="00B47DC9">
      <w:pPr>
        <w:pStyle w:val="22NovAo2"/>
      </w:pPr>
      <w:r>
        <w:t xml:space="preserve">39. Στο άρθρο 50 παράγραφος 1, οι λέξεις </w:t>
      </w:r>
      <w:r>
        <w:rPr>
          <w:i w:val="0"/>
        </w:rPr>
        <w:t>«φορέας εκμετάλλευσης μέσου»</w:t>
      </w:r>
      <w:r>
        <w:t xml:space="preserve"> αντικαθίστανται από τις λέξεις </w:t>
      </w:r>
      <w:r>
        <w:rPr>
          <w:i w:val="0"/>
        </w:rPr>
        <w:t>«κάτοχος μέσου»</w:t>
      </w:r>
      <w:r>
        <w:t>.</w:t>
      </w:r>
    </w:p>
    <w:p w14:paraId="4222E85E" w14:textId="77777777" w:rsidR="004C59F5" w:rsidRPr="00E61BFF" w:rsidRDefault="004C59F5" w:rsidP="000B6E75">
      <w:pPr>
        <w:pStyle w:val="21NovAo1"/>
      </w:pPr>
      <w:r>
        <w:t>40. Στο άρθρο 55 προστίθεται η ακόλουθη παράγραφος 11:</w:t>
      </w:r>
    </w:p>
    <w:p w14:paraId="50392661" w14:textId="77777777" w:rsidR="004C59F5" w:rsidRPr="00E61BFF" w:rsidRDefault="004C59F5" w:rsidP="000B6E75">
      <w:pPr>
        <w:pStyle w:val="51Abs"/>
      </w:pPr>
      <w:r>
        <w:t>Οι ονομασίες και οι επικεφαλίδες της πρώτης, της δεύτερης, της τρίτης και της τέταρτης υποενότητας του άρθρου 3, του άρθρου 6, παράγραφος 1, του άρθρου 7, παράγραφος 1, του άρθρου 7α, παράγραφος 1, στοιχείο 1α , του άρθρου 7β, παράγραφος 1, του άρθρου 7γ, παράγραφος 1, του άρθρου 8, παράγραφοι 1, 2 και 4, του άρθρου 8α, παράγραφοι 2 και 4, του άρθρου 10, παράγραφοι 1 και 3, του άρθρου 11, παράγραφοι 1 και 10, του άρθρου 13, παράγραφος 7, του άρθρου 14, παράγραφοι 2 και 3, του άρθρου 15, παράγραφοι 1 και 3, του άρθρου 16 παράγραφος 1, του άρθρου 20, παράγραφος 2, του άρθρου 30, του άρθρου 32, του άρθρου 33, παράγραφος 2, του άρθρου 33α, του άρθρου 34, παράγραφος 3, του άρθρου 36, παράγραφοι 1 και 2, του άρθρου 36β, του άρθρου 41 παράγραφος 1, του άρθρου 41 παράγραφοι 1, 5, 7, 8 και 9, του άρθρου 42 και του άρθρου 50 παράγραφος 1, όπως τροποποιήθηκαν με την Εφημερίδα Ομοσπονδιακού Δικαίου Ι αριθ. 148/2020, τίθενται σε ισχύ την 1η Ιανουαρίου 2021· ταυτόχρονα, το άρθρο 33 παρ. 3 παύει να ισχύει.»</w:t>
      </w:r>
    </w:p>
    <w:p w14:paraId="3B8234F9" w14:textId="77777777" w:rsidR="004C59F5" w:rsidRPr="00E61BFF" w:rsidRDefault="004C59F5" w:rsidP="000B6E75">
      <w:pPr>
        <w:pStyle w:val="21NovAo1"/>
      </w:pPr>
      <w:r>
        <w:t>41. Στο άρθρο 56 προστίθεται η ακόλουθη παράγραφος 3:</w:t>
      </w:r>
    </w:p>
    <w:p w14:paraId="0D371737" w14:textId="77777777" w:rsidR="004C59F5" w:rsidRPr="00E61BFF" w:rsidRDefault="004C59F5" w:rsidP="00B47DC9">
      <w:pPr>
        <w:pStyle w:val="51Abs"/>
      </w:pPr>
      <w:r>
        <w:t>«3) Άρθρο 6 παράγραφος 1, άρθρο 7 παράγραφος 1, άρθρο 7α παράγραφος 1, άρθρο 7 παράγραφος 1 στοιχείο α) και παράγραφος 2, άρθρο 7β παράγραφος 1, άρθρο 7γ παράγραφος 1, άρθρο 8 παράγραφοι 1, 2 και 4, άρθρο 8α παράγραφοι 2 και 4, άρθρο 10 παράγραφοι 1 και 3, άρθρο 11 παράγραφος 1 και 10, άρθρο 13 παράγραφος 7, άρθρο 14 παράγραφοι 2 και 3, άρθρο 15 παράγραφοι 1 και 3, άρθρο 16 παράγραφος 1, άρθρο 20 παράγραφος 2, άρθρο 30, άρθρο 32, άρθρο 33 παράγραφος 2, άρθρο 33α, άρθρο 34 παράγραφος 3, άρθρο 36 παράγραφοι 1 και 2, άρθρο 36β, άρθρο 41 παράγραφοι 1, 5, 7, 8 και 9, άρθρο 42 και 50 παράγραφος 1, όπως τροποποιήθηκαν από την Εφημερίδα Ομοσπονδιακού Δικαίου I αριθ. 148/2020, ισχύουν μόνο για τις ανακοινώσεις ή τις πράξεις που κοινοποιούνται μετά την έναρξη ισχύος στην Εφημερίδα Ομοσπονδιακού Δικαίου Ι αριθ. 148/2020.»</w:t>
      </w:r>
    </w:p>
    <w:p w14:paraId="15825BE5" w14:textId="77777777" w:rsidR="004C59F5" w:rsidRPr="00E61BFF" w:rsidRDefault="004C59F5" w:rsidP="00B47DC9">
      <w:pPr>
        <w:pStyle w:val="21NovAo1"/>
      </w:pPr>
      <w:r>
        <w:t xml:space="preserve">42. Το έως τώρα άρθρο 57 λαμβάνει την ονομασία </w:t>
      </w:r>
      <w:r>
        <w:rPr>
          <w:b/>
          <w:bCs/>
        </w:rPr>
        <w:t>«άρθρο 58.»</w:t>
      </w:r>
      <w:r>
        <w:t>· Μετά το άρθρο 56 παρεμβάλλεται το ακόλουθο άρθρο 57, συμπεριλαμβανομένου του τίτλου του:</w:t>
      </w:r>
    </w:p>
    <w:p w14:paraId="450C1B89" w14:textId="77777777" w:rsidR="004C59F5" w:rsidRPr="00E61BFF" w:rsidRDefault="004C59F5" w:rsidP="000B6E75">
      <w:pPr>
        <w:pStyle w:val="45UeberschrPara"/>
      </w:pPr>
      <w:r>
        <w:t>«Εφαρμογή οδηγιών της Ευρωπαϊκής Ένωσης</w:t>
      </w:r>
    </w:p>
    <w:p w14:paraId="7C892B36" w14:textId="77777777" w:rsidR="004C59F5" w:rsidRPr="00E61BFF" w:rsidRDefault="004C59F5" w:rsidP="000B6E75">
      <w:pPr>
        <w:pStyle w:val="51Abs"/>
      </w:pPr>
      <w:r>
        <w:rPr>
          <w:rStyle w:val="991GldSymbol"/>
        </w:rPr>
        <w:t>Άρθρο 57.</w:t>
      </w:r>
      <w:r>
        <w:t> Τα άρθρα 33, 33α, 36, 36α και 36β αφορούν στην εφαρμογή</w:t>
      </w:r>
    </w:p>
    <w:p w14:paraId="354BABA8" w14:textId="77777777" w:rsidR="004C59F5" w:rsidRPr="00E61BFF" w:rsidRDefault="004C59F5" w:rsidP="000B6E75">
      <w:pPr>
        <w:pStyle w:val="52Aufzaehle1Ziffer"/>
      </w:pPr>
      <w:r>
        <w:tab/>
        <w:t>1.</w:t>
      </w:r>
      <w:r>
        <w:tab/>
        <w:t>του άρθρου 21 της οδηγίας (ΕΕ) 2017/541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 της 31.3.2017, σ. 6, καθώς και</w:t>
      </w:r>
    </w:p>
    <w:p w14:paraId="33051B62" w14:textId="77777777" w:rsidR="004C59F5" w:rsidRPr="00E61BFF" w:rsidRDefault="004C59F5" w:rsidP="000B6E75">
      <w:pPr>
        <w:pStyle w:val="52Aufzaehle1Ziffer"/>
      </w:pPr>
      <w:r>
        <w:tab/>
        <w:t>2.</w:t>
      </w:r>
      <w:r>
        <w:tab/>
        <w:t>του άρθρου 25 της οδηγίας 2011/93/EΕ σχετικά με την καταπολέμηση της σεξουαλικής κακοποίησης και της σεξουαλικής εκμετάλλευσης παιδιών και της παιδικής πορνογραφίας και την αντικατάσταση της απόφασης-πλαίσιο 2004/68/ΔΕΥ του Συμβουλίου, ΕΕ L 335 της 17.12.2011, σ. 1.»</w:t>
      </w:r>
    </w:p>
    <w:p w14:paraId="65F83FCA" w14:textId="77777777" w:rsidR="004C59F5" w:rsidRPr="00E61BFF" w:rsidRDefault="004C59F5" w:rsidP="000B6E75">
      <w:pPr>
        <w:pStyle w:val="41UeberschrG1"/>
      </w:pPr>
      <w:r>
        <w:t>Άρθρο 10</w:t>
      </w:r>
    </w:p>
    <w:p w14:paraId="7FB40344" w14:textId="77777777" w:rsidR="004C59F5" w:rsidRPr="00E61BFF" w:rsidRDefault="004C59F5" w:rsidP="000B6E75">
      <w:pPr>
        <w:pStyle w:val="43UeberschrG2"/>
      </w:pPr>
      <w:r>
        <w:t>Τροποποίηση του Κώδικα Ποινικής Δικονομίας 1975</w:t>
      </w:r>
    </w:p>
    <w:p w14:paraId="37EE5492" w14:textId="77777777" w:rsidR="004C59F5" w:rsidRPr="00E61BFF" w:rsidRDefault="004C59F5" w:rsidP="000B6E75">
      <w:pPr>
        <w:pStyle w:val="12PromKlEinlSatz"/>
      </w:pPr>
      <w:r>
        <w:t>Ο Κώδικας Ποινικής Δικονομίας [Strafprozeßordnung – StPO] 1975, Εφημερίδα Ομοσπονδιακού Δικαίου Ι αριθ. 631/1975, όπως τροποποιήθηκε τελευταία με τον ομοσπονδιακό νόμο που δημοσιεύθηκε στην Εφημερίδα Ομοσπονδιακού Δικαίου Ι αριθ. 24/2020, τροποποιείται ως εξής:</w:t>
      </w:r>
    </w:p>
    <w:p w14:paraId="4D2F2B19" w14:textId="77777777" w:rsidR="004C59F5" w:rsidRPr="00E61BFF" w:rsidRDefault="004C59F5" w:rsidP="000B6E75">
      <w:pPr>
        <w:pStyle w:val="21NovAo1"/>
      </w:pPr>
      <w:r>
        <w:t>1. Στον πίνακα περιεχομένων παρεμβάλλεται η ακόλουθη καταχώριση μετά την καταχώριση για την παράγραφο 66α:</w:t>
      </w:r>
    </w:p>
    <w:p w14:paraId="2595318E" w14:textId="77777777" w:rsidR="004C59F5" w:rsidRPr="00E61BFF" w:rsidRDefault="005E1FCD" w:rsidP="005E1FCD">
      <w:pPr>
        <w:pStyle w:val="32InhaltEintragEinzug"/>
      </w:pPr>
      <w:r>
        <w:tab/>
        <w:t>«Άρθρο 66β Υποστήριξη κατά τη δικαστική διαδικασία»</w:t>
      </w:r>
    </w:p>
    <w:p w14:paraId="679AD566" w14:textId="77777777" w:rsidR="004C59F5" w:rsidRPr="00E61BFF" w:rsidRDefault="004C59F5" w:rsidP="005E1FCD">
      <w:pPr>
        <w:pStyle w:val="22NovAo2"/>
      </w:pPr>
      <w:r>
        <w:lastRenderedPageBreak/>
        <w:t xml:space="preserve">2. Στο άρθρο 30 παράγραφος 1 σημείο 3α, η λέξη </w:t>
      </w:r>
      <w:r>
        <w:rPr>
          <w:i w:val="0"/>
        </w:rPr>
        <w:t>«συνεχής»</w:t>
      </w:r>
      <w:r>
        <w:t xml:space="preserve"> αντικαθίσταται από τη λέξη </w:t>
      </w:r>
      <w:r>
        <w:rPr>
          <w:i w:val="0"/>
        </w:rPr>
        <w:t>«συνεχής»</w:t>
      </w:r>
      <w:r>
        <w:t>.</w:t>
      </w:r>
    </w:p>
    <w:p w14:paraId="39F98877" w14:textId="77777777" w:rsidR="004C59F5" w:rsidRPr="00E61BFF" w:rsidRDefault="004C59F5" w:rsidP="000B6E75">
      <w:pPr>
        <w:pStyle w:val="21NovAo1"/>
      </w:pPr>
      <w:r>
        <w:t>3. Στο άρθρο 31 παράγραφος 1, η τελεία στο τέλος του σημείου 5 αντικαθίσταται από κόμμα και προστίθεται το ακόλουθο σημείο 6:</w:t>
      </w:r>
    </w:p>
    <w:p w14:paraId="34F511FA" w14:textId="77777777" w:rsidR="004C59F5" w:rsidRPr="00E61BFF" w:rsidRDefault="005E1FCD" w:rsidP="005E1FCD">
      <w:pPr>
        <w:pStyle w:val="52Aufzaehle1Ziffer"/>
      </w:pPr>
      <w:r>
        <w:tab/>
        <w:t>«6.</w:t>
      </w:r>
      <w:r>
        <w:tab/>
        <w:t>τη διαδικασία για την έκδοση απόφασης επί των αιτήσεων για την έκδοση διαταγής έρευνας του κατηγορουμένου (άρθρο 71, παράγραφος 1, δεύτερη πρόταση).»</w:t>
      </w:r>
    </w:p>
    <w:p w14:paraId="38BF6801" w14:textId="77777777" w:rsidR="004C59F5" w:rsidRPr="00E61BFF" w:rsidRDefault="004C59F5" w:rsidP="000B6E75">
      <w:pPr>
        <w:pStyle w:val="21NovAo1"/>
      </w:pPr>
      <w:r>
        <w:t xml:space="preserve">4. Στο τρέχον άρθρο 49 αποδίδεται η ονομασία της παραγράφου </w:t>
      </w:r>
      <w:r>
        <w:rPr>
          <w:i w:val="0"/>
        </w:rPr>
        <w:t>«(1)»</w:t>
      </w:r>
      <w:r>
        <w:t xml:space="preserve"> και προστίθεται η ακόλουθη παράγραφος 2:</w:t>
      </w:r>
    </w:p>
    <w:p w14:paraId="2205D372" w14:textId="77777777" w:rsidR="004C59F5" w:rsidRPr="00E61BFF" w:rsidRDefault="004C59F5" w:rsidP="000B6E75">
      <w:pPr>
        <w:pStyle w:val="51Abs"/>
      </w:pPr>
      <w:r>
        <w:t>Ο κατηγορούμενος έχει το δικαίωμα να παρέχει πρόσβαση στον φάκελο (άρθρο 68) σε θύματα, ιδιώτες ή ιδιώτες που υποκαθιστούν την εισαγγελική αρχή μόνο στο μέτρο που είναι αναγκαίο για τη διασφάλιση των συμφερόντων τους.»</w:t>
      </w:r>
    </w:p>
    <w:p w14:paraId="548D712A" w14:textId="77777777" w:rsidR="004C59F5" w:rsidRPr="00E61BFF" w:rsidRDefault="004C59F5" w:rsidP="001B6B96">
      <w:pPr>
        <w:pStyle w:val="22NovAo2"/>
      </w:pPr>
      <w:r>
        <w:t>5. Το άρθρο 66 παράγραφοι 2 και 4 απαλείφεται.</w:t>
      </w:r>
    </w:p>
    <w:p w14:paraId="513B2D4D" w14:textId="77777777" w:rsidR="004C59F5" w:rsidRPr="00E61BFF" w:rsidRDefault="004C59F5" w:rsidP="000B6E75">
      <w:pPr>
        <w:pStyle w:val="21NovAo1"/>
      </w:pPr>
      <w:r>
        <w:t>6. Μετά την παράγραφο 66α προστίθεται η ακόλουθη παράγραφος 66β, συμπεριλαμβανομένου του τίτλου:</w:t>
      </w:r>
    </w:p>
    <w:p w14:paraId="6645C307" w14:textId="77777777" w:rsidR="004C59F5" w:rsidRPr="00E61BFF" w:rsidRDefault="004C59F5" w:rsidP="000B6E75">
      <w:pPr>
        <w:pStyle w:val="45UeberschrPara"/>
      </w:pPr>
      <w:r>
        <w:t>«Υποστήριξη κατά τη δικαστική διαδικασία</w:t>
      </w:r>
    </w:p>
    <w:p w14:paraId="1D57DE81" w14:textId="77777777" w:rsidR="004C59F5" w:rsidRPr="00E61BFF" w:rsidRDefault="004C59F5" w:rsidP="000B6E75">
      <w:pPr>
        <w:pStyle w:val="51Abs"/>
      </w:pPr>
      <w:r>
        <w:rPr>
          <w:rStyle w:val="991GldSymbol"/>
        </w:rPr>
        <w:t>Άρθρο 66β.</w:t>
      </w:r>
      <w:r>
        <w:t xml:space="preserve"> 1) Κατόπιν αιτήματος των παρακάτω,</w:t>
      </w:r>
    </w:p>
    <w:p w14:paraId="4EFFB11C" w14:textId="77777777" w:rsidR="004C59F5" w:rsidRPr="00E61BFF" w:rsidRDefault="004C59F5" w:rsidP="000B6E75">
      <w:pPr>
        <w:pStyle w:val="52Aufzaehle2Lit"/>
      </w:pPr>
      <w:r>
        <w:tab/>
        <w:t>α)</w:t>
      </w:r>
      <w:r>
        <w:tab/>
        <w:t>θύματα κατά την έννοια του άρθρου 65 σημείο 1 στοιχείο α) ή β),</w:t>
      </w:r>
    </w:p>
    <w:p w14:paraId="423A6C7E" w14:textId="77777777" w:rsidR="004C59F5" w:rsidRPr="00E61BFF" w:rsidRDefault="004C59F5" w:rsidP="000B6E75">
      <w:pPr>
        <w:pStyle w:val="52Aufzaehle2Lit"/>
      </w:pPr>
      <w:r>
        <w:tab/>
        <w:t>β)</w:t>
      </w:r>
      <w:r>
        <w:tab/>
        <w:t>θύματα (άρθρο 65 παράγραφος 1) τρομοκρατικών ενεργειών (άρθρο 278γ ΠΚ),</w:t>
      </w:r>
    </w:p>
    <w:p w14:paraId="5660F823" w14:textId="77777777" w:rsidR="004C59F5" w:rsidRPr="00E61BFF" w:rsidRDefault="004C59F5" w:rsidP="000B6E75">
      <w:pPr>
        <w:pStyle w:val="52Aufzaehle2Lit"/>
      </w:pPr>
      <w:r>
        <w:tab/>
        <w:t>γ)</w:t>
      </w:r>
      <w:r>
        <w:tab/>
        <w:t>θύματα (άρθρο 65 σημείο 1) επίμονης αναζήτησης (άρθρο 107α ΠΚ), συνεχούς παρενόχλησης μέσω συστήματος τηλεπικοινωνιών ή υπολογιστή (άρθρο 107γ ΠΚ) και ρητορικής μίσους (άρθρο 283 ΠΚ),</w:t>
      </w:r>
    </w:p>
    <w:p w14:paraId="611C32CD" w14:textId="77777777" w:rsidR="004C59F5" w:rsidRPr="00E61BFF" w:rsidRDefault="004C59F5" w:rsidP="000B6E75">
      <w:pPr>
        <w:pStyle w:val="52Aufzaehle2Lit"/>
      </w:pPr>
      <w:r>
        <w:tab/>
        <w:t>δ)</w:t>
      </w:r>
      <w:r>
        <w:tab/>
        <w:t>Θύματα (άρθρο 65 παράγραφος 1 του ποινικού κώδικα), η κατηγορία για ποινικό αδίκημα (άρθρο 111 του ΠΚ) που έχει ήδη απορριφθεί (άρθρο 113 του Ποινικού Κώδικα), η προσβολή (άρθρο 115 του ΠΚ) και η δυσφήμιση (άρθρο 297 του ΠΚ), όταν μπορεί να θεωρηθεί, βάσει ορισμένων αποδεικτικών στοιχείων, ότι μια τέτοια πράξη διαπράχθηκε μέσω τηλεπικοινωνιών ή με τη χρήση συστήματος υπολογιστή· και</w:t>
      </w:r>
    </w:p>
    <w:p w14:paraId="11D5C562" w14:textId="77777777" w:rsidR="004C59F5" w:rsidRPr="00E61BFF" w:rsidRDefault="004C59F5" w:rsidP="000B6E75">
      <w:pPr>
        <w:pStyle w:val="52Aufzaehle2Lit"/>
      </w:pPr>
      <w:r>
        <w:tab/>
        <w:t>ε)</w:t>
      </w:r>
      <w:r>
        <w:tab/>
        <w:t>ανήλικοι που έχουν βιώσει βία στον στενό οικογενειακό κύκλο (ενδοοικογενειακή βία, βία κατά των παιδιών),</w:t>
      </w:r>
    </w:p>
    <w:p w14:paraId="5101EB16" w14:textId="77777777" w:rsidR="004C59F5" w:rsidRPr="00E61BFF" w:rsidRDefault="004C59F5" w:rsidP="001B6B96">
      <w:pPr>
        <w:pStyle w:val="58Schlussteile0Abs"/>
      </w:pPr>
      <w:r>
        <w:t>να παρέχουν ψυχοκοινωνική και νομική υποστήριξη στις διαδικασίες στον βαθμό που απαιτείται για τη διασφάλιση των διαδικαστικών τους δικαιωμάτων, λαμβάνοντας ιδιαιτέρως υπόψη την προσωπική τους ανησυχία. Τα θύματα των οποίων η σεξουαλική ακεραιότητα θα μπορούσε να έχει παραβιαστεί και τα οποία δεν έχουν φτάσει ακόμη την ηλικία των δεκατεσσάρων ετών πρέπει σε κάθε περίπτωση να λάβουν ψυχοκοινωνική υποστήριξη.</w:t>
      </w:r>
    </w:p>
    <w:p w14:paraId="51A48475" w14:textId="77777777" w:rsidR="004C59F5" w:rsidRPr="00E61BFF" w:rsidRDefault="004C59F5" w:rsidP="000B6E75">
      <w:pPr>
        <w:pStyle w:val="51Abs"/>
      </w:pPr>
      <w:r>
        <w:t>2) Η ψυχοκοινωνική υποστήριξη περιλαμβάνει την προετοιμασία εκείνων που επηρεάζονται από τη διαδικασία και τις συναφείς συναισθηματικές πιέσεις, καθώς και υποστήριξη για ανακρίσεις στην έρευνα και τις κύριες διαδικασίες, υποστήριξη νομικής διαδικασίας, νομικές συμβουλές και εκπροσώπηση από δικηγόρο.</w:t>
      </w:r>
    </w:p>
    <w:p w14:paraId="2F7A51B3" w14:textId="77777777" w:rsidR="004C59F5" w:rsidRPr="00E61BFF" w:rsidRDefault="004C59F5" w:rsidP="000B6E75">
      <w:pPr>
        <w:pStyle w:val="51Abs"/>
      </w:pPr>
      <w:r>
        <w:t>(3) Ο Ομοσπονδιακός Υπουργός Δικαιοσύνης εξουσιοδοτείται να χορηγεί στα πρόσωπα που αναφέρονται στην παράγραφο 1, μετά από εξέταση των νομικών απαιτήσεων, περαιτέρω λεπτομερείς διατάξεις σχετικά με τους όρους ανάθεσης των εν λόγω ιδρυμάτων και, σε συμφωνία με τον Ομοσπονδιακό Υπουργό Γυναικών και Ένταξης στην Ομοσπονδιακή Καγκελαρία και τον Ομοσπονδιακό Υπουργό Εργασίας, Οικογένειας και Νεολαίας, σχετικά με τα πρότυπα ποιότητας της παρακολούθησης των διαδικασιών, ιδίως όσον αφορά την κατάρτιση και την επιμόρφωση των συμμετεχόντων στη διαδικασία.»</w:t>
      </w:r>
    </w:p>
    <w:p w14:paraId="029D07AA" w14:textId="77777777" w:rsidR="004C59F5" w:rsidRPr="00E61BFF" w:rsidRDefault="004C59F5" w:rsidP="001B6B96">
      <w:pPr>
        <w:pStyle w:val="22NovAo2"/>
      </w:pPr>
      <w:r>
        <w:t>7. Στο άρθρο 67 παρ. 7 και στο άρθρο 381 παρ. 1 σημείο 9 η παρένθεση «(άρθρο 66 παρ. 2)» αντικαθίσταται από την παρένθεση «(άρθρο 66β)».</w:t>
      </w:r>
    </w:p>
    <w:p w14:paraId="5D3BAABF" w14:textId="77777777" w:rsidR="004C59F5" w:rsidRPr="00E61BFF" w:rsidRDefault="004C59F5" w:rsidP="001B6B96">
      <w:pPr>
        <w:pStyle w:val="22NovAo2"/>
      </w:pPr>
      <w:r>
        <w:t xml:space="preserve">8. Στο άρθρο 70 παράγραφος 2, η φράση </w:t>
      </w:r>
      <w:r>
        <w:rPr>
          <w:i w:val="0"/>
        </w:rPr>
        <w:t>«άρθρο 65 παράγραφος 1 στοιχείο α) ή β) και τα θύματα (άρθρο 65 παράγραφος 1) εγκλημάτων τρομοκρατίας (άρθρο 278γ του ΠΚ)»</w:t>
      </w:r>
      <w:r>
        <w:t xml:space="preserve"> αντικαθίσταται από τη φράση </w:t>
      </w:r>
      <w:r>
        <w:rPr>
          <w:i w:val="0"/>
        </w:rPr>
        <w:t>«άρθρο 66β παράγραφος 1 στοιχεία α) έως δ)»</w:t>
      </w:r>
      <w:r>
        <w:t>.</w:t>
      </w:r>
    </w:p>
    <w:p w14:paraId="55123EC0" w14:textId="77777777" w:rsidR="004C59F5" w:rsidRPr="00E61BFF" w:rsidRDefault="004C59F5" w:rsidP="000B6E75">
      <w:pPr>
        <w:pStyle w:val="21NovAo1"/>
      </w:pPr>
      <w:r>
        <w:t>9. Το άρθρο 71 διατυπώνεται ως εξής:</w:t>
      </w:r>
    </w:p>
    <w:p w14:paraId="37FE22AB" w14:textId="77777777" w:rsidR="004C59F5" w:rsidRPr="00E61BFF" w:rsidRDefault="004C59F5" w:rsidP="000B6E75">
      <w:pPr>
        <w:pStyle w:val="51Abs"/>
      </w:pPr>
      <w:r>
        <w:t>«</w:t>
      </w:r>
      <w:r>
        <w:rPr>
          <w:rStyle w:val="991GldSymbol"/>
        </w:rPr>
        <w:t>Άρθρο 71.</w:t>
      </w:r>
      <w:r>
        <w:t xml:space="preserve"> (1) Αξιόποινες πράξεις των οποίων η διάπραξη πρέπει να διώκεται μόνο κατόπιν αιτήματος του θύματος, είναι ο νόμος. Προκειμένου να διερευνηθεί ο κατηγορούμενος για αξιόποινη πράξη βάσει ποινικού αδικήματος (άρθρο 111 του ΠΚ), κατηγορίας για αδίκημα που έχει ήδη απορριφθεί (άρθρο 113 του ΠΚ) ή προσβολής (άρθρο 115 του ΠΚ) που διαπράχθηκε μέσω τηλεπικοινωνιών ή με τη χρήση συστήματος υπολογιστή, το θύμα μπορεί να υποβάλει αίτηση στο δικαστήριο (άρθρο 31 παράγραφος 1 </w:t>
      </w:r>
      <w:r>
        <w:lastRenderedPageBreak/>
        <w:t>σημείο 6) για εντολές σύμφωνα με το άρθρο 76α ή το άρθρο 135 παράγραφος 2 σημείο 2, οι οποίες πρέπει να πληρούν τις απαιτήσεις της πρότασης διεξαγωγής αποδείξεων (άρθρο 55). Το θύμα δικαιούται να υποβάλει αίτηση, εκτός εάν είναι προφανής, στην αιτιολογική έκθεση. Το δικαστήριο καλείται να αποφανθεί επί της εντολής του αιτήματος περί διεξαγωγής αποδείξεων σύμφωνα με τις σχετικές διατάξεις. Η τελευταία περίοδος του άρθρου 104 παράγραφος 1 και η δεύτερη πρόταση του άρθρου 210 παράγραφος 3 εφαρμόζονται τηρουμένων των αναλογιών.</w:t>
      </w:r>
    </w:p>
    <w:p w14:paraId="2B84C893" w14:textId="77777777" w:rsidR="004C59F5" w:rsidRPr="00E61BFF" w:rsidRDefault="004C59F5" w:rsidP="000B6E75">
      <w:pPr>
        <w:pStyle w:val="51Abs"/>
      </w:pPr>
      <w:r>
        <w:t>(2) Σε περίπτωση έρευνας, το δικαστήριο κοινοποιεί αμέσως στον κατηγορούμενο την απόφαση που αναφέρεται στην παράγραφο 1 και τον ενημερώνει για το δικαίωμά του να υποβάλει ένσταση (άρθρο 87). Μόλις η απόφαση καταστεί τελεσίδικη έναντι του κατηγορουμένου, το δικαστήριο πρέπει να ενημερώσει το θύμα για τα δεδομένα που αποτέλεσαν αντικείμενο έρευνας σύμφωνα με το άρθρο 76α ή για το αποτέλεσμα που διαβιβάστηκε εγγράφως (άρθρο 134 παράγραφος 5). Διαφορετικά, το θύμα πρέπει να ενημερώνεται ότι η έρευνα του κατηγορουμένου δεν ήταν δυνατή ή ότι δεν επιτρέπεται η κοινοποίηση των δεδομένων.</w:t>
      </w:r>
    </w:p>
    <w:p w14:paraId="200F69B3" w14:textId="77777777" w:rsidR="004C59F5" w:rsidRPr="00E61BFF" w:rsidRDefault="004C59F5" w:rsidP="000B6E75">
      <w:pPr>
        <w:pStyle w:val="51Abs"/>
      </w:pPr>
      <w:r>
        <w:t>3) Η κύρια διαδικασία για τα αδικήματα της παραγράφου 1 διεξάγεται βάσει αγωγής αστικού δικαίου η οποία πρέπει να πληροί τις απαιτήσεις απαγγελίας κατηγορίας (άρθρο 211) ή ανεξάρτητης αίτησης του ιδιώτη που υποκαθιστά τον εισαγγελέα για την έκδοση λήψης ασφαλιστικών μέτρων σύμφωνα με το άρθρο 445. Οι αγωγές αστικού δικαίου ασκούνται ενώπιον του αρμόδιου δικαστηρίου, σε περίπτωση αίτησης της παραγράφου 1, εντός 6 εβδομάδων από την ημερομηνία κατά την οποία παρασχέθηκαν οι πληροφορίες σύμφωνα με το δεύτερο εδάφιο της παραγράφου 2. Το δικαίωμα υποβολής αίτησης και τυχόν αξιώσεις βάσει του ιδιωτικού δικαίου πρέπει να αναφέρεται στην αιτιολόγηση, εκτός εάν είναι προφανείς. Το ίδιο ισχύει και για μια ανεξάρτητη αίτηση για την έκδοση διαταγής πληρωμής κεφαλαίου σύμφωνα με το άρθρο 445.</w:t>
      </w:r>
    </w:p>
    <w:p w14:paraId="0A56B7A5" w14:textId="77777777" w:rsidR="004C59F5" w:rsidRPr="00E61BFF" w:rsidRDefault="004C59F5" w:rsidP="000B6E75">
      <w:pPr>
        <w:pStyle w:val="51Abs"/>
      </w:pPr>
      <w:r>
        <w:t>4) Στις περιπτώσεις που αναφέρονται στο άρθρο 117 παράγραφοι 2 και 3 του Ποινικού Κώδικα, το θύμα δικαιούται να ασκήσει ιδιωτική αγωγή εάν το ίδιο ή η ανώτερη αρχή του δεν χορηγήσει ούτε ανακαλέσει την άδεια άσκησης δίωξης (άρθρο 92). Δεν δικαιούται να παραπέμψει το πρόσωπο που παραιτείται ρητά ή έχει συγχωρέσει τη διάπραξη της αξιόποινης πράξης. Τα άρθρα 57 και 58 του Ποινικού Κώδικα παραμένουν ως έχουν.</w:t>
      </w:r>
    </w:p>
    <w:p w14:paraId="3BCFF096" w14:textId="77777777" w:rsidR="004C59F5" w:rsidRPr="00E61BFF" w:rsidRDefault="004C59F5" w:rsidP="000B6E75">
      <w:pPr>
        <w:pStyle w:val="51Abs"/>
      </w:pPr>
      <w:r>
        <w:t>5) Οι εκπρόθεσμες (παράγραφος 3) ιδιωτικές αγωγές και οι αυτοαπασχολούμενες αιτήσεις για την έκδοση διαταγής ιδιοκτησίας σύμφωνα με το άρθρο 445 πρέπει να απορριφθούν με απόφαση του δικαστηρίου και, επιπλέον, η ιδιωτική αγωγή ή η αίτηση έκδοσης διαταγής πληρωμής κεφαλαίου σύμφωνα με το άρθρο 445 πρέπει να γνωστοποιούνται στον εναγόμενο ή στον εναγόμενο και στα μέρη που φέρουν την ευθύνη με την πληροφορία ότι δικαιούνται να υποβάλουν τις παρατηρήσεις τους εντός 14 ημερών. Κατά τη διάταξη αυτή, το δικαστήριο οφείλει να οργανώσει την κύρια ακροαματική διαδικασία, εκτός αν προχωρήσει βάσει του άρθρου 451 ή του άρθρου 485.</w:t>
      </w:r>
    </w:p>
    <w:p w14:paraId="334D7473" w14:textId="77777777" w:rsidR="004C59F5" w:rsidRPr="00E61BFF" w:rsidRDefault="004C59F5" w:rsidP="000B6E75">
      <w:pPr>
        <w:pStyle w:val="51Abs"/>
      </w:pPr>
      <w:r>
        <w:t>(6) Στην υπόθεση της κύριας δίκης, ο ιδιώτης που υποκαθιστά την εισαγγελική αρχή έχει κατ’ αρχήν τα ίδια δικαιώματα με τον δημόσιο εισαγγελέα· ωστόσο, δικαιούται να ζητήσει τη λήψη μέτρων καταναγκασμού μόνο στον βαθμό που αυτό είναι αναγκαίο για την εξασφάλιση αποδεικτικών στοιχείων ή αποφάσεων περί ιδιοκτησίας. Δεν δικαιούται να υποβάλει αίτηση για τα μέτρα καταναγκασμού που προβλέπονται στην 9η ενότητα.</w:t>
      </w:r>
    </w:p>
    <w:p w14:paraId="3D791DF8" w14:textId="77777777" w:rsidR="004C59F5" w:rsidRPr="00E61BFF" w:rsidRDefault="004C59F5" w:rsidP="000B6E75">
      <w:pPr>
        <w:pStyle w:val="51Abs"/>
      </w:pPr>
      <w:r>
        <w:t>(7) Εάν ο ιδιώτης που υποκαθιστά την εισαγγελική αρχή δεν παραστεί στην κύρια ακρόαση ή δεν υποβάλει τα απαραίτητα αιτήματα, τεκμαίρεται ότι έχει απαλλαγεί από τη δίωξη. Στις περιπτώσεις αυτές, η διαδικασία περατώνεται με απόφαση.»</w:t>
      </w:r>
    </w:p>
    <w:p w14:paraId="6A7F83CA" w14:textId="77777777" w:rsidR="004C59F5" w:rsidRPr="00E61BFF" w:rsidRDefault="004C59F5" w:rsidP="001B6B96">
      <w:pPr>
        <w:pStyle w:val="22NovAo2"/>
      </w:pPr>
      <w:r>
        <w:t xml:space="preserve">10. Στο άρθρο 76α παράγραφος 1, μετά τις λέξεις </w:t>
      </w:r>
      <w:r>
        <w:rPr>
          <w:i w:val="0"/>
        </w:rPr>
        <w:t>«υπηρεσίες επικοινωνίας</w:t>
      </w:r>
      <w:r>
        <w:t>», παρεμβάλλονται οι λέξεις «</w:t>
      </w:r>
      <w:r>
        <w:rPr>
          <w:i w:val="0"/>
        </w:rPr>
        <w:t>και άλλοι πάροχοι υπηρεσιών (άρθρο 3 παράγραφος 2 ECG)»</w:t>
      </w:r>
      <w:r>
        <w:t xml:space="preserve"> και οι λέξεις «</w:t>
      </w:r>
      <w:r>
        <w:rPr>
          <w:i w:val="0"/>
        </w:rPr>
        <w:t>ή χρήστες άλλης υπηρεσίας (άρθρο 3 παράγραφος 4 ECG)»</w:t>
      </w:r>
      <w:r>
        <w:t xml:space="preserve"> παρεμβάλλονται μετά τις λέξεις «</w:t>
      </w:r>
      <w:r>
        <w:rPr>
          <w:i w:val="0"/>
        </w:rPr>
        <w:t>συμμετέχοντες (άρθρο 90 παράγραφος 7 TKG)</w:t>
      </w:r>
      <w:r>
        <w:t>».</w:t>
      </w:r>
    </w:p>
    <w:p w14:paraId="38EFCE46" w14:textId="77777777" w:rsidR="004C59F5" w:rsidRPr="00E61BFF" w:rsidRDefault="004C59F5" w:rsidP="000B6E75">
      <w:pPr>
        <w:pStyle w:val="21NovAo1"/>
      </w:pPr>
      <w:r>
        <w:t>11. Στην παράγραφο 390 παράγραφος 1, μετά την παράγραφο 1 παρεμβάλλεται η ακόλουθη παράγραφος 1α:</w:t>
      </w:r>
    </w:p>
    <w:p w14:paraId="62C930DD" w14:textId="77777777" w:rsidR="004C59F5" w:rsidRPr="00E61BFF" w:rsidRDefault="004C59F5" w:rsidP="000B6E75">
      <w:pPr>
        <w:pStyle w:val="51Abs"/>
      </w:pPr>
      <w:r>
        <w:t>«1α) Στο πλαίσιο ποινικής διαδικασίας βάσει ποινικών ισχυρισμών (άρθρο 111 του ΠΚ), η κατηγορία για αδίκημα που έχει ήδη απολυθεί (άρθρο 113 του ΠΚ) ή προσβολή (άρθρο 115 του ποινικού κώδικα) που διαπράχθηκε μέσω τηλεπικοινωνιών ή με τη χρήση ηλεκτρονικού συστήματος, ο ιδιώτης που υποκαθιστά την εισαγγελική αρχή ή αιτών (άρθρο 71, παράγραφος 1) υποχρεούται να επιστρέψει τα έξοδα μόνον εάν προέβαλε εσκεμμένα εσφαλμένα την καταγγελία.»</w:t>
      </w:r>
    </w:p>
    <w:p w14:paraId="5B647B87" w14:textId="77777777" w:rsidR="004C59F5" w:rsidRPr="00E61BFF" w:rsidRDefault="004C59F5" w:rsidP="000B6E75">
      <w:pPr>
        <w:pStyle w:val="21NovAo1"/>
      </w:pPr>
      <w:r>
        <w:t>12. Στο άρθρο 393 μετά από την παράγραφο 4 προστίθεται η ακόλουθη παράγραφος 4α:</w:t>
      </w:r>
    </w:p>
    <w:p w14:paraId="38E3E3CD" w14:textId="77777777" w:rsidR="004C59F5" w:rsidRPr="00E61BFF" w:rsidRDefault="004C59F5" w:rsidP="000B6E75">
      <w:pPr>
        <w:pStyle w:val="51Abs"/>
      </w:pPr>
      <w:r>
        <w:t xml:space="preserve">«4α) Σε περίπτωση που η ποινική διαδικασία περατωθεί στο πλαίσιο ποινικής διαδικασίας λόγω ποινικού αδικήματος (άρθρο 111 του ΠΚ), αδικήματος που έχει ήδη απορριφθεί (άρθρο 113 του ΠΚ) ή προσβολής (άρθρο 115 του ΠΚ) που διαπράχθηκε μέσω τηλεπικοινωνιών ή με τη χρήση ηλεκτρονικού </w:t>
      </w:r>
      <w:r>
        <w:lastRenderedPageBreak/>
        <w:t>συστήματος, ο ιδιώτης που υποκαθιστά την εισαγγελική αρχή επιστρέφει στον κατηγορούμενο, στο πλαίσιο της κύριας διαδικασίας και της διαδικασίας έφεσης, όλα τα έξοδα υπεράσπισής του, εκτός εάν δεν υφίσταται υποχρέωση καταβολής αποζημίωσης σύμφωνα με την υποενότητα 4.»</w:t>
      </w:r>
    </w:p>
    <w:p w14:paraId="19A70FAF" w14:textId="77777777" w:rsidR="00870E6F" w:rsidRPr="00E61BFF" w:rsidRDefault="00870E6F" w:rsidP="00870E6F">
      <w:pPr>
        <w:pStyle w:val="22NovAo2"/>
      </w:pPr>
      <w:r>
        <w:t xml:space="preserve">12α. Στο άρθρο 395 παράγραφος 1, μετά τη φράση </w:t>
      </w:r>
      <w:r>
        <w:rPr>
          <w:i w:val="0"/>
        </w:rPr>
        <w:t>«παράγραφος 4»</w:t>
      </w:r>
      <w:r>
        <w:t xml:space="preserve"> παρεμβάλλεται η φράση </w:t>
      </w:r>
      <w:r>
        <w:rPr>
          <w:i w:val="0"/>
        </w:rPr>
        <w:t>«παράγραφος 4α</w:t>
      </w:r>
      <w:r>
        <w:t>».</w:t>
      </w:r>
    </w:p>
    <w:p w14:paraId="391168BE" w14:textId="77777777" w:rsidR="004C59F5" w:rsidRPr="00E61BFF" w:rsidRDefault="004C59F5" w:rsidP="000B6E75">
      <w:pPr>
        <w:pStyle w:val="21NovAo1"/>
      </w:pPr>
      <w:r>
        <w:t>13. Στο άρθρο 514 προστίθεται η ακόλουθη παράγραφος 46:</w:t>
      </w:r>
    </w:p>
    <w:p w14:paraId="6BEC1564" w14:textId="77777777" w:rsidR="004C59F5" w:rsidRPr="00E61BFF" w:rsidRDefault="004C59F5" w:rsidP="000B6E75">
      <w:pPr>
        <w:pStyle w:val="51Abs"/>
      </w:pPr>
      <w:r>
        <w:t>«46) Η εγγραφή του τίτλου του άρθρου 66β στον πίνακα περιεχομένων και το άρθρο 30 παράγραφος 1 σημείο 3α, το άρθρο 31 παράγραφος 1, το άρθρο 49, το άρθρο 66β, το άρθρο 67 παράγραφος 7, το άρθρο 70 παράγραφος 2, το άρθρο 71, το άρθρο 76α παράγραφος 1, το άρθρο 381 παράγραφοι 1 και 9, το άρθρο 390 παράγραφος 1α, το άρθρο 393α παράγραφος 4α, το άρθρο 395 παράγραφος 1 και το άρθρο 516α παράγραφος 12, όπως τροποποιήθηκε από την Εφημερίδα Ομοσπονδιακού Δικαίου Ι αριθ. 148/2020, τίθενται σε ισχύ την 1η Ιανουαρίου 2021· ταυτόχρονα, το άρθρο 66 παράγραφοι 2 και 4 απαλείφεται. Το άρθρο 390 παράγραφος 1α και το άρθρο 393 παράγραφος 4α, όπως τροποποιήθηκαν από την Εφημερίδα Ομοσπονδιακού Δικαίου Ι αριθ. 148/2020, τίθενται σε ισχύ και καταργούνται στις 31 Δεκεμβρίου 2023.»</w:t>
      </w:r>
    </w:p>
    <w:p w14:paraId="5AFD8B65" w14:textId="77777777" w:rsidR="004C59F5" w:rsidRPr="00E61BFF" w:rsidRDefault="004C59F5" w:rsidP="000B6E75">
      <w:pPr>
        <w:pStyle w:val="21NovAo1"/>
      </w:pPr>
      <w:r>
        <w:t>14. Στο άρθρο 516a προστίθεται η επόμενη παράγραφος 12:</w:t>
      </w:r>
    </w:p>
    <w:p w14:paraId="4BD99B73" w14:textId="77777777" w:rsidR="004C59F5" w:rsidRPr="00E61BFF" w:rsidRDefault="004C59F5" w:rsidP="000B6E75">
      <w:pPr>
        <w:pStyle w:val="51Abs"/>
      </w:pPr>
      <w:r>
        <w:t>«12) Το άρθρο 66β στη διατύπωση της Εφημερίδας Ομοσπονδιακού Δικαίου Ι αριθ. 148/2020, εξυπηρετεί την εφαρμογή της οδηγίας 2012/29/ΕΕ για τη θέσπιση ελάχιστων προτύπων σχετικά με τα δικαιώματα, την υποστήριξη και την προστασία θυμάτων της εγκληματικότητας και για την αντικατάσταση της απόφασης-πλαισίου 2001/220/ΔΕΥ του Συμβουλίου, ΕΕ L 315 της 14.11.2012, σ. 57.»</w:t>
      </w:r>
    </w:p>
    <w:p w14:paraId="762D6AFB" w14:textId="77777777" w:rsidR="004C59F5" w:rsidRPr="00E61BFF" w:rsidRDefault="004C59F5" w:rsidP="000B6E75">
      <w:pPr>
        <w:pStyle w:val="41UeberschrG1"/>
      </w:pPr>
      <w:r>
        <w:t>Άρθρο 11</w:t>
      </w:r>
    </w:p>
    <w:p w14:paraId="476E2814" w14:textId="77777777" w:rsidR="004C59F5" w:rsidRPr="00E61BFF" w:rsidRDefault="004C59F5" w:rsidP="000B6E75">
      <w:pPr>
        <w:pStyle w:val="43UeberschrG2"/>
      </w:pPr>
      <w:r>
        <w:t>Θέση σε ισχύ</w:t>
      </w:r>
    </w:p>
    <w:p w14:paraId="68045BB5" w14:textId="77777777" w:rsidR="004C59F5" w:rsidRPr="00E61BFF" w:rsidRDefault="004C59F5" w:rsidP="000B6E75">
      <w:pPr>
        <w:pStyle w:val="51Abs"/>
      </w:pPr>
      <w:r>
        <w:t xml:space="preserve">Το </w:t>
      </w:r>
      <w:r>
        <w:rPr>
          <w:rStyle w:val="991GldSymbol"/>
          <w:b w:val="0"/>
        </w:rPr>
        <w:t>Άρθρο 8</w:t>
      </w:r>
      <w:r>
        <w:t>· όπως τροποποιήθηκε με τον ομοσπονδιακό νόμο, Εφημερίδα Ομοσπονδιακού Δικαίου Ι αριθ. 148/2020 τίθεται σε ισχύ την 1η Ιανουαρίου 2021.</w:t>
      </w:r>
    </w:p>
    <w:p w14:paraId="0A3F23CC" w14:textId="77777777" w:rsidR="004C59F5" w:rsidRPr="00E61BFF" w:rsidRDefault="004C59F5" w:rsidP="000B6E75">
      <w:pPr>
        <w:pStyle w:val="41UeberschrG1"/>
      </w:pPr>
      <w:r>
        <w:t>Άρθρο 12</w:t>
      </w:r>
    </w:p>
    <w:p w14:paraId="334CF1F2" w14:textId="77777777" w:rsidR="004C59F5" w:rsidRPr="00E61BFF" w:rsidRDefault="004C59F5" w:rsidP="000B6E75">
      <w:pPr>
        <w:pStyle w:val="43UeberschrG2"/>
      </w:pPr>
      <w:r>
        <w:t>Κοινοποίηση</w:t>
      </w:r>
    </w:p>
    <w:p w14:paraId="29EAAA88" w14:textId="77777777" w:rsidR="004C59F5" w:rsidRPr="00E61BFF" w:rsidRDefault="004C59F5" w:rsidP="000B6E75">
      <w:pPr>
        <w:pStyle w:val="51Abs"/>
      </w:pPr>
      <w:r>
        <w:t>Το περιεχόμενο της παρούσας διάταξης έχει κοινοποιηθεί σύμφωνα με τις διατάξεις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όσον αφορά τους αριθμούς κοινοποίησης 2020/547/A και 2020/548/A.</w:t>
      </w:r>
    </w:p>
    <w:p w14:paraId="2A9CE02D" w14:textId="77777777" w:rsidR="00691C7A" w:rsidRPr="00E61BFF" w:rsidRDefault="00691C7A" w:rsidP="00691C7A">
      <w:pPr>
        <w:pStyle w:val="68UnterschrL"/>
      </w:pPr>
      <w:r>
        <w:t>Van der Bellen</w:t>
      </w:r>
    </w:p>
    <w:p w14:paraId="3597CE91" w14:textId="77777777" w:rsidR="00E61926" w:rsidRPr="00E61BFF" w:rsidRDefault="00E61926" w:rsidP="00E61926">
      <w:pPr>
        <w:pStyle w:val="68UnterschrL"/>
      </w:pPr>
      <w:r>
        <w:t>Kurz</w:t>
      </w:r>
    </w:p>
    <w:p w14:paraId="5F50DDBC" w14:textId="27279BFC" w:rsidR="00691C7A" w:rsidRPr="00E61BFF" w:rsidRDefault="00691C7A" w:rsidP="00E61926">
      <w:pPr>
        <w:pStyle w:val="68UnterschrL"/>
      </w:pPr>
    </w:p>
    <w:sectPr w:rsidR="00691C7A" w:rsidRPr="00E61BFF" w:rsidSect="00691C7A">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E8CB" w14:textId="77777777" w:rsidR="00F50411" w:rsidRDefault="00F50411">
      <w:r>
        <w:separator/>
      </w:r>
    </w:p>
  </w:endnote>
  <w:endnote w:type="continuationSeparator" w:id="0">
    <w:p w14:paraId="58009D04" w14:textId="77777777" w:rsidR="00F50411" w:rsidRDefault="00F50411">
      <w:r>
        <w:continuationSeparator/>
      </w:r>
    </w:p>
  </w:endnote>
  <w:endnote w:type="continuationNotice" w:id="1">
    <w:p w14:paraId="1EB5EC4E" w14:textId="77777777" w:rsidR="00F50411" w:rsidRDefault="00F50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9D3B" w14:textId="77777777" w:rsidR="00225890" w:rsidRPr="00E61BFF" w:rsidRDefault="00691C7A" w:rsidP="00691C7A">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D5A8" w14:textId="77777777" w:rsidR="00FA4213" w:rsidRPr="00E61BFF" w:rsidRDefault="00691C7A" w:rsidP="00691C7A">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DCC3" w14:textId="77777777" w:rsidR="00225890" w:rsidRPr="00E61BFF" w:rsidRDefault="00691C7A" w:rsidP="00691C7A">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7464B" w14:textId="77777777" w:rsidR="00F50411" w:rsidRDefault="00F50411">
      <w:r>
        <w:separator/>
      </w:r>
    </w:p>
  </w:footnote>
  <w:footnote w:type="continuationSeparator" w:id="0">
    <w:p w14:paraId="7DDE7F37" w14:textId="77777777" w:rsidR="00F50411" w:rsidRDefault="00F50411">
      <w:r>
        <w:continuationSeparator/>
      </w:r>
    </w:p>
  </w:footnote>
  <w:footnote w:type="continuationNotice" w:id="1">
    <w:p w14:paraId="6FF8AAE4" w14:textId="77777777" w:rsidR="00F50411" w:rsidRDefault="00F504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D0C6" w14:textId="77777777" w:rsidR="00FE7450" w:rsidRPr="00E61BFF" w:rsidRDefault="00691C7A" w:rsidP="00691C7A">
    <w:pPr>
      <w:pStyle w:val="62Kopfzeile"/>
    </w:pPr>
    <w:r>
      <w:tab/>
      <w:t>Εφημερίδα Ομοσπονδιακού Δικαίου I – εκδόθηκε στις 23 Δεκεμβρίου 2020 – αριθ. 148</w:t>
    </w:r>
    <w:r>
      <w:tab/>
    </w:r>
    <w:r w:rsidRPr="00E61BFF">
      <w:fldChar w:fldCharType="begin"/>
    </w:r>
    <w:r w:rsidRPr="00E61BFF">
      <w:instrText xml:space="preserve"> PAGE  \* Arabic  \* MERGEFORMAT </w:instrText>
    </w:r>
    <w:r w:rsidRPr="00E61BFF">
      <w:fldChar w:fldCharType="separate"/>
    </w:r>
    <w:r w:rsidR="00677399">
      <w:t>1</w:t>
    </w:r>
    <w:r w:rsidRPr="00E61BFF">
      <w:fldChar w:fldCharType="end"/>
    </w:r>
    <w:r>
      <w:t xml:space="preserve"> από </w:t>
    </w:r>
    <w:fldSimple w:instr=" NUMPAGES  \* Arabic  \* MERGEFORMAT ">
      <w:r w:rsidR="00677399">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E997" w14:textId="77777777" w:rsidR="00FE7450" w:rsidRPr="00E61BFF" w:rsidRDefault="00691C7A" w:rsidP="00691C7A">
    <w:pPr>
      <w:pStyle w:val="62Kopfzeile"/>
    </w:pPr>
    <w:r>
      <w:tab/>
    </w:r>
    <w:r>
      <w:t>Εφημερίδα Ομοσπονδιακού Δικαίου I – εκδόθηκε στις 23 Δεκεμβρίου 2020 – αριθ. 148</w:t>
    </w:r>
    <w:r>
      <w:tab/>
    </w:r>
    <w:r w:rsidRPr="00E61BFF">
      <w:fldChar w:fldCharType="begin"/>
    </w:r>
    <w:r w:rsidRPr="00E61BFF">
      <w:instrText xml:space="preserve"> PAGE  \* Arabic  \* MERGEFORMAT </w:instrText>
    </w:r>
    <w:r w:rsidRPr="00E61BFF">
      <w:fldChar w:fldCharType="separate"/>
    </w:r>
    <w:r w:rsidR="00E70894">
      <w:t>2</w:t>
    </w:r>
    <w:r w:rsidRPr="00E61BFF">
      <w:fldChar w:fldCharType="end"/>
    </w:r>
    <w:r>
      <w:t xml:space="preserve"> από </w:t>
    </w:r>
    <w:fldSimple w:instr=" NUMPAGES  \* Arabic  \* MERGEFORMAT ">
      <w:r w:rsidR="00E70894">
        <w:t>12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3AD2" w14:textId="77777777" w:rsidR="00FE7450" w:rsidRPr="00E61BFF" w:rsidRDefault="00691C7A" w:rsidP="00691C7A">
    <w:pPr>
      <w:pStyle w:val="62Kopfzeile"/>
    </w:pPr>
    <w:r>
      <w:tab/>
    </w:r>
    <w:r>
      <w:tab/>
    </w:r>
    <w:r w:rsidRPr="00E61BFF">
      <w:fldChar w:fldCharType="begin"/>
    </w:r>
    <w:r w:rsidRPr="00E61BFF">
      <w:instrText xml:space="preserve"> PAGE  \* MERGEFORMAT </w:instrText>
    </w:r>
    <w:r w:rsidRPr="00E61BFF">
      <w:fldChar w:fldCharType="separate"/>
    </w:r>
    <w:r w:rsidR="00E70894">
      <w:t>1</w:t>
    </w:r>
    <w:r w:rsidRPr="00E61BFF">
      <w:fldChar w:fldCharType="end"/>
    </w:r>
    <w:r>
      <w:t xml:space="preserve"> από </w:t>
    </w:r>
    <w:fldSimple w:instr=" NUMPAGES  \* MERGEFORMAT ">
      <w:r w:rsidR="00E70894">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1"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cs="Times New Roman" w:hint="default"/>
      </w:rPr>
    </w:lvl>
    <w:lvl w:ilvl="1" w:tplc="0C070019">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9E72E3F"/>
    <w:multiLevelType w:val="multilevel"/>
    <w:tmpl w:val="42EA62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22"/>
  </w:num>
  <w:num w:numId="3">
    <w:abstractNumId w:val="19"/>
  </w:num>
  <w:num w:numId="4">
    <w:abstractNumId w:val="9"/>
  </w:num>
  <w:num w:numId="5">
    <w:abstractNumId w:val="7"/>
  </w:num>
  <w:num w:numId="6">
    <w:abstractNumId w:val="6"/>
  </w:num>
  <w:num w:numId="7">
    <w:abstractNumId w:val="24"/>
  </w:num>
  <w:num w:numId="8">
    <w:abstractNumId w:val="12"/>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5"/>
  </w:num>
  <w:num w:numId="17">
    <w:abstractNumId w:val="14"/>
  </w:num>
  <w:num w:numId="18">
    <w:abstractNumId w:val="11"/>
  </w:num>
  <w:num w:numId="19">
    <w:abstractNumId w:val="13"/>
  </w:num>
  <w:num w:numId="20">
    <w:abstractNumId w:val="20"/>
  </w:num>
  <w:num w:numId="21">
    <w:abstractNumId w:val="25"/>
  </w:num>
  <w:num w:numId="22">
    <w:abstractNumId w:val="16"/>
  </w:num>
  <w:num w:numId="23">
    <w:abstractNumId w:val="17"/>
  </w:num>
  <w:num w:numId="24">
    <w:abstractNumId w:val="21"/>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F9"/>
    <w:rsid w:val="000007AA"/>
    <w:rsid w:val="000068CB"/>
    <w:rsid w:val="00006B25"/>
    <w:rsid w:val="000070EC"/>
    <w:rsid w:val="000077C2"/>
    <w:rsid w:val="00007D32"/>
    <w:rsid w:val="000129B3"/>
    <w:rsid w:val="00012AF5"/>
    <w:rsid w:val="000131B0"/>
    <w:rsid w:val="00013617"/>
    <w:rsid w:val="00014B1D"/>
    <w:rsid w:val="00015C6C"/>
    <w:rsid w:val="00016D05"/>
    <w:rsid w:val="00021508"/>
    <w:rsid w:val="00021EBF"/>
    <w:rsid w:val="00021EDF"/>
    <w:rsid w:val="00022A30"/>
    <w:rsid w:val="00023D51"/>
    <w:rsid w:val="000246F8"/>
    <w:rsid w:val="000326E7"/>
    <w:rsid w:val="00032B3B"/>
    <w:rsid w:val="00035A9D"/>
    <w:rsid w:val="0004033C"/>
    <w:rsid w:val="00041D71"/>
    <w:rsid w:val="00045C1D"/>
    <w:rsid w:val="0004629F"/>
    <w:rsid w:val="00047182"/>
    <w:rsid w:val="00053CC7"/>
    <w:rsid w:val="000544B5"/>
    <w:rsid w:val="00056065"/>
    <w:rsid w:val="00060013"/>
    <w:rsid w:val="00060AD8"/>
    <w:rsid w:val="00060F69"/>
    <w:rsid w:val="00061B0E"/>
    <w:rsid w:val="00067033"/>
    <w:rsid w:val="0007202E"/>
    <w:rsid w:val="00072A02"/>
    <w:rsid w:val="00072B38"/>
    <w:rsid w:val="00073D83"/>
    <w:rsid w:val="00074EE2"/>
    <w:rsid w:val="00075394"/>
    <w:rsid w:val="00076250"/>
    <w:rsid w:val="00080FA8"/>
    <w:rsid w:val="00081B76"/>
    <w:rsid w:val="00081F44"/>
    <w:rsid w:val="00082798"/>
    <w:rsid w:val="00087625"/>
    <w:rsid w:val="00093472"/>
    <w:rsid w:val="00096EB3"/>
    <w:rsid w:val="0009734A"/>
    <w:rsid w:val="0009779C"/>
    <w:rsid w:val="00097F3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6CDA"/>
    <w:rsid w:val="000A7009"/>
    <w:rsid w:val="000B23A5"/>
    <w:rsid w:val="000B27D6"/>
    <w:rsid w:val="000B2A8C"/>
    <w:rsid w:val="000B2CBC"/>
    <w:rsid w:val="000B3DB7"/>
    <w:rsid w:val="000B3F0A"/>
    <w:rsid w:val="000B6670"/>
    <w:rsid w:val="000B6CEB"/>
    <w:rsid w:val="000B6E75"/>
    <w:rsid w:val="000B72DE"/>
    <w:rsid w:val="000C1940"/>
    <w:rsid w:val="000C3094"/>
    <w:rsid w:val="000C3E44"/>
    <w:rsid w:val="000C5935"/>
    <w:rsid w:val="000C5D80"/>
    <w:rsid w:val="000C67BE"/>
    <w:rsid w:val="000C6A3F"/>
    <w:rsid w:val="000C740D"/>
    <w:rsid w:val="000D0A76"/>
    <w:rsid w:val="000D10D9"/>
    <w:rsid w:val="000D1B48"/>
    <w:rsid w:val="000D3CA3"/>
    <w:rsid w:val="000D43AF"/>
    <w:rsid w:val="000D6A0C"/>
    <w:rsid w:val="000D6F86"/>
    <w:rsid w:val="000D780F"/>
    <w:rsid w:val="000E019F"/>
    <w:rsid w:val="000E080B"/>
    <w:rsid w:val="000E2029"/>
    <w:rsid w:val="000E23A7"/>
    <w:rsid w:val="000E30CD"/>
    <w:rsid w:val="000E60D6"/>
    <w:rsid w:val="000E65A0"/>
    <w:rsid w:val="000E7526"/>
    <w:rsid w:val="000F215E"/>
    <w:rsid w:val="000F2443"/>
    <w:rsid w:val="000F2935"/>
    <w:rsid w:val="000F2D92"/>
    <w:rsid w:val="000F4226"/>
    <w:rsid w:val="000F5941"/>
    <w:rsid w:val="00100B26"/>
    <w:rsid w:val="0010393D"/>
    <w:rsid w:val="00103FB9"/>
    <w:rsid w:val="00105C10"/>
    <w:rsid w:val="00107F55"/>
    <w:rsid w:val="0011584D"/>
    <w:rsid w:val="00115A89"/>
    <w:rsid w:val="00117335"/>
    <w:rsid w:val="00120AB2"/>
    <w:rsid w:val="00122A80"/>
    <w:rsid w:val="00124BFE"/>
    <w:rsid w:val="001253FE"/>
    <w:rsid w:val="0013003C"/>
    <w:rsid w:val="001307C0"/>
    <w:rsid w:val="00131772"/>
    <w:rsid w:val="0013273D"/>
    <w:rsid w:val="001378CB"/>
    <w:rsid w:val="00137A2E"/>
    <w:rsid w:val="00142FEF"/>
    <w:rsid w:val="0014343B"/>
    <w:rsid w:val="00144D52"/>
    <w:rsid w:val="00145202"/>
    <w:rsid w:val="00147420"/>
    <w:rsid w:val="001504F3"/>
    <w:rsid w:val="00157944"/>
    <w:rsid w:val="001600F6"/>
    <w:rsid w:val="0016129F"/>
    <w:rsid w:val="00161934"/>
    <w:rsid w:val="001627B8"/>
    <w:rsid w:val="0016347D"/>
    <w:rsid w:val="00163F60"/>
    <w:rsid w:val="00164444"/>
    <w:rsid w:val="001647D0"/>
    <w:rsid w:val="0016596F"/>
    <w:rsid w:val="0016653D"/>
    <w:rsid w:val="00170105"/>
    <w:rsid w:val="00170705"/>
    <w:rsid w:val="0017254A"/>
    <w:rsid w:val="001735F4"/>
    <w:rsid w:val="0018100D"/>
    <w:rsid w:val="001816AE"/>
    <w:rsid w:val="0018379C"/>
    <w:rsid w:val="00184B47"/>
    <w:rsid w:val="00185F08"/>
    <w:rsid w:val="0018729E"/>
    <w:rsid w:val="00187593"/>
    <w:rsid w:val="00187A66"/>
    <w:rsid w:val="00190472"/>
    <w:rsid w:val="00192939"/>
    <w:rsid w:val="0019372A"/>
    <w:rsid w:val="001939AA"/>
    <w:rsid w:val="00193FBD"/>
    <w:rsid w:val="001947FB"/>
    <w:rsid w:val="00194E91"/>
    <w:rsid w:val="00196AF9"/>
    <w:rsid w:val="001973B2"/>
    <w:rsid w:val="00197A0E"/>
    <w:rsid w:val="001A00E3"/>
    <w:rsid w:val="001A0500"/>
    <w:rsid w:val="001A057A"/>
    <w:rsid w:val="001A05D8"/>
    <w:rsid w:val="001A1539"/>
    <w:rsid w:val="001A2D70"/>
    <w:rsid w:val="001A5DCD"/>
    <w:rsid w:val="001A6D0C"/>
    <w:rsid w:val="001B0592"/>
    <w:rsid w:val="001B1699"/>
    <w:rsid w:val="001B584A"/>
    <w:rsid w:val="001B6B96"/>
    <w:rsid w:val="001C0D0C"/>
    <w:rsid w:val="001C105B"/>
    <w:rsid w:val="001C1989"/>
    <w:rsid w:val="001C3D7C"/>
    <w:rsid w:val="001C7F48"/>
    <w:rsid w:val="001D19AA"/>
    <w:rsid w:val="001D1B1D"/>
    <w:rsid w:val="001D2100"/>
    <w:rsid w:val="001D7AF1"/>
    <w:rsid w:val="001E0721"/>
    <w:rsid w:val="001E47EA"/>
    <w:rsid w:val="001E6E67"/>
    <w:rsid w:val="001E792B"/>
    <w:rsid w:val="001E7C59"/>
    <w:rsid w:val="001F0E7C"/>
    <w:rsid w:val="001F1058"/>
    <w:rsid w:val="001F17C4"/>
    <w:rsid w:val="001F22AE"/>
    <w:rsid w:val="001F2A52"/>
    <w:rsid w:val="001F556F"/>
    <w:rsid w:val="001F79A7"/>
    <w:rsid w:val="002039BF"/>
    <w:rsid w:val="00203A02"/>
    <w:rsid w:val="002041A2"/>
    <w:rsid w:val="00204D86"/>
    <w:rsid w:val="00205458"/>
    <w:rsid w:val="00205D4B"/>
    <w:rsid w:val="002062DD"/>
    <w:rsid w:val="00210157"/>
    <w:rsid w:val="00214D54"/>
    <w:rsid w:val="0021639A"/>
    <w:rsid w:val="00216AF9"/>
    <w:rsid w:val="00220036"/>
    <w:rsid w:val="00220685"/>
    <w:rsid w:val="00220A37"/>
    <w:rsid w:val="00225890"/>
    <w:rsid w:val="002263F3"/>
    <w:rsid w:val="00230FCA"/>
    <w:rsid w:val="00232C3B"/>
    <w:rsid w:val="0023341A"/>
    <w:rsid w:val="00235C43"/>
    <w:rsid w:val="00235D51"/>
    <w:rsid w:val="002411B1"/>
    <w:rsid w:val="002434D0"/>
    <w:rsid w:val="00244529"/>
    <w:rsid w:val="0024482C"/>
    <w:rsid w:val="00245C27"/>
    <w:rsid w:val="002461BD"/>
    <w:rsid w:val="00247444"/>
    <w:rsid w:val="002479F5"/>
    <w:rsid w:val="00250BDD"/>
    <w:rsid w:val="002512E8"/>
    <w:rsid w:val="00252706"/>
    <w:rsid w:val="00252C1F"/>
    <w:rsid w:val="00253654"/>
    <w:rsid w:val="0026095A"/>
    <w:rsid w:val="00263234"/>
    <w:rsid w:val="002673CD"/>
    <w:rsid w:val="002679ED"/>
    <w:rsid w:val="00271358"/>
    <w:rsid w:val="002735A3"/>
    <w:rsid w:val="0027374A"/>
    <w:rsid w:val="00274791"/>
    <w:rsid w:val="00274B42"/>
    <w:rsid w:val="00280C17"/>
    <w:rsid w:val="00281E0C"/>
    <w:rsid w:val="00283888"/>
    <w:rsid w:val="00284722"/>
    <w:rsid w:val="00286A2C"/>
    <w:rsid w:val="002908E8"/>
    <w:rsid w:val="00291502"/>
    <w:rsid w:val="00293F6F"/>
    <w:rsid w:val="00296725"/>
    <w:rsid w:val="00296B04"/>
    <w:rsid w:val="00297BDB"/>
    <w:rsid w:val="002A11B2"/>
    <w:rsid w:val="002A2253"/>
    <w:rsid w:val="002A3314"/>
    <w:rsid w:val="002A4833"/>
    <w:rsid w:val="002A7DEE"/>
    <w:rsid w:val="002B0C66"/>
    <w:rsid w:val="002B26C8"/>
    <w:rsid w:val="002B5FC5"/>
    <w:rsid w:val="002C2572"/>
    <w:rsid w:val="002C694C"/>
    <w:rsid w:val="002C7603"/>
    <w:rsid w:val="002C79CD"/>
    <w:rsid w:val="002C7C22"/>
    <w:rsid w:val="002C7F72"/>
    <w:rsid w:val="002D0600"/>
    <w:rsid w:val="002D701C"/>
    <w:rsid w:val="002E0365"/>
    <w:rsid w:val="002E35E4"/>
    <w:rsid w:val="002E453A"/>
    <w:rsid w:val="002E747B"/>
    <w:rsid w:val="002E77E0"/>
    <w:rsid w:val="002E77F9"/>
    <w:rsid w:val="002F041C"/>
    <w:rsid w:val="002F0DB6"/>
    <w:rsid w:val="002F244A"/>
    <w:rsid w:val="002F33E9"/>
    <w:rsid w:val="002F4AB3"/>
    <w:rsid w:val="00303995"/>
    <w:rsid w:val="00304057"/>
    <w:rsid w:val="003040AD"/>
    <w:rsid w:val="00304D92"/>
    <w:rsid w:val="00305286"/>
    <w:rsid w:val="0030670B"/>
    <w:rsid w:val="00307CEA"/>
    <w:rsid w:val="00310918"/>
    <w:rsid w:val="00311630"/>
    <w:rsid w:val="003136FD"/>
    <w:rsid w:val="003138AF"/>
    <w:rsid w:val="00315595"/>
    <w:rsid w:val="0031722B"/>
    <w:rsid w:val="00317D95"/>
    <w:rsid w:val="00320346"/>
    <w:rsid w:val="00320436"/>
    <w:rsid w:val="00320B28"/>
    <w:rsid w:val="00321EDC"/>
    <w:rsid w:val="00322F2D"/>
    <w:rsid w:val="00323175"/>
    <w:rsid w:val="00327C65"/>
    <w:rsid w:val="00330581"/>
    <w:rsid w:val="003309F2"/>
    <w:rsid w:val="00330D55"/>
    <w:rsid w:val="00332AF7"/>
    <w:rsid w:val="00332B24"/>
    <w:rsid w:val="00332E8E"/>
    <w:rsid w:val="003331A3"/>
    <w:rsid w:val="003332A9"/>
    <w:rsid w:val="00342A8A"/>
    <w:rsid w:val="003432B1"/>
    <w:rsid w:val="00347C0B"/>
    <w:rsid w:val="003560D7"/>
    <w:rsid w:val="00361258"/>
    <w:rsid w:val="00361C2D"/>
    <w:rsid w:val="00362205"/>
    <w:rsid w:val="00362287"/>
    <w:rsid w:val="00362A73"/>
    <w:rsid w:val="00362F8E"/>
    <w:rsid w:val="00367CBB"/>
    <w:rsid w:val="00367F84"/>
    <w:rsid w:val="0037220C"/>
    <w:rsid w:val="00373E14"/>
    <w:rsid w:val="00374A13"/>
    <w:rsid w:val="00374F68"/>
    <w:rsid w:val="0037686F"/>
    <w:rsid w:val="00377700"/>
    <w:rsid w:val="003823DB"/>
    <w:rsid w:val="003825E5"/>
    <w:rsid w:val="00382ECD"/>
    <w:rsid w:val="00382EFB"/>
    <w:rsid w:val="00384284"/>
    <w:rsid w:val="00385825"/>
    <w:rsid w:val="00387654"/>
    <w:rsid w:val="00387D3B"/>
    <w:rsid w:val="00390CCA"/>
    <w:rsid w:val="00392395"/>
    <w:rsid w:val="00392B4A"/>
    <w:rsid w:val="00395844"/>
    <w:rsid w:val="0039683C"/>
    <w:rsid w:val="00397186"/>
    <w:rsid w:val="0039718D"/>
    <w:rsid w:val="00397930"/>
    <w:rsid w:val="003A084A"/>
    <w:rsid w:val="003A0E39"/>
    <w:rsid w:val="003A2303"/>
    <w:rsid w:val="003A2D09"/>
    <w:rsid w:val="003A5156"/>
    <w:rsid w:val="003B23DA"/>
    <w:rsid w:val="003B2D3E"/>
    <w:rsid w:val="003B3C41"/>
    <w:rsid w:val="003B6614"/>
    <w:rsid w:val="003C0189"/>
    <w:rsid w:val="003C0809"/>
    <w:rsid w:val="003C1E5B"/>
    <w:rsid w:val="003C20DC"/>
    <w:rsid w:val="003C2925"/>
    <w:rsid w:val="003C3388"/>
    <w:rsid w:val="003C53BB"/>
    <w:rsid w:val="003D11A2"/>
    <w:rsid w:val="003D1449"/>
    <w:rsid w:val="003D62FF"/>
    <w:rsid w:val="003E1564"/>
    <w:rsid w:val="003E3038"/>
    <w:rsid w:val="003E5AB4"/>
    <w:rsid w:val="003E654B"/>
    <w:rsid w:val="003E7615"/>
    <w:rsid w:val="003E7DAA"/>
    <w:rsid w:val="003F1D59"/>
    <w:rsid w:val="003F2A73"/>
    <w:rsid w:val="003F4762"/>
    <w:rsid w:val="003F4AB8"/>
    <w:rsid w:val="003F60FA"/>
    <w:rsid w:val="003F6737"/>
    <w:rsid w:val="00403DF7"/>
    <w:rsid w:val="00404EFE"/>
    <w:rsid w:val="004050FD"/>
    <w:rsid w:val="00411FBE"/>
    <w:rsid w:val="004148A6"/>
    <w:rsid w:val="00414BC8"/>
    <w:rsid w:val="00414C99"/>
    <w:rsid w:val="004163EA"/>
    <w:rsid w:val="00417147"/>
    <w:rsid w:val="004171D5"/>
    <w:rsid w:val="004209B2"/>
    <w:rsid w:val="00420EE0"/>
    <w:rsid w:val="004211A3"/>
    <w:rsid w:val="004221A3"/>
    <w:rsid w:val="004227F8"/>
    <w:rsid w:val="00422A98"/>
    <w:rsid w:val="00423392"/>
    <w:rsid w:val="00424F80"/>
    <w:rsid w:val="004253B4"/>
    <w:rsid w:val="00426385"/>
    <w:rsid w:val="00431A52"/>
    <w:rsid w:val="0043203C"/>
    <w:rsid w:val="0043214A"/>
    <w:rsid w:val="00434431"/>
    <w:rsid w:val="004345BA"/>
    <w:rsid w:val="00435E06"/>
    <w:rsid w:val="00441573"/>
    <w:rsid w:val="00443716"/>
    <w:rsid w:val="00444B48"/>
    <w:rsid w:val="00447B4C"/>
    <w:rsid w:val="00450245"/>
    <w:rsid w:val="004503B0"/>
    <w:rsid w:val="0045495F"/>
    <w:rsid w:val="0045768C"/>
    <w:rsid w:val="0045779B"/>
    <w:rsid w:val="00457FF4"/>
    <w:rsid w:val="00460098"/>
    <w:rsid w:val="004612AC"/>
    <w:rsid w:val="00462B1A"/>
    <w:rsid w:val="00462B65"/>
    <w:rsid w:val="00463B70"/>
    <w:rsid w:val="00466B9C"/>
    <w:rsid w:val="00470C28"/>
    <w:rsid w:val="004719F7"/>
    <w:rsid w:val="00473821"/>
    <w:rsid w:val="00473F2F"/>
    <w:rsid w:val="00475142"/>
    <w:rsid w:val="0047597A"/>
    <w:rsid w:val="00480371"/>
    <w:rsid w:val="0048247D"/>
    <w:rsid w:val="0048519E"/>
    <w:rsid w:val="00487858"/>
    <w:rsid w:val="0048786F"/>
    <w:rsid w:val="00492AE8"/>
    <w:rsid w:val="004A13A5"/>
    <w:rsid w:val="004A52E0"/>
    <w:rsid w:val="004A5965"/>
    <w:rsid w:val="004A6671"/>
    <w:rsid w:val="004B0E54"/>
    <w:rsid w:val="004B2A55"/>
    <w:rsid w:val="004B614E"/>
    <w:rsid w:val="004B6A4F"/>
    <w:rsid w:val="004B7E45"/>
    <w:rsid w:val="004C001D"/>
    <w:rsid w:val="004C14FF"/>
    <w:rsid w:val="004C1D66"/>
    <w:rsid w:val="004C399C"/>
    <w:rsid w:val="004C4781"/>
    <w:rsid w:val="004C59F5"/>
    <w:rsid w:val="004D0DDB"/>
    <w:rsid w:val="004D18BB"/>
    <w:rsid w:val="004D1A57"/>
    <w:rsid w:val="004D271A"/>
    <w:rsid w:val="004D37C7"/>
    <w:rsid w:val="004D3ECA"/>
    <w:rsid w:val="004D465E"/>
    <w:rsid w:val="004E24E4"/>
    <w:rsid w:val="004E39EC"/>
    <w:rsid w:val="004E57DF"/>
    <w:rsid w:val="004E5924"/>
    <w:rsid w:val="004E5FD4"/>
    <w:rsid w:val="004F072F"/>
    <w:rsid w:val="004F1580"/>
    <w:rsid w:val="004F3CDC"/>
    <w:rsid w:val="004F5695"/>
    <w:rsid w:val="005012AC"/>
    <w:rsid w:val="005014AD"/>
    <w:rsid w:val="00503635"/>
    <w:rsid w:val="00512763"/>
    <w:rsid w:val="00514030"/>
    <w:rsid w:val="00514EB1"/>
    <w:rsid w:val="00516F12"/>
    <w:rsid w:val="005206A8"/>
    <w:rsid w:val="005218A1"/>
    <w:rsid w:val="00521984"/>
    <w:rsid w:val="0052643C"/>
    <w:rsid w:val="005268BD"/>
    <w:rsid w:val="005269EC"/>
    <w:rsid w:val="00527B58"/>
    <w:rsid w:val="005303C1"/>
    <w:rsid w:val="0053151B"/>
    <w:rsid w:val="00531CE7"/>
    <w:rsid w:val="005328F0"/>
    <w:rsid w:val="00533AB9"/>
    <w:rsid w:val="005342E0"/>
    <w:rsid w:val="00536C1D"/>
    <w:rsid w:val="0054058C"/>
    <w:rsid w:val="0054062E"/>
    <w:rsid w:val="0054420C"/>
    <w:rsid w:val="00545191"/>
    <w:rsid w:val="0054650C"/>
    <w:rsid w:val="00546E2F"/>
    <w:rsid w:val="00546ED1"/>
    <w:rsid w:val="00550610"/>
    <w:rsid w:val="00550B22"/>
    <w:rsid w:val="00551DE1"/>
    <w:rsid w:val="005522D5"/>
    <w:rsid w:val="00552348"/>
    <w:rsid w:val="005531CB"/>
    <w:rsid w:val="005537C1"/>
    <w:rsid w:val="00554D77"/>
    <w:rsid w:val="00555547"/>
    <w:rsid w:val="00557E2E"/>
    <w:rsid w:val="005709A1"/>
    <w:rsid w:val="00571A8A"/>
    <w:rsid w:val="005736CA"/>
    <w:rsid w:val="00573F7B"/>
    <w:rsid w:val="00574AE2"/>
    <w:rsid w:val="00575343"/>
    <w:rsid w:val="005757CC"/>
    <w:rsid w:val="005776A9"/>
    <w:rsid w:val="005806E0"/>
    <w:rsid w:val="00584A1D"/>
    <w:rsid w:val="00586128"/>
    <w:rsid w:val="005869B5"/>
    <w:rsid w:val="00587D60"/>
    <w:rsid w:val="00587DB9"/>
    <w:rsid w:val="0059124F"/>
    <w:rsid w:val="00591F07"/>
    <w:rsid w:val="00592779"/>
    <w:rsid w:val="0059287B"/>
    <w:rsid w:val="005953B9"/>
    <w:rsid w:val="00596FA7"/>
    <w:rsid w:val="00597392"/>
    <w:rsid w:val="005A54D7"/>
    <w:rsid w:val="005A56CC"/>
    <w:rsid w:val="005A7101"/>
    <w:rsid w:val="005A7439"/>
    <w:rsid w:val="005A7797"/>
    <w:rsid w:val="005B1E85"/>
    <w:rsid w:val="005B29B1"/>
    <w:rsid w:val="005B50A3"/>
    <w:rsid w:val="005B667E"/>
    <w:rsid w:val="005C089D"/>
    <w:rsid w:val="005C0D88"/>
    <w:rsid w:val="005C241B"/>
    <w:rsid w:val="005C307A"/>
    <w:rsid w:val="005C495E"/>
    <w:rsid w:val="005C5B12"/>
    <w:rsid w:val="005D1F51"/>
    <w:rsid w:val="005E03C1"/>
    <w:rsid w:val="005E1FCD"/>
    <w:rsid w:val="005E24AD"/>
    <w:rsid w:val="005E2BB6"/>
    <w:rsid w:val="005E3923"/>
    <w:rsid w:val="005E421B"/>
    <w:rsid w:val="005E4904"/>
    <w:rsid w:val="005E5267"/>
    <w:rsid w:val="005E6219"/>
    <w:rsid w:val="005E72EF"/>
    <w:rsid w:val="005E775A"/>
    <w:rsid w:val="005E7C00"/>
    <w:rsid w:val="005E7D1A"/>
    <w:rsid w:val="005F12FC"/>
    <w:rsid w:val="005F13F9"/>
    <w:rsid w:val="005F431D"/>
    <w:rsid w:val="006027BA"/>
    <w:rsid w:val="006044DA"/>
    <w:rsid w:val="00606F60"/>
    <w:rsid w:val="006072D6"/>
    <w:rsid w:val="00607D6F"/>
    <w:rsid w:val="00611DDA"/>
    <w:rsid w:val="00615885"/>
    <w:rsid w:val="00615B62"/>
    <w:rsid w:val="00617443"/>
    <w:rsid w:val="00617829"/>
    <w:rsid w:val="00621270"/>
    <w:rsid w:val="006230FB"/>
    <w:rsid w:val="00624763"/>
    <w:rsid w:val="0063287F"/>
    <w:rsid w:val="006329CC"/>
    <w:rsid w:val="00633C98"/>
    <w:rsid w:val="00634774"/>
    <w:rsid w:val="0063558B"/>
    <w:rsid w:val="00635CBD"/>
    <w:rsid w:val="00636453"/>
    <w:rsid w:val="006404D7"/>
    <w:rsid w:val="006417C5"/>
    <w:rsid w:val="00641B9B"/>
    <w:rsid w:val="00641EE0"/>
    <w:rsid w:val="00643602"/>
    <w:rsid w:val="00643760"/>
    <w:rsid w:val="006444BD"/>
    <w:rsid w:val="00645977"/>
    <w:rsid w:val="00645B11"/>
    <w:rsid w:val="00646E36"/>
    <w:rsid w:val="00647EB1"/>
    <w:rsid w:val="0065081D"/>
    <w:rsid w:val="006516C8"/>
    <w:rsid w:val="00653D85"/>
    <w:rsid w:val="00654D7B"/>
    <w:rsid w:val="006575DD"/>
    <w:rsid w:val="0066076F"/>
    <w:rsid w:val="00660FC6"/>
    <w:rsid w:val="0066177B"/>
    <w:rsid w:val="00663465"/>
    <w:rsid w:val="00663507"/>
    <w:rsid w:val="006645F1"/>
    <w:rsid w:val="00666E0C"/>
    <w:rsid w:val="00667A96"/>
    <w:rsid w:val="006714E7"/>
    <w:rsid w:val="00671677"/>
    <w:rsid w:val="006736C5"/>
    <w:rsid w:val="0067479E"/>
    <w:rsid w:val="006764B6"/>
    <w:rsid w:val="00676855"/>
    <w:rsid w:val="00677399"/>
    <w:rsid w:val="00680488"/>
    <w:rsid w:val="00687B95"/>
    <w:rsid w:val="00687DB1"/>
    <w:rsid w:val="00691C7A"/>
    <w:rsid w:val="00693283"/>
    <w:rsid w:val="00694015"/>
    <w:rsid w:val="00696F4B"/>
    <w:rsid w:val="00697CB6"/>
    <w:rsid w:val="006A0646"/>
    <w:rsid w:val="006A4896"/>
    <w:rsid w:val="006A5315"/>
    <w:rsid w:val="006A5337"/>
    <w:rsid w:val="006B0092"/>
    <w:rsid w:val="006B0EC1"/>
    <w:rsid w:val="006B2139"/>
    <w:rsid w:val="006B23B7"/>
    <w:rsid w:val="006B2B7F"/>
    <w:rsid w:val="006B2C8D"/>
    <w:rsid w:val="006B4397"/>
    <w:rsid w:val="006B7BC0"/>
    <w:rsid w:val="006C07B0"/>
    <w:rsid w:val="006C1898"/>
    <w:rsid w:val="006C2929"/>
    <w:rsid w:val="006C2A8D"/>
    <w:rsid w:val="006C39D3"/>
    <w:rsid w:val="006C4D7B"/>
    <w:rsid w:val="006C5BC0"/>
    <w:rsid w:val="006D07C7"/>
    <w:rsid w:val="006D177B"/>
    <w:rsid w:val="006D34B4"/>
    <w:rsid w:val="006D3519"/>
    <w:rsid w:val="006D498B"/>
    <w:rsid w:val="006D5D54"/>
    <w:rsid w:val="006D72D5"/>
    <w:rsid w:val="006E3995"/>
    <w:rsid w:val="006E3A68"/>
    <w:rsid w:val="006E5431"/>
    <w:rsid w:val="006F00C9"/>
    <w:rsid w:val="006F1029"/>
    <w:rsid w:val="006F3A1C"/>
    <w:rsid w:val="006F3D9A"/>
    <w:rsid w:val="006F61C4"/>
    <w:rsid w:val="007008F9"/>
    <w:rsid w:val="00702BD0"/>
    <w:rsid w:val="00702DA9"/>
    <w:rsid w:val="00704878"/>
    <w:rsid w:val="00714E07"/>
    <w:rsid w:val="0071649A"/>
    <w:rsid w:val="00716C22"/>
    <w:rsid w:val="00717B07"/>
    <w:rsid w:val="007219E3"/>
    <w:rsid w:val="00721A07"/>
    <w:rsid w:val="00722D11"/>
    <w:rsid w:val="00724A1F"/>
    <w:rsid w:val="00724D9F"/>
    <w:rsid w:val="00726DA3"/>
    <w:rsid w:val="007271DC"/>
    <w:rsid w:val="0073051D"/>
    <w:rsid w:val="00730F15"/>
    <w:rsid w:val="007320C0"/>
    <w:rsid w:val="00732971"/>
    <w:rsid w:val="00734240"/>
    <w:rsid w:val="00743FEB"/>
    <w:rsid w:val="00745649"/>
    <w:rsid w:val="00745E57"/>
    <w:rsid w:val="00746F60"/>
    <w:rsid w:val="00751B2D"/>
    <w:rsid w:val="0075205B"/>
    <w:rsid w:val="00752A08"/>
    <w:rsid w:val="00753583"/>
    <w:rsid w:val="007536D1"/>
    <w:rsid w:val="00753D86"/>
    <w:rsid w:val="00756007"/>
    <w:rsid w:val="00761E0F"/>
    <w:rsid w:val="00763173"/>
    <w:rsid w:val="007633D0"/>
    <w:rsid w:val="00763C7E"/>
    <w:rsid w:val="007665B4"/>
    <w:rsid w:val="00767021"/>
    <w:rsid w:val="007760E6"/>
    <w:rsid w:val="00780E27"/>
    <w:rsid w:val="00785C0A"/>
    <w:rsid w:val="00786011"/>
    <w:rsid w:val="007866A5"/>
    <w:rsid w:val="00787551"/>
    <w:rsid w:val="007A0815"/>
    <w:rsid w:val="007A16D8"/>
    <w:rsid w:val="007A171D"/>
    <w:rsid w:val="007A421E"/>
    <w:rsid w:val="007B03DF"/>
    <w:rsid w:val="007B0577"/>
    <w:rsid w:val="007B1337"/>
    <w:rsid w:val="007B2434"/>
    <w:rsid w:val="007B2729"/>
    <w:rsid w:val="007B2962"/>
    <w:rsid w:val="007B2AC1"/>
    <w:rsid w:val="007B5966"/>
    <w:rsid w:val="007B5A70"/>
    <w:rsid w:val="007B6E5C"/>
    <w:rsid w:val="007C3C5A"/>
    <w:rsid w:val="007C4EC2"/>
    <w:rsid w:val="007C5475"/>
    <w:rsid w:val="007C5947"/>
    <w:rsid w:val="007D2DF2"/>
    <w:rsid w:val="007D773E"/>
    <w:rsid w:val="007E03D8"/>
    <w:rsid w:val="007E0E84"/>
    <w:rsid w:val="007E1199"/>
    <w:rsid w:val="007E4D15"/>
    <w:rsid w:val="007E73A0"/>
    <w:rsid w:val="007F1D3E"/>
    <w:rsid w:val="007F3901"/>
    <w:rsid w:val="007F72F2"/>
    <w:rsid w:val="007F7B26"/>
    <w:rsid w:val="0080155F"/>
    <w:rsid w:val="008019CB"/>
    <w:rsid w:val="00803138"/>
    <w:rsid w:val="008034C6"/>
    <w:rsid w:val="0080350F"/>
    <w:rsid w:val="00803AAF"/>
    <w:rsid w:val="00803C77"/>
    <w:rsid w:val="008047FF"/>
    <w:rsid w:val="00805A3C"/>
    <w:rsid w:val="00806BE3"/>
    <w:rsid w:val="00807508"/>
    <w:rsid w:val="00807748"/>
    <w:rsid w:val="00810890"/>
    <w:rsid w:val="00810C2E"/>
    <w:rsid w:val="00811844"/>
    <w:rsid w:val="00812D00"/>
    <w:rsid w:val="0082319B"/>
    <w:rsid w:val="00825CE9"/>
    <w:rsid w:val="00827A95"/>
    <w:rsid w:val="008314EA"/>
    <w:rsid w:val="008316C1"/>
    <w:rsid w:val="00831BAA"/>
    <w:rsid w:val="00831BC4"/>
    <w:rsid w:val="008320A1"/>
    <w:rsid w:val="008330A3"/>
    <w:rsid w:val="008330F7"/>
    <w:rsid w:val="00834589"/>
    <w:rsid w:val="008345CC"/>
    <w:rsid w:val="00835EC9"/>
    <w:rsid w:val="00837753"/>
    <w:rsid w:val="008377DE"/>
    <w:rsid w:val="00837BEE"/>
    <w:rsid w:val="00842E95"/>
    <w:rsid w:val="00843EC2"/>
    <w:rsid w:val="008455E3"/>
    <w:rsid w:val="00845A5D"/>
    <w:rsid w:val="00845D0A"/>
    <w:rsid w:val="00846844"/>
    <w:rsid w:val="0085011A"/>
    <w:rsid w:val="00850341"/>
    <w:rsid w:val="00850ABA"/>
    <w:rsid w:val="008511DA"/>
    <w:rsid w:val="00851B12"/>
    <w:rsid w:val="00851DB7"/>
    <w:rsid w:val="00855F76"/>
    <w:rsid w:val="00856275"/>
    <w:rsid w:val="00857A76"/>
    <w:rsid w:val="008607A2"/>
    <w:rsid w:val="00860E78"/>
    <w:rsid w:val="008619A8"/>
    <w:rsid w:val="00863415"/>
    <w:rsid w:val="008678D7"/>
    <w:rsid w:val="00867C29"/>
    <w:rsid w:val="00870E6F"/>
    <w:rsid w:val="00872FBB"/>
    <w:rsid w:val="00873ECC"/>
    <w:rsid w:val="00877C25"/>
    <w:rsid w:val="00877C7D"/>
    <w:rsid w:val="0088096F"/>
    <w:rsid w:val="00880C0F"/>
    <w:rsid w:val="00880DDD"/>
    <w:rsid w:val="00880FD0"/>
    <w:rsid w:val="00881DBC"/>
    <w:rsid w:val="00881E51"/>
    <w:rsid w:val="008852D3"/>
    <w:rsid w:val="00885ADE"/>
    <w:rsid w:val="008921A2"/>
    <w:rsid w:val="0089263F"/>
    <w:rsid w:val="0089462F"/>
    <w:rsid w:val="00894D18"/>
    <w:rsid w:val="00895BF0"/>
    <w:rsid w:val="00895DB2"/>
    <w:rsid w:val="00895DF9"/>
    <w:rsid w:val="00896B8B"/>
    <w:rsid w:val="00896CB0"/>
    <w:rsid w:val="008A5E73"/>
    <w:rsid w:val="008A7203"/>
    <w:rsid w:val="008B011D"/>
    <w:rsid w:val="008B0DA8"/>
    <w:rsid w:val="008B15EA"/>
    <w:rsid w:val="008B4A91"/>
    <w:rsid w:val="008B5E95"/>
    <w:rsid w:val="008C224A"/>
    <w:rsid w:val="008C4629"/>
    <w:rsid w:val="008C6865"/>
    <w:rsid w:val="008C6BB4"/>
    <w:rsid w:val="008C711B"/>
    <w:rsid w:val="008D0BA5"/>
    <w:rsid w:val="008D11A2"/>
    <w:rsid w:val="008D2769"/>
    <w:rsid w:val="008D4E64"/>
    <w:rsid w:val="008D5F1E"/>
    <w:rsid w:val="008D6A70"/>
    <w:rsid w:val="008D6F07"/>
    <w:rsid w:val="008E3DBC"/>
    <w:rsid w:val="008E4051"/>
    <w:rsid w:val="008E4A97"/>
    <w:rsid w:val="008E5E04"/>
    <w:rsid w:val="008F0745"/>
    <w:rsid w:val="008F1FBB"/>
    <w:rsid w:val="008F2948"/>
    <w:rsid w:val="008F2DD1"/>
    <w:rsid w:val="008F48A5"/>
    <w:rsid w:val="008F7605"/>
    <w:rsid w:val="008F7C9A"/>
    <w:rsid w:val="00902346"/>
    <w:rsid w:val="00903F4E"/>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0467"/>
    <w:rsid w:val="00942462"/>
    <w:rsid w:val="00943904"/>
    <w:rsid w:val="00943ADE"/>
    <w:rsid w:val="00944793"/>
    <w:rsid w:val="00944997"/>
    <w:rsid w:val="00945033"/>
    <w:rsid w:val="009452A2"/>
    <w:rsid w:val="00947AB5"/>
    <w:rsid w:val="00950BB9"/>
    <w:rsid w:val="00952ADB"/>
    <w:rsid w:val="0095361E"/>
    <w:rsid w:val="00953CA5"/>
    <w:rsid w:val="0095510F"/>
    <w:rsid w:val="0095564D"/>
    <w:rsid w:val="00961606"/>
    <w:rsid w:val="00962320"/>
    <w:rsid w:val="00963994"/>
    <w:rsid w:val="00963B5D"/>
    <w:rsid w:val="0096506F"/>
    <w:rsid w:val="00966EED"/>
    <w:rsid w:val="00970491"/>
    <w:rsid w:val="00970676"/>
    <w:rsid w:val="00970832"/>
    <w:rsid w:val="00973FD2"/>
    <w:rsid w:val="00973FF1"/>
    <w:rsid w:val="00977534"/>
    <w:rsid w:val="009806BA"/>
    <w:rsid w:val="00980ABB"/>
    <w:rsid w:val="00981573"/>
    <w:rsid w:val="0098206A"/>
    <w:rsid w:val="00982B03"/>
    <w:rsid w:val="00983408"/>
    <w:rsid w:val="00984512"/>
    <w:rsid w:val="00984BE6"/>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16E2"/>
    <w:rsid w:val="009B21BE"/>
    <w:rsid w:val="009B3D97"/>
    <w:rsid w:val="009B4FAD"/>
    <w:rsid w:val="009B5639"/>
    <w:rsid w:val="009B6B1D"/>
    <w:rsid w:val="009B740F"/>
    <w:rsid w:val="009C0E4C"/>
    <w:rsid w:val="009C16C4"/>
    <w:rsid w:val="009C2707"/>
    <w:rsid w:val="009C39F5"/>
    <w:rsid w:val="009C468E"/>
    <w:rsid w:val="009C7977"/>
    <w:rsid w:val="009D0741"/>
    <w:rsid w:val="009D1535"/>
    <w:rsid w:val="009D217E"/>
    <w:rsid w:val="009D39EA"/>
    <w:rsid w:val="009D43FC"/>
    <w:rsid w:val="009D5052"/>
    <w:rsid w:val="009D6888"/>
    <w:rsid w:val="009E0CAF"/>
    <w:rsid w:val="009E4D20"/>
    <w:rsid w:val="009E674C"/>
    <w:rsid w:val="009E71C3"/>
    <w:rsid w:val="009F1373"/>
    <w:rsid w:val="009F32EB"/>
    <w:rsid w:val="009F544E"/>
    <w:rsid w:val="009F5B60"/>
    <w:rsid w:val="009F7A8D"/>
    <w:rsid w:val="00A01B76"/>
    <w:rsid w:val="00A01DBE"/>
    <w:rsid w:val="00A0255B"/>
    <w:rsid w:val="00A029B9"/>
    <w:rsid w:val="00A02AE4"/>
    <w:rsid w:val="00A05DBE"/>
    <w:rsid w:val="00A0767F"/>
    <w:rsid w:val="00A07B91"/>
    <w:rsid w:val="00A1296B"/>
    <w:rsid w:val="00A13680"/>
    <w:rsid w:val="00A1412F"/>
    <w:rsid w:val="00A1594A"/>
    <w:rsid w:val="00A15F01"/>
    <w:rsid w:val="00A17864"/>
    <w:rsid w:val="00A17C93"/>
    <w:rsid w:val="00A20158"/>
    <w:rsid w:val="00A20D06"/>
    <w:rsid w:val="00A2294A"/>
    <w:rsid w:val="00A24930"/>
    <w:rsid w:val="00A24E05"/>
    <w:rsid w:val="00A27C19"/>
    <w:rsid w:val="00A27E6D"/>
    <w:rsid w:val="00A3050C"/>
    <w:rsid w:val="00A32868"/>
    <w:rsid w:val="00A37524"/>
    <w:rsid w:val="00A40121"/>
    <w:rsid w:val="00A433BA"/>
    <w:rsid w:val="00A43CF6"/>
    <w:rsid w:val="00A43EC8"/>
    <w:rsid w:val="00A45ADD"/>
    <w:rsid w:val="00A50C26"/>
    <w:rsid w:val="00A515E6"/>
    <w:rsid w:val="00A5433A"/>
    <w:rsid w:val="00A559DB"/>
    <w:rsid w:val="00A56528"/>
    <w:rsid w:val="00A56FC3"/>
    <w:rsid w:val="00A602E0"/>
    <w:rsid w:val="00A6185B"/>
    <w:rsid w:val="00A62382"/>
    <w:rsid w:val="00A63E21"/>
    <w:rsid w:val="00A65670"/>
    <w:rsid w:val="00A67C67"/>
    <w:rsid w:val="00A72B0D"/>
    <w:rsid w:val="00A7569D"/>
    <w:rsid w:val="00A7674A"/>
    <w:rsid w:val="00A76D91"/>
    <w:rsid w:val="00A775E0"/>
    <w:rsid w:val="00A8062E"/>
    <w:rsid w:val="00A811A7"/>
    <w:rsid w:val="00A843DD"/>
    <w:rsid w:val="00A85B2B"/>
    <w:rsid w:val="00A86E75"/>
    <w:rsid w:val="00A871DE"/>
    <w:rsid w:val="00A87406"/>
    <w:rsid w:val="00A87888"/>
    <w:rsid w:val="00A90445"/>
    <w:rsid w:val="00A90E6C"/>
    <w:rsid w:val="00A90EBA"/>
    <w:rsid w:val="00A9210A"/>
    <w:rsid w:val="00A93139"/>
    <w:rsid w:val="00A96BC7"/>
    <w:rsid w:val="00AA0001"/>
    <w:rsid w:val="00AA1487"/>
    <w:rsid w:val="00AA45A8"/>
    <w:rsid w:val="00AA6CB0"/>
    <w:rsid w:val="00AB0A8B"/>
    <w:rsid w:val="00AB2260"/>
    <w:rsid w:val="00AB2F2D"/>
    <w:rsid w:val="00AB69FF"/>
    <w:rsid w:val="00AB6AB5"/>
    <w:rsid w:val="00AB7E60"/>
    <w:rsid w:val="00AC1FBD"/>
    <w:rsid w:val="00AC25F5"/>
    <w:rsid w:val="00AC2959"/>
    <w:rsid w:val="00AC2D73"/>
    <w:rsid w:val="00AC36FC"/>
    <w:rsid w:val="00AC414F"/>
    <w:rsid w:val="00AC5FC1"/>
    <w:rsid w:val="00AC6736"/>
    <w:rsid w:val="00AD189B"/>
    <w:rsid w:val="00AD2105"/>
    <w:rsid w:val="00AD266D"/>
    <w:rsid w:val="00AD27F6"/>
    <w:rsid w:val="00AD2E8B"/>
    <w:rsid w:val="00AD43DB"/>
    <w:rsid w:val="00AD65CC"/>
    <w:rsid w:val="00AE2455"/>
    <w:rsid w:val="00AE2E36"/>
    <w:rsid w:val="00AE3FD1"/>
    <w:rsid w:val="00AE46D9"/>
    <w:rsid w:val="00AE48C0"/>
    <w:rsid w:val="00AE4978"/>
    <w:rsid w:val="00AE5DE8"/>
    <w:rsid w:val="00AE62B2"/>
    <w:rsid w:val="00AE72AE"/>
    <w:rsid w:val="00AF0829"/>
    <w:rsid w:val="00AF0FE8"/>
    <w:rsid w:val="00AF219C"/>
    <w:rsid w:val="00AF29DE"/>
    <w:rsid w:val="00AF2D5F"/>
    <w:rsid w:val="00AF3CB6"/>
    <w:rsid w:val="00AF40CE"/>
    <w:rsid w:val="00AF5592"/>
    <w:rsid w:val="00B00C3D"/>
    <w:rsid w:val="00B045D9"/>
    <w:rsid w:val="00B04A18"/>
    <w:rsid w:val="00B05A6C"/>
    <w:rsid w:val="00B06DDA"/>
    <w:rsid w:val="00B10347"/>
    <w:rsid w:val="00B11C63"/>
    <w:rsid w:val="00B150B3"/>
    <w:rsid w:val="00B228BD"/>
    <w:rsid w:val="00B26D6D"/>
    <w:rsid w:val="00B31D87"/>
    <w:rsid w:val="00B32197"/>
    <w:rsid w:val="00B3367A"/>
    <w:rsid w:val="00B34B0C"/>
    <w:rsid w:val="00B40053"/>
    <w:rsid w:val="00B42024"/>
    <w:rsid w:val="00B424E2"/>
    <w:rsid w:val="00B4259F"/>
    <w:rsid w:val="00B43042"/>
    <w:rsid w:val="00B44CEC"/>
    <w:rsid w:val="00B47DC9"/>
    <w:rsid w:val="00B5346C"/>
    <w:rsid w:val="00B55571"/>
    <w:rsid w:val="00B56126"/>
    <w:rsid w:val="00B57363"/>
    <w:rsid w:val="00B61A8C"/>
    <w:rsid w:val="00B652D6"/>
    <w:rsid w:val="00B65440"/>
    <w:rsid w:val="00B70201"/>
    <w:rsid w:val="00B70634"/>
    <w:rsid w:val="00B7118F"/>
    <w:rsid w:val="00B7202F"/>
    <w:rsid w:val="00B72093"/>
    <w:rsid w:val="00B771F0"/>
    <w:rsid w:val="00B816A9"/>
    <w:rsid w:val="00B81DF9"/>
    <w:rsid w:val="00B82DD6"/>
    <w:rsid w:val="00B85429"/>
    <w:rsid w:val="00B90A98"/>
    <w:rsid w:val="00B9226F"/>
    <w:rsid w:val="00B92E44"/>
    <w:rsid w:val="00B96A80"/>
    <w:rsid w:val="00BA071B"/>
    <w:rsid w:val="00BA1BDE"/>
    <w:rsid w:val="00BA2959"/>
    <w:rsid w:val="00BA5103"/>
    <w:rsid w:val="00BA73E1"/>
    <w:rsid w:val="00BA7DB2"/>
    <w:rsid w:val="00BB5F32"/>
    <w:rsid w:val="00BB75A4"/>
    <w:rsid w:val="00BB7E6F"/>
    <w:rsid w:val="00BC1614"/>
    <w:rsid w:val="00BC1A60"/>
    <w:rsid w:val="00BC230D"/>
    <w:rsid w:val="00BC5B89"/>
    <w:rsid w:val="00BC781F"/>
    <w:rsid w:val="00BC7C07"/>
    <w:rsid w:val="00BD13C5"/>
    <w:rsid w:val="00BD2C23"/>
    <w:rsid w:val="00BD2FAB"/>
    <w:rsid w:val="00BE498E"/>
    <w:rsid w:val="00BE7954"/>
    <w:rsid w:val="00BE7DDD"/>
    <w:rsid w:val="00BF1B59"/>
    <w:rsid w:val="00BF2FED"/>
    <w:rsid w:val="00BF34F0"/>
    <w:rsid w:val="00BF4588"/>
    <w:rsid w:val="00BF64B5"/>
    <w:rsid w:val="00BF6E6D"/>
    <w:rsid w:val="00BF73A2"/>
    <w:rsid w:val="00BF74EF"/>
    <w:rsid w:val="00BF7EDD"/>
    <w:rsid w:val="00C0621F"/>
    <w:rsid w:val="00C06631"/>
    <w:rsid w:val="00C06B26"/>
    <w:rsid w:val="00C07277"/>
    <w:rsid w:val="00C07FFD"/>
    <w:rsid w:val="00C11A7E"/>
    <w:rsid w:val="00C126BE"/>
    <w:rsid w:val="00C2034D"/>
    <w:rsid w:val="00C22A01"/>
    <w:rsid w:val="00C22CFC"/>
    <w:rsid w:val="00C262A4"/>
    <w:rsid w:val="00C26E4C"/>
    <w:rsid w:val="00C274ED"/>
    <w:rsid w:val="00C3340E"/>
    <w:rsid w:val="00C33425"/>
    <w:rsid w:val="00C34BF6"/>
    <w:rsid w:val="00C37B74"/>
    <w:rsid w:val="00C425EF"/>
    <w:rsid w:val="00C43EC4"/>
    <w:rsid w:val="00C4547D"/>
    <w:rsid w:val="00C53591"/>
    <w:rsid w:val="00C55275"/>
    <w:rsid w:val="00C55600"/>
    <w:rsid w:val="00C5662D"/>
    <w:rsid w:val="00C5695D"/>
    <w:rsid w:val="00C570FA"/>
    <w:rsid w:val="00C6047A"/>
    <w:rsid w:val="00C6137F"/>
    <w:rsid w:val="00C63B87"/>
    <w:rsid w:val="00C65A64"/>
    <w:rsid w:val="00C713E2"/>
    <w:rsid w:val="00C743B2"/>
    <w:rsid w:val="00C747D1"/>
    <w:rsid w:val="00C74F92"/>
    <w:rsid w:val="00C775AB"/>
    <w:rsid w:val="00C77C10"/>
    <w:rsid w:val="00C80326"/>
    <w:rsid w:val="00C808E6"/>
    <w:rsid w:val="00C831C6"/>
    <w:rsid w:val="00C85555"/>
    <w:rsid w:val="00C85A27"/>
    <w:rsid w:val="00C85CD3"/>
    <w:rsid w:val="00C90434"/>
    <w:rsid w:val="00C92511"/>
    <w:rsid w:val="00C92C34"/>
    <w:rsid w:val="00C93F72"/>
    <w:rsid w:val="00C94421"/>
    <w:rsid w:val="00CA0C9D"/>
    <w:rsid w:val="00CA37E6"/>
    <w:rsid w:val="00CA6646"/>
    <w:rsid w:val="00CA6F70"/>
    <w:rsid w:val="00CB1AFF"/>
    <w:rsid w:val="00CB5719"/>
    <w:rsid w:val="00CC085E"/>
    <w:rsid w:val="00CC1DE3"/>
    <w:rsid w:val="00CC1E4E"/>
    <w:rsid w:val="00CC23C8"/>
    <w:rsid w:val="00CC3838"/>
    <w:rsid w:val="00CC40AF"/>
    <w:rsid w:val="00CC5AF6"/>
    <w:rsid w:val="00CC609A"/>
    <w:rsid w:val="00CC675A"/>
    <w:rsid w:val="00CC6B22"/>
    <w:rsid w:val="00CC7463"/>
    <w:rsid w:val="00CD249F"/>
    <w:rsid w:val="00CD36E1"/>
    <w:rsid w:val="00CD44E4"/>
    <w:rsid w:val="00CE19DB"/>
    <w:rsid w:val="00CE2951"/>
    <w:rsid w:val="00CE4409"/>
    <w:rsid w:val="00CE513F"/>
    <w:rsid w:val="00CE515C"/>
    <w:rsid w:val="00CE5B44"/>
    <w:rsid w:val="00CE6DDA"/>
    <w:rsid w:val="00CF0EFF"/>
    <w:rsid w:val="00CF2229"/>
    <w:rsid w:val="00CF462E"/>
    <w:rsid w:val="00CF4A29"/>
    <w:rsid w:val="00CF4F70"/>
    <w:rsid w:val="00CF5524"/>
    <w:rsid w:val="00CF7A74"/>
    <w:rsid w:val="00CF7C95"/>
    <w:rsid w:val="00CF7DA9"/>
    <w:rsid w:val="00D00EFC"/>
    <w:rsid w:val="00D03C0F"/>
    <w:rsid w:val="00D06A94"/>
    <w:rsid w:val="00D07A85"/>
    <w:rsid w:val="00D104BF"/>
    <w:rsid w:val="00D10DAB"/>
    <w:rsid w:val="00D13094"/>
    <w:rsid w:val="00D203EA"/>
    <w:rsid w:val="00D21961"/>
    <w:rsid w:val="00D22C25"/>
    <w:rsid w:val="00D22C3B"/>
    <w:rsid w:val="00D23C47"/>
    <w:rsid w:val="00D24495"/>
    <w:rsid w:val="00D338E0"/>
    <w:rsid w:val="00D33AB9"/>
    <w:rsid w:val="00D34A7D"/>
    <w:rsid w:val="00D34CF7"/>
    <w:rsid w:val="00D35C60"/>
    <w:rsid w:val="00D4370C"/>
    <w:rsid w:val="00D44984"/>
    <w:rsid w:val="00D47939"/>
    <w:rsid w:val="00D51DA9"/>
    <w:rsid w:val="00D53CEC"/>
    <w:rsid w:val="00D54537"/>
    <w:rsid w:val="00D56BE7"/>
    <w:rsid w:val="00D57593"/>
    <w:rsid w:val="00D578B3"/>
    <w:rsid w:val="00D621F3"/>
    <w:rsid w:val="00D640E0"/>
    <w:rsid w:val="00D65200"/>
    <w:rsid w:val="00D6562A"/>
    <w:rsid w:val="00D663B9"/>
    <w:rsid w:val="00D666B0"/>
    <w:rsid w:val="00D70AC7"/>
    <w:rsid w:val="00D71A3C"/>
    <w:rsid w:val="00D7497A"/>
    <w:rsid w:val="00D755F9"/>
    <w:rsid w:val="00D7567E"/>
    <w:rsid w:val="00D763B3"/>
    <w:rsid w:val="00D76812"/>
    <w:rsid w:val="00D76D13"/>
    <w:rsid w:val="00D80094"/>
    <w:rsid w:val="00D80770"/>
    <w:rsid w:val="00D823B5"/>
    <w:rsid w:val="00D82F14"/>
    <w:rsid w:val="00D87630"/>
    <w:rsid w:val="00D87AB9"/>
    <w:rsid w:val="00D9209B"/>
    <w:rsid w:val="00D92D14"/>
    <w:rsid w:val="00D96E5C"/>
    <w:rsid w:val="00D96E73"/>
    <w:rsid w:val="00D972A5"/>
    <w:rsid w:val="00DA04FD"/>
    <w:rsid w:val="00DA140A"/>
    <w:rsid w:val="00DA1EFF"/>
    <w:rsid w:val="00DA2176"/>
    <w:rsid w:val="00DA7DCC"/>
    <w:rsid w:val="00DB04C1"/>
    <w:rsid w:val="00DB051D"/>
    <w:rsid w:val="00DB0875"/>
    <w:rsid w:val="00DB19B5"/>
    <w:rsid w:val="00DB4674"/>
    <w:rsid w:val="00DB7F29"/>
    <w:rsid w:val="00DC31BF"/>
    <w:rsid w:val="00DC3641"/>
    <w:rsid w:val="00DC461C"/>
    <w:rsid w:val="00DC476D"/>
    <w:rsid w:val="00DC7942"/>
    <w:rsid w:val="00DD07F9"/>
    <w:rsid w:val="00DD11E6"/>
    <w:rsid w:val="00DD58DA"/>
    <w:rsid w:val="00DD5A2E"/>
    <w:rsid w:val="00DD65DD"/>
    <w:rsid w:val="00DD76D1"/>
    <w:rsid w:val="00DD7EAA"/>
    <w:rsid w:val="00DE2D02"/>
    <w:rsid w:val="00DE3905"/>
    <w:rsid w:val="00DE5877"/>
    <w:rsid w:val="00DE6427"/>
    <w:rsid w:val="00DE7A4F"/>
    <w:rsid w:val="00DE7D21"/>
    <w:rsid w:val="00DF0292"/>
    <w:rsid w:val="00DF195F"/>
    <w:rsid w:val="00DF1BB6"/>
    <w:rsid w:val="00DF65C4"/>
    <w:rsid w:val="00E008A0"/>
    <w:rsid w:val="00E01400"/>
    <w:rsid w:val="00E02B53"/>
    <w:rsid w:val="00E02B91"/>
    <w:rsid w:val="00E05794"/>
    <w:rsid w:val="00E066B9"/>
    <w:rsid w:val="00E06F45"/>
    <w:rsid w:val="00E11393"/>
    <w:rsid w:val="00E11E38"/>
    <w:rsid w:val="00E124B1"/>
    <w:rsid w:val="00E1426E"/>
    <w:rsid w:val="00E1520D"/>
    <w:rsid w:val="00E16680"/>
    <w:rsid w:val="00E2361B"/>
    <w:rsid w:val="00E262CB"/>
    <w:rsid w:val="00E268B0"/>
    <w:rsid w:val="00E2754C"/>
    <w:rsid w:val="00E2768C"/>
    <w:rsid w:val="00E337AA"/>
    <w:rsid w:val="00E35D3D"/>
    <w:rsid w:val="00E36B9D"/>
    <w:rsid w:val="00E36C45"/>
    <w:rsid w:val="00E36D1E"/>
    <w:rsid w:val="00E36EEA"/>
    <w:rsid w:val="00E377B6"/>
    <w:rsid w:val="00E413DE"/>
    <w:rsid w:val="00E44204"/>
    <w:rsid w:val="00E446C0"/>
    <w:rsid w:val="00E4598E"/>
    <w:rsid w:val="00E46D56"/>
    <w:rsid w:val="00E50651"/>
    <w:rsid w:val="00E519AE"/>
    <w:rsid w:val="00E5294A"/>
    <w:rsid w:val="00E52BFB"/>
    <w:rsid w:val="00E53B4B"/>
    <w:rsid w:val="00E57947"/>
    <w:rsid w:val="00E60066"/>
    <w:rsid w:val="00E614EA"/>
    <w:rsid w:val="00E6165A"/>
    <w:rsid w:val="00E61926"/>
    <w:rsid w:val="00E61BFF"/>
    <w:rsid w:val="00E6493E"/>
    <w:rsid w:val="00E70894"/>
    <w:rsid w:val="00E757ED"/>
    <w:rsid w:val="00E77091"/>
    <w:rsid w:val="00E77D0E"/>
    <w:rsid w:val="00E81078"/>
    <w:rsid w:val="00E82B7E"/>
    <w:rsid w:val="00E8331D"/>
    <w:rsid w:val="00E8346F"/>
    <w:rsid w:val="00E83C9B"/>
    <w:rsid w:val="00E91147"/>
    <w:rsid w:val="00E922AC"/>
    <w:rsid w:val="00E952BA"/>
    <w:rsid w:val="00E95303"/>
    <w:rsid w:val="00EA1E1A"/>
    <w:rsid w:val="00EA4C05"/>
    <w:rsid w:val="00EA6CA0"/>
    <w:rsid w:val="00EB0670"/>
    <w:rsid w:val="00EB2309"/>
    <w:rsid w:val="00EB2335"/>
    <w:rsid w:val="00EB25FF"/>
    <w:rsid w:val="00EB3787"/>
    <w:rsid w:val="00EB41AA"/>
    <w:rsid w:val="00EB448C"/>
    <w:rsid w:val="00EB536F"/>
    <w:rsid w:val="00EB7180"/>
    <w:rsid w:val="00EC277F"/>
    <w:rsid w:val="00EC3395"/>
    <w:rsid w:val="00EC619F"/>
    <w:rsid w:val="00ED10A9"/>
    <w:rsid w:val="00ED1B4A"/>
    <w:rsid w:val="00ED26F6"/>
    <w:rsid w:val="00EE3A92"/>
    <w:rsid w:val="00EE3CFA"/>
    <w:rsid w:val="00EE3FDA"/>
    <w:rsid w:val="00EE670F"/>
    <w:rsid w:val="00EF3155"/>
    <w:rsid w:val="00EF4CEE"/>
    <w:rsid w:val="00EF6208"/>
    <w:rsid w:val="00F01D72"/>
    <w:rsid w:val="00F06205"/>
    <w:rsid w:val="00F10A15"/>
    <w:rsid w:val="00F10EA5"/>
    <w:rsid w:val="00F12CE0"/>
    <w:rsid w:val="00F1382B"/>
    <w:rsid w:val="00F1523D"/>
    <w:rsid w:val="00F16097"/>
    <w:rsid w:val="00F17AE6"/>
    <w:rsid w:val="00F2358E"/>
    <w:rsid w:val="00F24CCB"/>
    <w:rsid w:val="00F25E0C"/>
    <w:rsid w:val="00F26C1A"/>
    <w:rsid w:val="00F27524"/>
    <w:rsid w:val="00F319C9"/>
    <w:rsid w:val="00F32E25"/>
    <w:rsid w:val="00F332F4"/>
    <w:rsid w:val="00F34A4B"/>
    <w:rsid w:val="00F35909"/>
    <w:rsid w:val="00F3613F"/>
    <w:rsid w:val="00F363B8"/>
    <w:rsid w:val="00F36EC5"/>
    <w:rsid w:val="00F415F1"/>
    <w:rsid w:val="00F41DA8"/>
    <w:rsid w:val="00F425C8"/>
    <w:rsid w:val="00F43161"/>
    <w:rsid w:val="00F44F27"/>
    <w:rsid w:val="00F46120"/>
    <w:rsid w:val="00F46C1A"/>
    <w:rsid w:val="00F50121"/>
    <w:rsid w:val="00F5012E"/>
    <w:rsid w:val="00F50411"/>
    <w:rsid w:val="00F50606"/>
    <w:rsid w:val="00F509D4"/>
    <w:rsid w:val="00F51847"/>
    <w:rsid w:val="00F52C75"/>
    <w:rsid w:val="00F553F2"/>
    <w:rsid w:val="00F558D6"/>
    <w:rsid w:val="00F575D7"/>
    <w:rsid w:val="00F62FB2"/>
    <w:rsid w:val="00F65795"/>
    <w:rsid w:val="00F65F54"/>
    <w:rsid w:val="00F667C1"/>
    <w:rsid w:val="00F67C52"/>
    <w:rsid w:val="00F72952"/>
    <w:rsid w:val="00F7615F"/>
    <w:rsid w:val="00F768DD"/>
    <w:rsid w:val="00F76A21"/>
    <w:rsid w:val="00F808AF"/>
    <w:rsid w:val="00F8231B"/>
    <w:rsid w:val="00F82F23"/>
    <w:rsid w:val="00F84878"/>
    <w:rsid w:val="00F856E5"/>
    <w:rsid w:val="00F90920"/>
    <w:rsid w:val="00F90E45"/>
    <w:rsid w:val="00F93AA5"/>
    <w:rsid w:val="00F9447E"/>
    <w:rsid w:val="00F949C2"/>
    <w:rsid w:val="00F94DFB"/>
    <w:rsid w:val="00F950B5"/>
    <w:rsid w:val="00F95528"/>
    <w:rsid w:val="00FA360C"/>
    <w:rsid w:val="00FA369B"/>
    <w:rsid w:val="00FA4213"/>
    <w:rsid w:val="00FA443A"/>
    <w:rsid w:val="00FA4E9F"/>
    <w:rsid w:val="00FA554B"/>
    <w:rsid w:val="00FA6152"/>
    <w:rsid w:val="00FA6221"/>
    <w:rsid w:val="00FA746E"/>
    <w:rsid w:val="00FB1210"/>
    <w:rsid w:val="00FB2498"/>
    <w:rsid w:val="00FB538D"/>
    <w:rsid w:val="00FB6100"/>
    <w:rsid w:val="00FB6423"/>
    <w:rsid w:val="00FC24E6"/>
    <w:rsid w:val="00FC2855"/>
    <w:rsid w:val="00FC2E09"/>
    <w:rsid w:val="00FC375C"/>
    <w:rsid w:val="00FC4178"/>
    <w:rsid w:val="00FC4E38"/>
    <w:rsid w:val="00FC5535"/>
    <w:rsid w:val="00FC6651"/>
    <w:rsid w:val="00FD26C9"/>
    <w:rsid w:val="00FD49DE"/>
    <w:rsid w:val="00FD4A8C"/>
    <w:rsid w:val="00FD4E6C"/>
    <w:rsid w:val="00FD7D9A"/>
    <w:rsid w:val="00FE163C"/>
    <w:rsid w:val="00FE3BAC"/>
    <w:rsid w:val="00FE4165"/>
    <w:rsid w:val="00FE5486"/>
    <w:rsid w:val="00FE5D9D"/>
    <w:rsid w:val="00FE67AD"/>
    <w:rsid w:val="00FE7450"/>
    <w:rsid w:val="00FF16E9"/>
    <w:rsid w:val="00FF1A2D"/>
    <w:rsid w:val="00FF1EF3"/>
    <w:rsid w:val="00FF33A5"/>
    <w:rsid w:val="00FF3B9A"/>
    <w:rsid w:val="00FF477F"/>
    <w:rsid w:val="00FF47BB"/>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FE84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de-D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footnote text" w:locked="0" w:semiHidden="1" w:uiPriority="99" w:unhideWhenUsed="1"/>
    <w:lsdException w:name="annotation text" w:semiHidden="1" w:uiPriority="99" w:unhideWhenUsed="1"/>
    <w:lsdException w:name="header" w:locked="0" w:semiHidden="1"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line number" w:semiHidden="1" w:uiPriority="99" w:unhideWhenUsed="1"/>
    <w:lsdException w:name="page number" w:semiHidden="1" w:uiPriority="99" w:unhideWhenUsed="1"/>
    <w:lsdException w:name="endnote reference" w:locked="0" w:semiHidden="1" w:unhideWhenUsed="1"/>
    <w:lsdException w:name="Title" w:qFormat="1"/>
    <w:lsdException w:name="Default Paragraph Font" w:locked="0" w:semiHidden="1" w:uiPriority="1" w:unhideWhenUsed="1"/>
    <w:lsdException w:name="Subtitle"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Acronym"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0"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8E3DBC"/>
    <w:rPr>
      <w:rFonts w:eastAsiaTheme="minorEastAsia"/>
      <w:color w:val="000000"/>
      <w:sz w:val="24"/>
    </w:rPr>
  </w:style>
  <w:style w:type="paragraph" w:styleId="Heading1">
    <w:name w:val="heading 1"/>
    <w:basedOn w:val="Normal"/>
    <w:next w:val="Normal"/>
    <w:link w:val="Heading1Char"/>
    <w:uiPriority w:val="9"/>
    <w:qFormat/>
    <w:locked/>
    <w:rsid w:val="00F51847"/>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F51847"/>
    <w:pPr>
      <w:keepNext/>
      <w:spacing w:before="240" w:after="60"/>
      <w:outlineLvl w:val="1"/>
    </w:pPr>
    <w:rPr>
      <w:rFonts w:ascii="Arial" w:hAnsi="Arial"/>
      <w:b/>
      <w:i/>
    </w:rPr>
  </w:style>
  <w:style w:type="paragraph" w:styleId="Heading3">
    <w:name w:val="heading 3"/>
    <w:basedOn w:val="Normal"/>
    <w:next w:val="Normal"/>
    <w:link w:val="Heading3Char"/>
    <w:uiPriority w:val="9"/>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locked/>
    <w:rsid w:val="009F7A8D"/>
    <w:pPr>
      <w:numPr>
        <w:ilvl w:val="5"/>
        <w:numId w:val="1"/>
      </w:numPr>
      <w:spacing w:before="240" w:after="60"/>
      <w:outlineLvl w:val="5"/>
    </w:pPr>
    <w:rPr>
      <w:b/>
      <w:bCs/>
      <w:szCs w:val="22"/>
    </w:rPr>
  </w:style>
  <w:style w:type="paragraph" w:styleId="Heading7">
    <w:name w:val="heading 7"/>
    <w:basedOn w:val="Normal"/>
    <w:next w:val="Normal"/>
    <w:link w:val="Heading7Char"/>
    <w:uiPriority w:val="9"/>
    <w:qFormat/>
    <w:locked/>
    <w:rsid w:val="009F7A8D"/>
    <w:pPr>
      <w:numPr>
        <w:ilvl w:val="6"/>
        <w:numId w:val="1"/>
      </w:numPr>
      <w:spacing w:before="240" w:after="60"/>
      <w:outlineLvl w:val="6"/>
    </w:pPr>
  </w:style>
  <w:style w:type="paragraph" w:styleId="Heading8">
    <w:name w:val="heading 8"/>
    <w:basedOn w:val="Normal"/>
    <w:next w:val="Normal"/>
    <w:link w:val="Heading8Char"/>
    <w:uiPriority w:val="9"/>
    <w:qFormat/>
    <w:locked/>
    <w:rsid w:val="009F7A8D"/>
    <w:pPr>
      <w:numPr>
        <w:ilvl w:val="7"/>
        <w:numId w:val="1"/>
      </w:numPr>
      <w:spacing w:before="240" w:after="60"/>
      <w:outlineLvl w:val="7"/>
    </w:pPr>
    <w:rPr>
      <w:i/>
      <w:iCs/>
    </w:rPr>
  </w:style>
  <w:style w:type="paragraph" w:styleId="Heading9">
    <w:name w:val="heading 9"/>
    <w:basedOn w:val="Normal"/>
    <w:next w:val="Normal"/>
    <w:link w:val="Heading9Char"/>
    <w:uiPriority w:val="9"/>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kern w:val="28"/>
      <w:sz w:val="28"/>
      <w:lang w:val="el-GR" w:eastAsia="de-DE"/>
    </w:rPr>
  </w:style>
  <w:style w:type="character" w:customStyle="1" w:styleId="Heading2Char">
    <w:name w:val="Heading 2 Char"/>
    <w:basedOn w:val="DefaultParagraphFont"/>
    <w:link w:val="Heading2"/>
    <w:uiPriority w:val="9"/>
    <w:locked/>
    <w:rPr>
      <w:rFonts w:ascii="Arial" w:hAnsi="Arial" w:cs="Times New Roman"/>
      <w:b/>
      <w:i/>
      <w:sz w:val="24"/>
      <w:lang w:val="el-GR" w:eastAsia="de-D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lang w:val="el-GR" w:eastAsia="de-D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lang w:val="el-GR" w:eastAsia="de-D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lang w:val="el-GR" w:eastAsia="de-D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lang w:val="el-GR" w:eastAsia="de-DE"/>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color w:val="000000"/>
      <w:sz w:val="24"/>
      <w:szCs w:val="24"/>
      <w:lang w:val="el-GR" w:eastAsia="de-DE"/>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color w:val="000000"/>
      <w:sz w:val="24"/>
      <w:szCs w:val="24"/>
      <w:lang w:val="el-GR" w:eastAsia="de-D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color w:val="000000"/>
      <w:sz w:val="22"/>
      <w:szCs w:val="22"/>
      <w:lang w:val="el-GR" w:eastAsia="de-DE"/>
    </w:rPr>
  </w:style>
  <w:style w:type="paragraph" w:customStyle="1" w:styleId="00LegStandard">
    <w:name w:val="00_LegStandard"/>
    <w:locked/>
    <w:rsid w:val="008E3DBC"/>
    <w:pPr>
      <w:spacing w:line="220" w:lineRule="exact"/>
      <w:jc w:val="both"/>
    </w:pPr>
    <w:rPr>
      <w:color w:val="000000"/>
    </w:rPr>
  </w:style>
  <w:style w:type="paragraph" w:customStyle="1" w:styleId="10Entwurf">
    <w:name w:val="10_Entwurf"/>
    <w:basedOn w:val="00LegStandard"/>
    <w:next w:val="11Titel"/>
    <w:rsid w:val="008E3DBC"/>
    <w:pPr>
      <w:spacing w:before="1600" w:after="1570"/>
      <w:jc w:val="center"/>
    </w:pPr>
    <w:rPr>
      <w:spacing w:val="26"/>
    </w:rPr>
  </w:style>
  <w:style w:type="paragraph" w:customStyle="1" w:styleId="11Titel">
    <w:name w:val="11_Titel"/>
    <w:basedOn w:val="00LegStandard"/>
    <w:next w:val="12PromKlEinlSatz"/>
    <w:rsid w:val="008E3DBC"/>
    <w:pPr>
      <w:suppressAutoHyphens/>
      <w:spacing w:before="480"/>
    </w:pPr>
    <w:rPr>
      <w:b/>
      <w:sz w:val="22"/>
    </w:rPr>
  </w:style>
  <w:style w:type="paragraph" w:customStyle="1" w:styleId="12PromKlEinlSatz">
    <w:name w:val="12_PromKl_EinlSatz"/>
    <w:basedOn w:val="00LegStandard"/>
    <w:next w:val="41UeberschrG1"/>
    <w:rsid w:val="008E3DBC"/>
    <w:pPr>
      <w:keepNext/>
      <w:spacing w:before="160"/>
      <w:ind w:firstLine="397"/>
    </w:pPr>
  </w:style>
  <w:style w:type="paragraph" w:customStyle="1" w:styleId="41UeberschrG1">
    <w:name w:val="41_UeberschrG1"/>
    <w:basedOn w:val="00LegStandard"/>
    <w:next w:val="43UeberschrG2"/>
    <w:link w:val="41UeberschrG1Char"/>
    <w:rsid w:val="008E3DBC"/>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E3DBC"/>
    <w:pPr>
      <w:keepNext/>
      <w:spacing w:before="80" w:after="160"/>
      <w:jc w:val="center"/>
      <w:outlineLvl w:val="1"/>
    </w:pPr>
    <w:rPr>
      <w:b/>
      <w:sz w:val="22"/>
    </w:rPr>
  </w:style>
  <w:style w:type="paragraph" w:customStyle="1" w:styleId="51Abs">
    <w:name w:val="51_Abs"/>
    <w:basedOn w:val="00LegStandard"/>
    <w:link w:val="51AbsZchn"/>
    <w:qFormat/>
    <w:rsid w:val="008E3DBC"/>
    <w:pPr>
      <w:spacing w:before="80"/>
      <w:ind w:firstLine="397"/>
    </w:pPr>
  </w:style>
  <w:style w:type="paragraph" w:customStyle="1" w:styleId="22NovAo2">
    <w:name w:val="22_NovAo2"/>
    <w:basedOn w:val="21NovAo1"/>
    <w:link w:val="22NovAo2Zchn"/>
    <w:qFormat/>
    <w:rsid w:val="008E3DBC"/>
    <w:pPr>
      <w:keepNext w:val="0"/>
    </w:pPr>
  </w:style>
  <w:style w:type="paragraph" w:customStyle="1" w:styleId="21NovAo1">
    <w:name w:val="21_NovAo1"/>
    <w:basedOn w:val="00LegStandard"/>
    <w:next w:val="23SatznachNovao"/>
    <w:link w:val="21NovAo1Zchn"/>
    <w:qFormat/>
    <w:rsid w:val="008E3DBC"/>
    <w:pPr>
      <w:keepNext/>
      <w:spacing w:before="160"/>
      <w:outlineLvl w:val="2"/>
    </w:pPr>
    <w:rPr>
      <w:i/>
    </w:rPr>
  </w:style>
  <w:style w:type="paragraph" w:customStyle="1" w:styleId="23SatznachNovao">
    <w:name w:val="23_Satz_(nach_Novao)"/>
    <w:basedOn w:val="00LegStandard"/>
    <w:next w:val="21NovAo1"/>
    <w:qFormat/>
    <w:rsid w:val="008E3DBC"/>
    <w:pPr>
      <w:spacing w:before="80"/>
    </w:pPr>
  </w:style>
  <w:style w:type="paragraph" w:customStyle="1" w:styleId="42UeberschrG1-">
    <w:name w:val="42_UeberschrG1-"/>
    <w:basedOn w:val="00LegStandard"/>
    <w:next w:val="43UeberschrG2"/>
    <w:rsid w:val="008E3DBC"/>
    <w:pPr>
      <w:keepNext/>
      <w:spacing w:before="160"/>
      <w:jc w:val="center"/>
      <w:outlineLvl w:val="0"/>
    </w:pPr>
    <w:rPr>
      <w:b/>
      <w:sz w:val="22"/>
    </w:rPr>
  </w:style>
  <w:style w:type="paragraph" w:customStyle="1" w:styleId="44UeberschrArt">
    <w:name w:val="44_UeberschrArt+"/>
    <w:basedOn w:val="00LegStandard"/>
    <w:next w:val="51Abs"/>
    <w:rsid w:val="008E3DBC"/>
    <w:pPr>
      <w:keepNext/>
      <w:spacing w:before="160"/>
      <w:jc w:val="center"/>
      <w:outlineLvl w:val="2"/>
    </w:pPr>
    <w:rPr>
      <w:b/>
    </w:rPr>
  </w:style>
  <w:style w:type="paragraph" w:customStyle="1" w:styleId="45UeberschrPara">
    <w:name w:val="45_UeberschrPara"/>
    <w:basedOn w:val="00LegStandard"/>
    <w:next w:val="51Abs"/>
    <w:link w:val="45UeberschrParaChar"/>
    <w:qFormat/>
    <w:rsid w:val="008E3DBC"/>
    <w:pPr>
      <w:keepNext/>
      <w:spacing w:before="80"/>
      <w:jc w:val="center"/>
    </w:pPr>
    <w:rPr>
      <w:b/>
    </w:rPr>
  </w:style>
  <w:style w:type="paragraph" w:customStyle="1" w:styleId="83ErlText">
    <w:name w:val="83_ErlText"/>
    <w:basedOn w:val="00LegStandard"/>
    <w:rsid w:val="008E3DBC"/>
    <w:pPr>
      <w:spacing w:before="80"/>
    </w:pPr>
  </w:style>
  <w:style w:type="paragraph" w:customStyle="1" w:styleId="82ErlUeberschrL">
    <w:name w:val="82_ErlUeberschrL"/>
    <w:basedOn w:val="00LegStandard"/>
    <w:next w:val="83ErlText"/>
    <w:rsid w:val="008E3DBC"/>
    <w:pPr>
      <w:keepNext/>
      <w:spacing w:before="80"/>
      <w:outlineLvl w:val="1"/>
    </w:pPr>
    <w:rPr>
      <w:b/>
    </w:rPr>
  </w:style>
  <w:style w:type="paragraph" w:customStyle="1" w:styleId="61TabText">
    <w:name w:val="61_TabText"/>
    <w:basedOn w:val="00LegStandard"/>
    <w:rsid w:val="008E3DBC"/>
    <w:pPr>
      <w:jc w:val="left"/>
    </w:pPr>
  </w:style>
  <w:style w:type="paragraph" w:customStyle="1" w:styleId="85ErlAufzaehlg">
    <w:name w:val="85_ErlAufzaehlg"/>
    <w:basedOn w:val="83ErlText"/>
    <w:rsid w:val="008E3DBC"/>
    <w:pPr>
      <w:tabs>
        <w:tab w:val="left" w:pos="397"/>
      </w:tabs>
      <w:ind w:left="397" w:hanging="397"/>
    </w:pPr>
  </w:style>
  <w:style w:type="paragraph" w:customStyle="1" w:styleId="52Ziffere1">
    <w:name w:val="52_Ziffer_e1"/>
    <w:basedOn w:val="00LegStandard"/>
    <w:qFormat/>
    <w:rsid w:val="008E3DBC"/>
    <w:pPr>
      <w:tabs>
        <w:tab w:val="right" w:pos="624"/>
        <w:tab w:val="left" w:pos="680"/>
      </w:tabs>
      <w:spacing w:before="40"/>
      <w:ind w:left="680" w:hanging="680"/>
    </w:pPr>
  </w:style>
  <w:style w:type="paragraph" w:customStyle="1" w:styleId="52Ziffere2">
    <w:name w:val="52_Ziffer_e2"/>
    <w:basedOn w:val="00LegStandard"/>
    <w:rsid w:val="008E3DBC"/>
    <w:pPr>
      <w:tabs>
        <w:tab w:val="right" w:pos="851"/>
        <w:tab w:val="left" w:pos="907"/>
      </w:tabs>
      <w:spacing w:before="40"/>
      <w:ind w:left="907" w:hanging="907"/>
    </w:pPr>
  </w:style>
  <w:style w:type="paragraph" w:customStyle="1" w:styleId="52Ziffere3">
    <w:name w:val="52_Ziffer_e3"/>
    <w:basedOn w:val="00LegStandard"/>
    <w:rsid w:val="008E3DBC"/>
    <w:pPr>
      <w:tabs>
        <w:tab w:val="right" w:pos="1191"/>
        <w:tab w:val="left" w:pos="1247"/>
      </w:tabs>
      <w:spacing w:before="40"/>
      <w:ind w:left="1247" w:hanging="1247"/>
    </w:pPr>
  </w:style>
  <w:style w:type="paragraph" w:customStyle="1" w:styleId="53Literae1">
    <w:name w:val="53_Litera_e1"/>
    <w:basedOn w:val="00LegStandard"/>
    <w:rsid w:val="008E3DBC"/>
    <w:pPr>
      <w:tabs>
        <w:tab w:val="right" w:pos="624"/>
        <w:tab w:val="left" w:pos="680"/>
      </w:tabs>
      <w:spacing w:before="40"/>
      <w:ind w:left="680" w:hanging="680"/>
    </w:pPr>
  </w:style>
  <w:style w:type="paragraph" w:customStyle="1" w:styleId="53Literae2">
    <w:name w:val="53_Litera_e2"/>
    <w:basedOn w:val="00LegStandard"/>
    <w:qFormat/>
    <w:rsid w:val="008E3DBC"/>
    <w:pPr>
      <w:tabs>
        <w:tab w:val="right" w:pos="851"/>
        <w:tab w:val="left" w:pos="907"/>
      </w:tabs>
      <w:spacing w:before="40"/>
      <w:ind w:left="907" w:hanging="907"/>
    </w:pPr>
  </w:style>
  <w:style w:type="paragraph" w:customStyle="1" w:styleId="53Literae3">
    <w:name w:val="53_Litera_e3"/>
    <w:basedOn w:val="00LegStandard"/>
    <w:rsid w:val="008E3DBC"/>
    <w:pPr>
      <w:tabs>
        <w:tab w:val="right" w:pos="1191"/>
        <w:tab w:val="left" w:pos="1247"/>
      </w:tabs>
      <w:spacing w:before="40"/>
      <w:ind w:left="1247" w:hanging="1247"/>
    </w:pPr>
  </w:style>
  <w:style w:type="paragraph" w:customStyle="1" w:styleId="54Subliterae1">
    <w:name w:val="54_Sublitera_e1"/>
    <w:basedOn w:val="00LegStandard"/>
    <w:rsid w:val="008E3DBC"/>
    <w:pPr>
      <w:tabs>
        <w:tab w:val="right" w:pos="624"/>
        <w:tab w:val="left" w:pos="680"/>
      </w:tabs>
      <w:spacing w:before="40"/>
      <w:ind w:left="680" w:hanging="680"/>
    </w:pPr>
  </w:style>
  <w:style w:type="paragraph" w:customStyle="1" w:styleId="54Subliterae2">
    <w:name w:val="54_Sublitera_e2"/>
    <w:basedOn w:val="00LegStandard"/>
    <w:rsid w:val="008E3DBC"/>
    <w:pPr>
      <w:tabs>
        <w:tab w:val="right" w:pos="851"/>
        <w:tab w:val="left" w:pos="907"/>
      </w:tabs>
      <w:spacing w:before="40"/>
      <w:ind w:left="907" w:hanging="907"/>
    </w:pPr>
  </w:style>
  <w:style w:type="paragraph" w:customStyle="1" w:styleId="54Subliterae3">
    <w:name w:val="54_Sublitera_e3"/>
    <w:basedOn w:val="00LegStandard"/>
    <w:rsid w:val="008E3DBC"/>
    <w:pPr>
      <w:tabs>
        <w:tab w:val="right" w:pos="1191"/>
        <w:tab w:val="left" w:pos="1247"/>
      </w:tabs>
      <w:spacing w:before="40"/>
      <w:ind w:left="1247" w:hanging="1247"/>
    </w:pPr>
  </w:style>
  <w:style w:type="paragraph" w:customStyle="1" w:styleId="54aStriche1">
    <w:name w:val="54a_Strich_e1"/>
    <w:basedOn w:val="00LegStandard"/>
    <w:rsid w:val="008E3DBC"/>
    <w:pPr>
      <w:tabs>
        <w:tab w:val="right" w:pos="624"/>
        <w:tab w:val="left" w:pos="680"/>
      </w:tabs>
      <w:spacing w:before="40"/>
      <w:ind w:left="680" w:hanging="680"/>
    </w:pPr>
  </w:style>
  <w:style w:type="paragraph" w:customStyle="1" w:styleId="54aStriche2">
    <w:name w:val="54a_Strich_e2"/>
    <w:basedOn w:val="00LegStandard"/>
    <w:rsid w:val="008E3DBC"/>
    <w:pPr>
      <w:tabs>
        <w:tab w:val="right" w:pos="851"/>
        <w:tab w:val="left" w:pos="907"/>
      </w:tabs>
      <w:spacing w:before="40"/>
      <w:ind w:left="907" w:hanging="907"/>
    </w:pPr>
  </w:style>
  <w:style w:type="paragraph" w:customStyle="1" w:styleId="54aStriche3">
    <w:name w:val="54a_Strich_e3"/>
    <w:basedOn w:val="00LegStandard"/>
    <w:qFormat/>
    <w:rsid w:val="008E3DBC"/>
    <w:pPr>
      <w:tabs>
        <w:tab w:val="right" w:pos="1191"/>
        <w:tab w:val="left" w:pos="1247"/>
      </w:tabs>
      <w:spacing w:before="40"/>
      <w:ind w:left="1247" w:hanging="1247"/>
    </w:pPr>
  </w:style>
  <w:style w:type="paragraph" w:customStyle="1" w:styleId="54aStriche4">
    <w:name w:val="54a_Strich_e4"/>
    <w:basedOn w:val="00LegStandard"/>
    <w:rsid w:val="008E3DBC"/>
    <w:pPr>
      <w:tabs>
        <w:tab w:val="right" w:pos="1588"/>
        <w:tab w:val="left" w:pos="1644"/>
      </w:tabs>
      <w:spacing w:before="40"/>
      <w:ind w:left="1644" w:hanging="1644"/>
    </w:pPr>
  </w:style>
  <w:style w:type="paragraph" w:customStyle="1" w:styleId="54aStriche5">
    <w:name w:val="54a_Strich_e5"/>
    <w:basedOn w:val="00LegStandard"/>
    <w:rsid w:val="008E3DBC"/>
    <w:pPr>
      <w:tabs>
        <w:tab w:val="right" w:pos="1928"/>
        <w:tab w:val="left" w:pos="1985"/>
      </w:tabs>
      <w:spacing w:before="40"/>
      <w:ind w:left="1985" w:hanging="1985"/>
    </w:pPr>
  </w:style>
  <w:style w:type="paragraph" w:customStyle="1" w:styleId="55SchlussteilAbs">
    <w:name w:val="55_SchlussteilAbs"/>
    <w:basedOn w:val="00LegStandard"/>
    <w:next w:val="51Abs"/>
    <w:rsid w:val="008E3DBC"/>
    <w:pPr>
      <w:spacing w:before="40"/>
    </w:pPr>
  </w:style>
  <w:style w:type="paragraph" w:customStyle="1" w:styleId="56SchlussteilZiff">
    <w:name w:val="56_SchlussteilZiff"/>
    <w:basedOn w:val="00LegStandard"/>
    <w:next w:val="51Abs"/>
    <w:rsid w:val="008E3DBC"/>
    <w:pPr>
      <w:spacing w:before="40"/>
      <w:ind w:left="680"/>
    </w:pPr>
  </w:style>
  <w:style w:type="paragraph" w:customStyle="1" w:styleId="57SchlussteilLit">
    <w:name w:val="57_SchlussteilLit"/>
    <w:basedOn w:val="00LegStandard"/>
    <w:next w:val="51Abs"/>
    <w:rsid w:val="008E3DBC"/>
    <w:pPr>
      <w:spacing w:before="40"/>
      <w:ind w:left="907"/>
    </w:pPr>
  </w:style>
  <w:style w:type="paragraph" w:customStyle="1" w:styleId="68UnterschrL">
    <w:name w:val="68_UnterschrL"/>
    <w:basedOn w:val="00LegStandard"/>
    <w:rsid w:val="008E3DBC"/>
    <w:pPr>
      <w:spacing w:before="160"/>
      <w:jc w:val="left"/>
    </w:pPr>
    <w:rPr>
      <w:b/>
    </w:rPr>
  </w:style>
  <w:style w:type="paragraph" w:customStyle="1" w:styleId="69UnterschrM">
    <w:name w:val="69_UnterschrM"/>
    <w:basedOn w:val="68UnterschrL"/>
    <w:rsid w:val="008E3DBC"/>
    <w:pPr>
      <w:jc w:val="center"/>
    </w:pPr>
  </w:style>
  <w:style w:type="paragraph" w:customStyle="1" w:styleId="89TGUEUeberschrSpalte">
    <w:name w:val="89_TGUE_UeberschrSpalte"/>
    <w:basedOn w:val="00LegStandard"/>
    <w:rsid w:val="008E3DBC"/>
    <w:pPr>
      <w:keepNext/>
      <w:spacing w:before="80"/>
      <w:jc w:val="center"/>
    </w:pPr>
    <w:rPr>
      <w:b/>
    </w:rPr>
  </w:style>
  <w:style w:type="paragraph" w:customStyle="1" w:styleId="71Anlagenbez">
    <w:name w:val="71_Anlagenbez"/>
    <w:basedOn w:val="00LegStandard"/>
    <w:rsid w:val="008E3DBC"/>
    <w:pPr>
      <w:spacing w:before="160"/>
      <w:jc w:val="right"/>
      <w:outlineLvl w:val="0"/>
    </w:pPr>
    <w:rPr>
      <w:b/>
      <w:sz w:val="22"/>
    </w:rPr>
  </w:style>
  <w:style w:type="paragraph" w:customStyle="1" w:styleId="81ErlUeberschrZ">
    <w:name w:val="81_ErlUeberschrZ"/>
    <w:basedOn w:val="00LegStandard"/>
    <w:next w:val="83ErlText"/>
    <w:rsid w:val="008E3DBC"/>
    <w:pPr>
      <w:keepNext/>
      <w:spacing w:before="320"/>
      <w:jc w:val="center"/>
      <w:outlineLvl w:val="0"/>
    </w:pPr>
    <w:rPr>
      <w:b/>
      <w:sz w:val="22"/>
    </w:rPr>
  </w:style>
  <w:style w:type="character" w:customStyle="1" w:styleId="997Hoch">
    <w:name w:val="997_Hoch"/>
    <w:rsid w:val="008E3DBC"/>
    <w:rPr>
      <w:vertAlign w:val="superscript"/>
    </w:rPr>
  </w:style>
  <w:style w:type="character" w:styleId="CommentReference">
    <w:name w:val="annotation reference"/>
    <w:basedOn w:val="DefaultParagraphFont"/>
    <w:uiPriority w:val="99"/>
    <w:semiHidden/>
    <w:locked/>
    <w:rsid w:val="008E3DBC"/>
    <w:rPr>
      <w:rFonts w:cs="Times New Roman"/>
      <w:color w:val="FF0000"/>
      <w:sz w:val="16"/>
      <w:szCs w:val="16"/>
    </w:rPr>
  </w:style>
  <w:style w:type="paragraph" w:customStyle="1" w:styleId="65FNText">
    <w:name w:val="65_FN_Text"/>
    <w:basedOn w:val="00LegStandard"/>
    <w:rsid w:val="008E3DBC"/>
    <w:rPr>
      <w:sz w:val="18"/>
    </w:rPr>
  </w:style>
  <w:style w:type="character" w:customStyle="1" w:styleId="993Fett">
    <w:name w:val="993_Fett"/>
    <w:rsid w:val="008E3DBC"/>
    <w:rPr>
      <w:b/>
    </w:rPr>
  </w:style>
  <w:style w:type="character" w:customStyle="1" w:styleId="992Normal">
    <w:name w:val="992_Normal"/>
    <w:rsid w:val="008E3DBC"/>
    <w:rPr>
      <w:vertAlign w:val="baseline"/>
    </w:rPr>
  </w:style>
  <w:style w:type="paragraph" w:customStyle="1" w:styleId="30InhaltUeberschrift">
    <w:name w:val="30_InhaltUeberschrift"/>
    <w:basedOn w:val="00LegStandard"/>
    <w:next w:val="31InhaltSpalte"/>
    <w:rsid w:val="008E3DBC"/>
    <w:pPr>
      <w:keepNext/>
      <w:spacing w:before="320" w:after="160"/>
      <w:jc w:val="center"/>
      <w:outlineLvl w:val="0"/>
    </w:pPr>
    <w:rPr>
      <w:b/>
    </w:rPr>
  </w:style>
  <w:style w:type="paragraph" w:customStyle="1" w:styleId="31InhaltSpalte">
    <w:name w:val="31_InhaltSpalte"/>
    <w:basedOn w:val="00LegStandard"/>
    <w:next w:val="32InhaltEintrag"/>
    <w:rsid w:val="008E3DBC"/>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E3DBC"/>
    <w:pPr>
      <w:jc w:val="left"/>
    </w:pPr>
  </w:style>
  <w:style w:type="character" w:customStyle="1" w:styleId="991GldSymbol">
    <w:name w:val="991_GldSymbol"/>
    <w:rsid w:val="008E3DBC"/>
    <w:rPr>
      <w:b/>
      <w:color w:val="000000"/>
    </w:rPr>
  </w:style>
  <w:style w:type="character" w:customStyle="1" w:styleId="998Tief">
    <w:name w:val="998_Tief"/>
    <w:rsid w:val="008E3DBC"/>
    <w:rPr>
      <w:vertAlign w:val="subscript"/>
    </w:rPr>
  </w:style>
  <w:style w:type="character" w:customStyle="1" w:styleId="994Kursiv">
    <w:name w:val="994_Kursiv"/>
    <w:rsid w:val="008E3DBC"/>
    <w:rPr>
      <w:i/>
    </w:rPr>
  </w:style>
  <w:style w:type="character" w:customStyle="1" w:styleId="995Unterstrichen">
    <w:name w:val="995_Unterstrichen"/>
    <w:rsid w:val="008E3DBC"/>
    <w:rPr>
      <w:u w:val="single"/>
    </w:rPr>
  </w:style>
  <w:style w:type="character" w:customStyle="1" w:styleId="999FettundKursiv">
    <w:name w:val="999_Fett_und_Kursiv"/>
    <w:basedOn w:val="DefaultParagraphFont"/>
    <w:rsid w:val="008E3DBC"/>
    <w:rPr>
      <w:rFonts w:cs="Times New Roman"/>
      <w:b/>
      <w:i/>
    </w:rPr>
  </w:style>
  <w:style w:type="character" w:customStyle="1" w:styleId="996Gesperrt">
    <w:name w:val="996_Gesperrt"/>
    <w:rsid w:val="008E3DBC"/>
    <w:rPr>
      <w:spacing w:val="26"/>
    </w:rPr>
  </w:style>
  <w:style w:type="character" w:customStyle="1" w:styleId="66FNZeichen">
    <w:name w:val="66_FN_Zeichen"/>
    <w:rsid w:val="008E3DBC"/>
    <w:rPr>
      <w:sz w:val="20"/>
      <w:vertAlign w:val="superscript"/>
    </w:rPr>
  </w:style>
  <w:style w:type="paragraph" w:customStyle="1" w:styleId="09Abstand">
    <w:name w:val="09_Abstand"/>
    <w:basedOn w:val="00LegStandard"/>
    <w:rsid w:val="008E3DBC"/>
    <w:pPr>
      <w:spacing w:line="200" w:lineRule="exact"/>
      <w:jc w:val="left"/>
    </w:pPr>
  </w:style>
  <w:style w:type="paragraph" w:customStyle="1" w:styleId="52ZiffermitBetrag">
    <w:name w:val="52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E3DBC"/>
    <w:pPr>
      <w:tabs>
        <w:tab w:val="center" w:pos="4253"/>
        <w:tab w:val="right" w:pos="8505"/>
      </w:tabs>
      <w:ind w:firstLine="0"/>
    </w:pPr>
  </w:style>
  <w:style w:type="paragraph" w:customStyle="1" w:styleId="53LiteramitBetrag">
    <w:name w:val="53_Litera_mit_Betrag"/>
    <w:basedOn w:val="52ZiffermitBetrag"/>
    <w:rsid w:val="008E3DBC"/>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E3DBC"/>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E3DBC"/>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E3DBC"/>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E3DBC"/>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E3DBC"/>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E3DBC"/>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E3DBC"/>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E3DBC"/>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E3DBC"/>
    <w:pPr>
      <w:spacing w:before="280" w:line="220" w:lineRule="exact"/>
      <w:jc w:val="both"/>
    </w:pPr>
    <w:rPr>
      <w:rFonts w:eastAsia="Times New Roman"/>
      <w:lang w:eastAsia="en-US"/>
    </w:rPr>
  </w:style>
  <w:style w:type="paragraph" w:customStyle="1" w:styleId="PDAllonge">
    <w:name w:val="PD_Allonge"/>
    <w:basedOn w:val="PDAntragsformel"/>
    <w:rsid w:val="008E3DBC"/>
    <w:pPr>
      <w:spacing w:after="200" w:line="240" w:lineRule="auto"/>
      <w:jc w:val="center"/>
    </w:pPr>
    <w:rPr>
      <w:sz w:val="28"/>
    </w:rPr>
  </w:style>
  <w:style w:type="paragraph" w:customStyle="1" w:styleId="PDDatum">
    <w:name w:val="PD_Datum"/>
    <w:basedOn w:val="PDAntragsformel"/>
    <w:next w:val="Normal"/>
    <w:rsid w:val="008E3DBC"/>
  </w:style>
  <w:style w:type="paragraph" w:customStyle="1" w:styleId="PDEntschliessung">
    <w:name w:val="PD_Entschliessung"/>
    <w:basedOn w:val="00LegStandard"/>
    <w:rsid w:val="008E3DBC"/>
    <w:pPr>
      <w:spacing w:before="160"/>
    </w:pPr>
    <w:rPr>
      <w:b/>
      <w:sz w:val="22"/>
      <w:lang w:eastAsia="en-US"/>
    </w:rPr>
  </w:style>
  <w:style w:type="paragraph" w:customStyle="1" w:styleId="PDK1">
    <w:name w:val="PD_K1"/>
    <w:next w:val="PDK1Ausg"/>
    <w:rsid w:val="008E3DBC"/>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E3DBC"/>
    <w:pPr>
      <w:spacing w:before="1285" w:after="540"/>
    </w:pPr>
    <w:rPr>
      <w:b/>
      <w:noProof/>
      <w:color w:val="000000" w:themeColor="text1"/>
      <w:sz w:val="22"/>
      <w:lang w:eastAsia="en-US"/>
    </w:rPr>
  </w:style>
  <w:style w:type="paragraph" w:customStyle="1" w:styleId="PDK2">
    <w:name w:val="PD_K2"/>
    <w:basedOn w:val="PDK1"/>
    <w:next w:val="Normal"/>
    <w:rsid w:val="008E3DBC"/>
    <w:pPr>
      <w:pBdr>
        <w:bottom w:val="none" w:sz="0" w:space="0" w:color="auto"/>
      </w:pBdr>
      <w:spacing w:after="227"/>
      <w:jc w:val="left"/>
    </w:pPr>
    <w:rPr>
      <w:spacing w:val="0"/>
      <w:sz w:val="44"/>
    </w:rPr>
  </w:style>
  <w:style w:type="paragraph" w:customStyle="1" w:styleId="PDK3">
    <w:name w:val="PD_K3"/>
    <w:basedOn w:val="PDK2"/>
    <w:next w:val="PDVorlage"/>
    <w:rsid w:val="008E3DBC"/>
    <w:pPr>
      <w:spacing w:after="400"/>
    </w:pPr>
    <w:rPr>
      <w:sz w:val="36"/>
    </w:rPr>
  </w:style>
  <w:style w:type="paragraph" w:customStyle="1" w:styleId="PDU1">
    <w:name w:val="PD_U1"/>
    <w:basedOn w:val="00LegStandard"/>
    <w:next w:val="Normal"/>
    <w:rsid w:val="008E3DBC"/>
    <w:pPr>
      <w:tabs>
        <w:tab w:val="center" w:pos="2126"/>
        <w:tab w:val="center" w:pos="6379"/>
      </w:tabs>
      <w:spacing w:before="440"/>
    </w:pPr>
    <w:rPr>
      <w:b/>
    </w:rPr>
  </w:style>
  <w:style w:type="paragraph" w:customStyle="1" w:styleId="PDU2">
    <w:name w:val="PD_U2"/>
    <w:basedOn w:val="PDU1"/>
    <w:rsid w:val="008E3DBC"/>
    <w:pPr>
      <w:spacing w:before="100"/>
    </w:pPr>
    <w:rPr>
      <w:b w:val="0"/>
      <w:sz w:val="18"/>
    </w:rPr>
  </w:style>
  <w:style w:type="paragraph" w:customStyle="1" w:styleId="PDVorlage">
    <w:name w:val="PD_Vorlage"/>
    <w:basedOn w:val="11Titel"/>
    <w:next w:val="Normal"/>
    <w:rsid w:val="008E3DBC"/>
    <w:pPr>
      <w:spacing w:before="0" w:after="360"/>
    </w:pPr>
    <w:rPr>
      <w:lang w:eastAsia="en-US"/>
    </w:rPr>
  </w:style>
  <w:style w:type="paragraph" w:customStyle="1" w:styleId="PDAllongeL">
    <w:name w:val="PD_Allonge_L"/>
    <w:basedOn w:val="PDAllonge"/>
    <w:locked/>
    <w:rsid w:val="008E3DBC"/>
    <w:pPr>
      <w:jc w:val="left"/>
    </w:pPr>
  </w:style>
  <w:style w:type="paragraph" w:customStyle="1" w:styleId="PDK1Anlage">
    <w:name w:val="PD_K1Anlage"/>
    <w:basedOn w:val="PDK1"/>
    <w:next w:val="PDK1Ausg"/>
    <w:rsid w:val="008E3DBC"/>
    <w:pPr>
      <w:pBdr>
        <w:bottom w:val="none" w:sz="0" w:space="0" w:color="auto"/>
      </w:pBdr>
      <w:jc w:val="right"/>
    </w:pPr>
  </w:style>
  <w:style w:type="paragraph" w:customStyle="1" w:styleId="PDK4">
    <w:name w:val="PD_K4"/>
    <w:basedOn w:val="PDK3"/>
    <w:rsid w:val="008E3DBC"/>
    <w:pPr>
      <w:spacing w:after="120"/>
    </w:pPr>
    <w:rPr>
      <w:sz w:val="26"/>
    </w:rPr>
  </w:style>
  <w:style w:type="paragraph" w:customStyle="1" w:styleId="PDKopfzeile">
    <w:name w:val="PD_Kopfzeile"/>
    <w:basedOn w:val="51Abs"/>
    <w:locked/>
    <w:rsid w:val="008E3DBC"/>
    <w:pPr>
      <w:tabs>
        <w:tab w:val="center" w:pos="4253"/>
        <w:tab w:val="right" w:pos="8505"/>
      </w:tabs>
    </w:pPr>
  </w:style>
  <w:style w:type="paragraph" w:customStyle="1" w:styleId="PDAllongeB">
    <w:name w:val="PD_Allonge_B"/>
    <w:basedOn w:val="PDAllonge"/>
    <w:rsid w:val="008E3DBC"/>
    <w:pPr>
      <w:jc w:val="both"/>
    </w:pPr>
  </w:style>
  <w:style w:type="paragraph" w:customStyle="1" w:styleId="54aStriche6">
    <w:name w:val="54a_Strich_e6"/>
    <w:basedOn w:val="00LegStandard"/>
    <w:rsid w:val="008E3DBC"/>
    <w:pPr>
      <w:tabs>
        <w:tab w:val="right" w:pos="2268"/>
        <w:tab w:val="left" w:pos="2325"/>
      </w:tabs>
      <w:spacing w:before="40"/>
      <w:ind w:left="2325" w:hanging="2325"/>
    </w:pPr>
  </w:style>
  <w:style w:type="paragraph" w:customStyle="1" w:styleId="54aStriche7">
    <w:name w:val="54a_Strich_e7"/>
    <w:basedOn w:val="00LegStandard"/>
    <w:rsid w:val="008E3DBC"/>
    <w:pPr>
      <w:tabs>
        <w:tab w:val="right" w:pos="2608"/>
        <w:tab w:val="left" w:pos="2665"/>
      </w:tabs>
      <w:spacing w:before="40"/>
      <w:ind w:left="2665" w:hanging="2665"/>
    </w:pPr>
  </w:style>
  <w:style w:type="paragraph" w:customStyle="1" w:styleId="01Undefiniert">
    <w:name w:val="01_Undefiniert"/>
    <w:basedOn w:val="00LegStandard"/>
    <w:locked/>
    <w:rsid w:val="008E3DBC"/>
  </w:style>
  <w:style w:type="character" w:customStyle="1" w:styleId="990Fehler">
    <w:name w:val="990_Fehler"/>
    <w:basedOn w:val="DefaultParagraphFont"/>
    <w:rsid w:val="008E3DBC"/>
    <w:rPr>
      <w:rFonts w:cs="Times New Roman"/>
      <w:color w:val="FF0000"/>
    </w:rPr>
  </w:style>
  <w:style w:type="paragraph" w:customStyle="1" w:styleId="PDU3">
    <w:name w:val="PD_U3"/>
    <w:basedOn w:val="PDU2"/>
    <w:rsid w:val="008E3DBC"/>
    <w:pPr>
      <w:tabs>
        <w:tab w:val="clear" w:pos="2126"/>
        <w:tab w:val="clear" w:pos="6379"/>
        <w:tab w:val="center" w:pos="4536"/>
      </w:tabs>
      <w:jc w:val="center"/>
    </w:pPr>
  </w:style>
  <w:style w:type="paragraph" w:customStyle="1" w:styleId="18AbbildungoderObjekt">
    <w:name w:val="18_Abbildung_oder_Objekt"/>
    <w:basedOn w:val="00LegStandard"/>
    <w:next w:val="51Abs"/>
    <w:rsid w:val="008E3DBC"/>
    <w:pPr>
      <w:spacing w:before="120" w:after="120" w:line="240" w:lineRule="auto"/>
      <w:jc w:val="left"/>
    </w:pPr>
  </w:style>
  <w:style w:type="paragraph" w:customStyle="1" w:styleId="19Beschriftung">
    <w:name w:val="19_Beschriftung"/>
    <w:basedOn w:val="00LegStandard"/>
    <w:next w:val="51Abs"/>
    <w:rsid w:val="008E3DBC"/>
    <w:pPr>
      <w:spacing w:after="120"/>
      <w:jc w:val="left"/>
    </w:pPr>
  </w:style>
  <w:style w:type="paragraph" w:customStyle="1" w:styleId="PDBrief">
    <w:name w:val="PD_Brief"/>
    <w:basedOn w:val="00LegStandard"/>
    <w:rsid w:val="008E3DBC"/>
    <w:pPr>
      <w:spacing w:before="80" w:line="240" w:lineRule="auto"/>
    </w:pPr>
    <w:rPr>
      <w:sz w:val="22"/>
    </w:rPr>
  </w:style>
  <w:style w:type="paragraph" w:customStyle="1" w:styleId="63Fuzeile">
    <w:name w:val="63_Fußzeile"/>
    <w:basedOn w:val="65FNText"/>
    <w:rsid w:val="008E3DBC"/>
    <w:pPr>
      <w:tabs>
        <w:tab w:val="center" w:pos="4253"/>
        <w:tab w:val="right" w:pos="8505"/>
      </w:tabs>
    </w:pPr>
  </w:style>
  <w:style w:type="paragraph" w:customStyle="1" w:styleId="53Literae4">
    <w:name w:val="53_Litera_e4"/>
    <w:basedOn w:val="00LegStandard"/>
    <w:rsid w:val="008E3DBC"/>
    <w:pPr>
      <w:tabs>
        <w:tab w:val="right" w:pos="1588"/>
        <w:tab w:val="left" w:pos="1644"/>
      </w:tabs>
      <w:spacing w:before="40"/>
      <w:ind w:left="1644" w:hanging="1644"/>
    </w:pPr>
  </w:style>
  <w:style w:type="paragraph" w:customStyle="1" w:styleId="61aTabTextRechtsb">
    <w:name w:val="61a_TabTextRechtsb"/>
    <w:basedOn w:val="61TabText"/>
    <w:rsid w:val="008E3DBC"/>
    <w:pPr>
      <w:jc w:val="right"/>
    </w:pPr>
  </w:style>
  <w:style w:type="paragraph" w:customStyle="1" w:styleId="61bTabTextZentriert">
    <w:name w:val="61b_TabTextZentriert"/>
    <w:basedOn w:val="61TabText"/>
    <w:rsid w:val="008E3DBC"/>
    <w:pPr>
      <w:jc w:val="center"/>
    </w:pPr>
  </w:style>
  <w:style w:type="paragraph" w:customStyle="1" w:styleId="61cTabTextBlock">
    <w:name w:val="61c_TabTextBlock"/>
    <w:basedOn w:val="61TabText"/>
    <w:rsid w:val="008E3DBC"/>
    <w:pPr>
      <w:jc w:val="both"/>
    </w:pPr>
  </w:style>
  <w:style w:type="paragraph" w:styleId="BalloonText">
    <w:name w:val="Balloon Text"/>
    <w:basedOn w:val="Normal"/>
    <w:link w:val="BalloonTextChar"/>
    <w:uiPriority w:val="99"/>
    <w:semiHidden/>
    <w:locked/>
    <w:rsid w:val="00F5184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l-GR" w:eastAsia="de-DE"/>
    </w:rPr>
  </w:style>
  <w:style w:type="character" w:styleId="EndnoteReference">
    <w:name w:val="endnote reference"/>
    <w:basedOn w:val="DefaultParagraphFont"/>
    <w:uiPriority w:val="99"/>
    <w:rsid w:val="008E3DBC"/>
    <w:rPr>
      <w:rFonts w:cs="Times New Roman"/>
      <w:sz w:val="20"/>
      <w:vertAlign w:val="baseline"/>
    </w:rPr>
  </w:style>
  <w:style w:type="character" w:styleId="FootnoteReference">
    <w:name w:val="footnote reference"/>
    <w:basedOn w:val="DefaultParagraphFont"/>
    <w:uiPriority w:val="99"/>
    <w:rsid w:val="008E3DBC"/>
    <w:rPr>
      <w:rFonts w:cs="Times New Roman"/>
      <w:sz w:val="20"/>
      <w:vertAlign w:val="baseline"/>
    </w:rPr>
  </w:style>
  <w:style w:type="character" w:customStyle="1" w:styleId="992bNormalundFett">
    <w:name w:val="992b_Normal_und_Fett"/>
    <w:basedOn w:val="992Normal"/>
    <w:rsid w:val="008E3DBC"/>
    <w:rPr>
      <w:rFonts w:cs="Times New Roman"/>
      <w:b/>
      <w:vertAlign w:val="baseline"/>
    </w:rPr>
  </w:style>
  <w:style w:type="paragraph" w:customStyle="1" w:styleId="62KopfzeileQuer">
    <w:name w:val="62_KopfzeileQuer"/>
    <w:basedOn w:val="51Abs"/>
    <w:rsid w:val="008E3DBC"/>
    <w:pPr>
      <w:tabs>
        <w:tab w:val="center" w:pos="6719"/>
        <w:tab w:val="right" w:pos="13438"/>
      </w:tabs>
      <w:ind w:firstLine="0"/>
    </w:pPr>
  </w:style>
  <w:style w:type="paragraph" w:customStyle="1" w:styleId="54Subliterae4">
    <w:name w:val="54_Sublitera_e4"/>
    <w:basedOn w:val="00LegStandard"/>
    <w:rsid w:val="008E3DBC"/>
    <w:pPr>
      <w:tabs>
        <w:tab w:val="right" w:pos="1588"/>
        <w:tab w:val="left" w:pos="1644"/>
      </w:tabs>
      <w:spacing w:before="40"/>
      <w:ind w:left="1644" w:hanging="1644"/>
    </w:pPr>
  </w:style>
  <w:style w:type="paragraph" w:customStyle="1" w:styleId="53Literae5">
    <w:name w:val="53_Litera_e5"/>
    <w:basedOn w:val="00LegStandard"/>
    <w:rsid w:val="008E3DBC"/>
    <w:pPr>
      <w:tabs>
        <w:tab w:val="right" w:pos="1928"/>
        <w:tab w:val="left" w:pos="1985"/>
      </w:tabs>
      <w:spacing w:before="40"/>
      <w:ind w:left="1985" w:hanging="1985"/>
    </w:pPr>
  </w:style>
  <w:style w:type="paragraph" w:customStyle="1" w:styleId="54Subliterae5">
    <w:name w:val="54_Sublitera_e5"/>
    <w:basedOn w:val="00LegStandard"/>
    <w:rsid w:val="008E3DBC"/>
    <w:pPr>
      <w:tabs>
        <w:tab w:val="right" w:pos="1928"/>
        <w:tab w:val="left" w:pos="1985"/>
      </w:tabs>
      <w:spacing w:before="40"/>
      <w:ind w:left="1985" w:hanging="1985"/>
    </w:pPr>
  </w:style>
  <w:style w:type="paragraph" w:customStyle="1" w:styleId="52Ziffere4">
    <w:name w:val="52_Ziffer_e4"/>
    <w:basedOn w:val="00LegStandard"/>
    <w:rsid w:val="008E3DBC"/>
    <w:pPr>
      <w:tabs>
        <w:tab w:val="right" w:pos="1588"/>
        <w:tab w:val="left" w:pos="1644"/>
      </w:tabs>
      <w:spacing w:before="40"/>
      <w:ind w:left="1644" w:hanging="1644"/>
    </w:pPr>
  </w:style>
  <w:style w:type="paragraph" w:customStyle="1" w:styleId="52Ziffere5">
    <w:name w:val="52_Ziffer_e5"/>
    <w:basedOn w:val="00LegStandard"/>
    <w:rsid w:val="008E3DBC"/>
    <w:pPr>
      <w:tabs>
        <w:tab w:val="right" w:pos="1928"/>
        <w:tab w:val="left" w:pos="1985"/>
      </w:tabs>
      <w:spacing w:before="40"/>
      <w:ind w:left="1985" w:hanging="1985"/>
    </w:pPr>
  </w:style>
  <w:style w:type="paragraph" w:customStyle="1" w:styleId="63FuzeileQuer">
    <w:name w:val="63_FußzeileQuer"/>
    <w:basedOn w:val="65FNText"/>
    <w:rsid w:val="008E3DBC"/>
    <w:pPr>
      <w:tabs>
        <w:tab w:val="center" w:pos="6719"/>
        <w:tab w:val="right" w:pos="13438"/>
      </w:tabs>
    </w:pPr>
  </w:style>
  <w:style w:type="paragraph" w:styleId="Header">
    <w:name w:val="header"/>
    <w:basedOn w:val="Normal"/>
    <w:link w:val="HeaderChar"/>
    <w:uiPriority w:val="99"/>
    <w:locked/>
    <w:rsid w:val="00F51847"/>
    <w:pPr>
      <w:tabs>
        <w:tab w:val="center" w:pos="4536"/>
        <w:tab w:val="right" w:pos="9072"/>
      </w:tabs>
    </w:pPr>
  </w:style>
  <w:style w:type="character" w:customStyle="1" w:styleId="HeaderChar">
    <w:name w:val="Header Char"/>
    <w:basedOn w:val="DefaultParagraphFont"/>
    <w:link w:val="Header"/>
    <w:uiPriority w:val="99"/>
    <w:locked/>
    <w:rPr>
      <w:rFonts w:cs="Times New Roman"/>
      <w:sz w:val="24"/>
      <w:lang w:val="el-GR" w:eastAsia="de-DE"/>
    </w:rPr>
  </w:style>
  <w:style w:type="paragraph" w:styleId="Footer">
    <w:name w:val="footer"/>
    <w:basedOn w:val="Normal"/>
    <w:link w:val="FooterChar"/>
    <w:uiPriority w:val="99"/>
    <w:unhideWhenUsed/>
    <w:locked/>
    <w:rsid w:val="008E3DBC"/>
    <w:pPr>
      <w:tabs>
        <w:tab w:val="center" w:pos="4536"/>
        <w:tab w:val="right" w:pos="9072"/>
      </w:tabs>
    </w:pPr>
  </w:style>
  <w:style w:type="character" w:customStyle="1" w:styleId="FooterChar">
    <w:name w:val="Footer Char"/>
    <w:basedOn w:val="DefaultParagraphFont"/>
    <w:link w:val="Footer"/>
    <w:uiPriority w:val="99"/>
    <w:locked/>
    <w:rsid w:val="008E3DBC"/>
    <w:rPr>
      <w:rFonts w:eastAsiaTheme="minorEastAsia" w:cs="Times New Roman"/>
      <w:color w:val="000000"/>
      <w:lang w:val="el-GR" w:eastAsia="de-DE"/>
    </w:rPr>
  </w:style>
  <w:style w:type="paragraph" w:styleId="FootnoteText">
    <w:name w:val="footnote text"/>
    <w:basedOn w:val="Normal"/>
    <w:link w:val="FootnoteTextChar"/>
    <w:uiPriority w:val="99"/>
    <w:semiHidden/>
    <w:locked/>
    <w:rsid w:val="00131772"/>
    <w:pPr>
      <w:spacing w:line="360" w:lineRule="auto"/>
    </w:pPr>
    <w:rPr>
      <w:rFonts w:ascii="Arial" w:hAnsi="Arial"/>
      <w:lang w:eastAsia="de-AT"/>
    </w:rPr>
  </w:style>
  <w:style w:type="character" w:customStyle="1" w:styleId="FootnoteTextChar">
    <w:name w:val="Footnote Text Char"/>
    <w:basedOn w:val="DefaultParagraphFont"/>
    <w:link w:val="FootnoteText"/>
    <w:uiPriority w:val="99"/>
    <w:semiHidden/>
    <w:locked/>
    <w:rsid w:val="0007202E"/>
    <w:rPr>
      <w:rFonts w:ascii="Arial" w:eastAsiaTheme="minorEastAsia" w:hAnsi="Arial" w:cs="Times New Roman"/>
    </w:rPr>
  </w:style>
  <w:style w:type="paragraph" w:customStyle="1" w:styleId="57Schlussteile1">
    <w:name w:val="57_Schlussteil_e1"/>
    <w:basedOn w:val="00LegStandard"/>
    <w:next w:val="51Abs"/>
    <w:rsid w:val="008E3DBC"/>
    <w:pPr>
      <w:spacing w:before="40"/>
      <w:ind w:left="454"/>
    </w:pPr>
  </w:style>
  <w:style w:type="paragraph" w:customStyle="1" w:styleId="57Schlussteile4">
    <w:name w:val="57_Schlussteil_e4"/>
    <w:basedOn w:val="00LegStandard"/>
    <w:next w:val="51Abs"/>
    <w:rsid w:val="008E3DBC"/>
    <w:pPr>
      <w:spacing w:before="40"/>
      <w:ind w:left="1247"/>
    </w:pPr>
  </w:style>
  <w:style w:type="paragraph" w:customStyle="1" w:styleId="57Schlussteile5">
    <w:name w:val="57_Schlussteil_e5"/>
    <w:basedOn w:val="00LegStandard"/>
    <w:next w:val="51Abs"/>
    <w:rsid w:val="008E3DBC"/>
    <w:pPr>
      <w:spacing w:before="40"/>
      <w:ind w:left="1644"/>
    </w:pPr>
  </w:style>
  <w:style w:type="paragraph" w:customStyle="1" w:styleId="32InhaltEintragEinzug">
    <w:name w:val="32_InhaltEintragEinzug"/>
    <w:basedOn w:val="32InhaltEintrag"/>
    <w:rsid w:val="008E3DBC"/>
    <w:pPr>
      <w:tabs>
        <w:tab w:val="right" w:pos="1021"/>
        <w:tab w:val="left" w:pos="1191"/>
      </w:tabs>
      <w:ind w:left="1191" w:hanging="1191"/>
    </w:pPr>
  </w:style>
  <w:style w:type="paragraph" w:customStyle="1" w:styleId="52Aufzaehle1Ziffer">
    <w:name w:val="52_Aufzaehl_e1_Ziffer"/>
    <w:basedOn w:val="00LegStandard"/>
    <w:qFormat/>
    <w:rsid w:val="008E3DBC"/>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8E3DBC"/>
    <w:pPr>
      <w:tabs>
        <w:tab w:val="clear" w:pos="6663"/>
        <w:tab w:val="clear" w:pos="8505"/>
        <w:tab w:val="right" w:leader="dot" w:pos="4678"/>
        <w:tab w:val="right" w:leader="dot" w:pos="6521"/>
      </w:tabs>
    </w:pPr>
  </w:style>
  <w:style w:type="paragraph" w:customStyle="1" w:styleId="52Aufzaehle2Lit">
    <w:name w:val="52_Aufzaehl_e2_Lit"/>
    <w:basedOn w:val="00LegStandard"/>
    <w:rsid w:val="008E3DBC"/>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E3DBC"/>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8E3DBC"/>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E3DBC"/>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E3DBC"/>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8E3DBC"/>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E3DBC"/>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E3DBC"/>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8E3DBC"/>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E3DBC"/>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E3DBC"/>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E3DBC"/>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E3DBC"/>
    <w:pPr>
      <w:spacing w:before="40"/>
    </w:pPr>
    <w:rPr>
      <w:lang w:eastAsia="de-AT"/>
    </w:rPr>
  </w:style>
  <w:style w:type="paragraph" w:customStyle="1" w:styleId="58Schlussteile05">
    <w:name w:val="58_Schlussteil_e0.5"/>
    <w:basedOn w:val="00LegStandard"/>
    <w:next w:val="51Abs"/>
    <w:rsid w:val="008E3DBC"/>
    <w:pPr>
      <w:spacing w:before="40"/>
      <w:ind w:left="454"/>
    </w:pPr>
  </w:style>
  <w:style w:type="paragraph" w:customStyle="1" w:styleId="58Schlussteile05mitBetrag">
    <w:name w:val="58_Schlussteil_e0.5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E3DBC"/>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E3DBC"/>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E3DBC"/>
    <w:pPr>
      <w:spacing w:before="40"/>
      <w:ind w:left="680"/>
    </w:pPr>
    <w:rPr>
      <w:lang w:eastAsia="de-AT"/>
    </w:rPr>
  </w:style>
  <w:style w:type="paragraph" w:customStyle="1" w:styleId="58Schlussteile1ZiffermitBetrag">
    <w:name w:val="58_Schlusstei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E3DBC"/>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E3DBC"/>
    <w:pPr>
      <w:spacing w:before="40"/>
      <w:ind w:left="907"/>
    </w:pPr>
    <w:rPr>
      <w:lang w:eastAsia="de-AT"/>
    </w:rPr>
  </w:style>
  <w:style w:type="paragraph" w:customStyle="1" w:styleId="58Schlussteile2LitmitBetrag">
    <w:name w:val="58_Schlussteil_e2_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E3DBC"/>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E3DBC"/>
    <w:pPr>
      <w:spacing w:before="40"/>
      <w:ind w:left="1247"/>
    </w:pPr>
  </w:style>
  <w:style w:type="paragraph" w:customStyle="1" w:styleId="58Schlussteile3SublitmitBetrag">
    <w:name w:val="58_Schlussteil_e3_Sub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E3DBC"/>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E3DBC"/>
    <w:pPr>
      <w:spacing w:before="40"/>
      <w:ind w:left="1644"/>
    </w:pPr>
  </w:style>
  <w:style w:type="paragraph" w:customStyle="1" w:styleId="58Schlussteile4StrichmitBetrag">
    <w:name w:val="58_Schlussteil_e4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E3DBC"/>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E3DBC"/>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8E3DBC"/>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E3DBC"/>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8E3DBC"/>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E3DBC"/>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8E3DBC"/>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E3DBC"/>
    <w:pPr>
      <w:spacing w:before="40"/>
      <w:ind w:left="1985"/>
    </w:pPr>
  </w:style>
  <w:style w:type="paragraph" w:customStyle="1" w:styleId="58Schlussteile5StrichmitBetrag">
    <w:name w:val="58_Schlussteil_e5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E3DBC"/>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E3DBC"/>
    <w:pPr>
      <w:spacing w:before="40"/>
      <w:ind w:left="2325"/>
    </w:pPr>
  </w:style>
  <w:style w:type="paragraph" w:customStyle="1" w:styleId="58Schlussteile6StrichmitBetrag">
    <w:name w:val="58_Schlussteil_e6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E3DBC"/>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E3DBC"/>
    <w:pPr>
      <w:spacing w:before="40"/>
      <w:ind w:left="2665"/>
    </w:pPr>
  </w:style>
  <w:style w:type="paragraph" w:customStyle="1" w:styleId="58Schlussteile7StrichmitBetrag">
    <w:name w:val="58_Schlussteil_e7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E3DBC"/>
    <w:pPr>
      <w:tabs>
        <w:tab w:val="clear" w:pos="6663"/>
        <w:tab w:val="clear" w:pos="8505"/>
        <w:tab w:val="right" w:leader="dot" w:pos="4678"/>
        <w:tab w:val="right" w:leader="dot" w:pos="6521"/>
      </w:tabs>
    </w:pPr>
  </w:style>
  <w:style w:type="paragraph" w:customStyle="1" w:styleId="PDFuzeile">
    <w:name w:val="PD_Fußzeile"/>
    <w:basedOn w:val="Footer"/>
    <w:rsid w:val="008E3DBC"/>
    <w:pPr>
      <w:shd w:val="clear" w:color="auto" w:fill="CCCCCC"/>
      <w:spacing w:before="120"/>
      <w:jc w:val="center"/>
    </w:pPr>
    <w:rPr>
      <w:rFonts w:ascii="Times" w:eastAsia="Times New Roman" w:hAnsi="Times"/>
      <w:b/>
      <w:sz w:val="18"/>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locked/>
    <w:rsid w:val="00D13094"/>
    <w:rPr>
      <w:rFonts w:cs="Times New Roman"/>
      <w:color w:val="000000"/>
      <w:lang w:val="el-GR" w:eastAsia="de-DE"/>
    </w:rPr>
  </w:style>
  <w:style w:type="paragraph" w:styleId="CommentSubject">
    <w:name w:val="annotation subject"/>
    <w:basedOn w:val="CommentText"/>
    <w:next w:val="CommentText"/>
    <w:link w:val="CommentSubjectChar"/>
    <w:uiPriority w:val="99"/>
    <w:locked/>
    <w:rsid w:val="00D13094"/>
    <w:rPr>
      <w:b/>
      <w:bCs/>
    </w:rPr>
  </w:style>
  <w:style w:type="character" w:customStyle="1" w:styleId="CommentSubjectChar">
    <w:name w:val="Comment Subject Char"/>
    <w:basedOn w:val="CommentTextChar"/>
    <w:link w:val="CommentSubject"/>
    <w:uiPriority w:val="99"/>
    <w:locked/>
    <w:rsid w:val="00D13094"/>
    <w:rPr>
      <w:rFonts w:cs="Times New Roman"/>
      <w:b/>
      <w:bCs/>
      <w:color w:val="000000"/>
      <w:lang w:val="el-GR" w:eastAsia="de-DE"/>
    </w:rPr>
  </w:style>
  <w:style w:type="character" w:styleId="Hyperlink">
    <w:name w:val="Hyperlink"/>
    <w:basedOn w:val="DefaultParagraphFont"/>
    <w:uiPriority w:val="99"/>
    <w:unhideWhenUsed/>
    <w:locked/>
    <w:rsid w:val="00745649"/>
    <w:rPr>
      <w:rFonts w:cs="Times New Roman"/>
      <w:color w:val="305886"/>
      <w:u w:val="single"/>
    </w:rPr>
  </w:style>
  <w:style w:type="table" w:styleId="DarkList">
    <w:name w:val="Dark List"/>
    <w:basedOn w:val="TableNormal"/>
    <w:uiPriority w:val="70"/>
    <w:semiHidden/>
    <w:unhideWhenUsed/>
    <w:locked/>
    <w:rsid w:val="00FC2E09"/>
    <w:rPr>
      <w:color w:val="FFFFFF" w:themeColor="background1"/>
      <w:lang w:eastAsia="de-AT"/>
    </w:rPr>
    <w:tblPr>
      <w:tblStyleRowBandSize w:val="1"/>
      <w:tblStyleColBandSize w:val="1"/>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color w:val="000000"/>
      <w:sz w:val="22"/>
      <w:lang w:val="el-GR" w:eastAsia="de-DE"/>
    </w:rPr>
  </w:style>
  <w:style w:type="character" w:customStyle="1" w:styleId="43UeberschrG2Zchn">
    <w:name w:val="43_UeberschrG2 Zchn"/>
    <w:link w:val="43UeberschrG2"/>
    <w:locked/>
    <w:rsid w:val="00397186"/>
    <w:rPr>
      <w:b/>
      <w:color w:val="000000"/>
      <w:sz w:val="22"/>
      <w:lang w:val="el-GR" w:eastAsia="de-DE"/>
    </w:rPr>
  </w:style>
  <w:style w:type="character" w:customStyle="1" w:styleId="51AbsZchn">
    <w:name w:val="51_Abs Zchn"/>
    <w:link w:val="51Abs"/>
    <w:locked/>
    <w:rsid w:val="00A843DD"/>
    <w:rPr>
      <w:color w:val="000000"/>
      <w:lang w:val="el-GR" w:eastAsia="de-DE"/>
    </w:rPr>
  </w:style>
  <w:style w:type="character" w:customStyle="1" w:styleId="21NovAo1Zchn">
    <w:name w:val="21_NovAo1 Zchn"/>
    <w:link w:val="21NovAo1"/>
    <w:locked/>
    <w:rsid w:val="00A843DD"/>
    <w:rPr>
      <w:i/>
      <w:color w:val="000000"/>
      <w:lang w:val="el-GR" w:eastAsia="de-DE"/>
    </w:rPr>
  </w:style>
  <w:style w:type="character" w:customStyle="1" w:styleId="22NovAo2Zchn">
    <w:name w:val="22_NovAo2 Zchn"/>
    <w:link w:val="22NovAo2"/>
    <w:locked/>
    <w:rsid w:val="00283888"/>
    <w:rPr>
      <w:i/>
      <w:color w:val="000000"/>
      <w:lang w:val="el-GR" w:eastAsia="de-DE"/>
    </w:rPr>
  </w:style>
  <w:style w:type="table" w:styleId="TableGrid">
    <w:name w:val="Table Grid"/>
    <w:basedOn w:val="TableNormal"/>
    <w:uiPriority w:val="59"/>
    <w:locked/>
    <w:rsid w:val="00AF0FE8"/>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color w:val="000000"/>
    </w:rPr>
  </w:style>
  <w:style w:type="character" w:styleId="FollowedHyperlink">
    <w:name w:val="FollowedHyperlink"/>
    <w:basedOn w:val="DefaultParagraphFont"/>
    <w:uiPriority w:val="99"/>
    <w:locked/>
    <w:rsid w:val="008F1FBB"/>
    <w:rPr>
      <w:rFonts w:cs="Times New Roman"/>
      <w:color w:val="954F72" w:themeColor="followedHyperlink"/>
      <w:u w:val="single"/>
    </w:rPr>
  </w:style>
  <w:style w:type="character" w:styleId="BookTitle">
    <w:name w:val="Book Title"/>
    <w:basedOn w:val="DefaultParagraphFont"/>
    <w:uiPriority w:val="33"/>
    <w:qFormat/>
    <w:locked/>
    <w:rsid w:val="008F1FBB"/>
    <w:rPr>
      <w:rFonts w:cs="Times New Roman"/>
      <w:b/>
      <w:bCs/>
      <w:i/>
      <w:iCs/>
      <w:spacing w:val="5"/>
    </w:rPr>
  </w:style>
  <w:style w:type="character" w:styleId="Strong">
    <w:name w:val="Strong"/>
    <w:basedOn w:val="DefaultParagraphFont"/>
    <w:uiPriority w:val="22"/>
    <w:qFormat/>
    <w:locked/>
    <w:rsid w:val="008F1FBB"/>
    <w:rPr>
      <w:rFonts w:cs="Times New Roman"/>
      <w:b/>
      <w:bCs/>
    </w:rPr>
  </w:style>
  <w:style w:type="character" w:styleId="Emphasis">
    <w:name w:val="Emphasis"/>
    <w:basedOn w:val="DefaultParagraphFont"/>
    <w:uiPriority w:val="20"/>
    <w:qFormat/>
    <w:locked/>
    <w:rsid w:val="008F1FBB"/>
    <w:rPr>
      <w:rFonts w:cs="Times New Roman"/>
      <w:i/>
      <w:iCs/>
    </w:rPr>
  </w:style>
  <w:style w:type="character" w:styleId="HTMLAcronym">
    <w:name w:val="HTML Acronym"/>
    <w:basedOn w:val="DefaultParagraphFont"/>
    <w:uiPriority w:val="99"/>
    <w:locked/>
    <w:rsid w:val="008F1FBB"/>
    <w:rPr>
      <w:rFonts w:cs="Times New Roman"/>
    </w:rPr>
  </w:style>
  <w:style w:type="character" w:styleId="HTMLSample">
    <w:name w:val="HTML Sample"/>
    <w:basedOn w:val="DefaultParagraphFont"/>
    <w:uiPriority w:val="99"/>
    <w:locked/>
    <w:rsid w:val="008F1FBB"/>
    <w:rPr>
      <w:rFonts w:ascii="Consolas" w:hAnsi="Consolas" w:cs="Times New Roman"/>
      <w:sz w:val="24"/>
      <w:szCs w:val="24"/>
    </w:rPr>
  </w:style>
  <w:style w:type="character" w:styleId="HTMLCode">
    <w:name w:val="HTML Code"/>
    <w:basedOn w:val="DefaultParagraphFont"/>
    <w:uiPriority w:val="99"/>
    <w:locked/>
    <w:rsid w:val="008F1FBB"/>
    <w:rPr>
      <w:rFonts w:ascii="Consolas" w:hAnsi="Consolas" w:cs="Times New Roman"/>
      <w:sz w:val="20"/>
      <w:szCs w:val="20"/>
    </w:rPr>
  </w:style>
  <w:style w:type="character" w:styleId="HTMLDefinition">
    <w:name w:val="HTML Definition"/>
    <w:basedOn w:val="DefaultParagraphFont"/>
    <w:uiPriority w:val="99"/>
    <w:locked/>
    <w:rsid w:val="008F1FBB"/>
    <w:rPr>
      <w:rFonts w:cs="Times New Roman"/>
      <w:i/>
      <w:iCs/>
    </w:rPr>
  </w:style>
  <w:style w:type="character" w:styleId="HTMLTypewriter">
    <w:name w:val="HTML Typewriter"/>
    <w:basedOn w:val="DefaultParagraphFont"/>
    <w:uiPriority w:val="99"/>
    <w:locked/>
    <w:rsid w:val="008F1FBB"/>
    <w:rPr>
      <w:rFonts w:ascii="Consolas" w:hAnsi="Consolas" w:cs="Times New Roman"/>
      <w:sz w:val="20"/>
      <w:szCs w:val="20"/>
    </w:rPr>
  </w:style>
  <w:style w:type="character" w:styleId="HTMLKeyboard">
    <w:name w:val="HTML Keyboard"/>
    <w:basedOn w:val="DefaultParagraphFont"/>
    <w:uiPriority w:val="99"/>
    <w:locked/>
    <w:rsid w:val="008F1FBB"/>
    <w:rPr>
      <w:rFonts w:ascii="Consolas" w:hAnsi="Consolas" w:cs="Times New Roman"/>
      <w:sz w:val="20"/>
      <w:szCs w:val="20"/>
    </w:rPr>
  </w:style>
  <w:style w:type="character" w:styleId="HTMLVariable">
    <w:name w:val="HTML Variable"/>
    <w:basedOn w:val="DefaultParagraphFont"/>
    <w:uiPriority w:val="99"/>
    <w:locked/>
    <w:rsid w:val="008F1FBB"/>
    <w:rPr>
      <w:rFonts w:cs="Times New Roman"/>
      <w:i/>
      <w:iCs/>
    </w:rPr>
  </w:style>
  <w:style w:type="character" w:styleId="HTMLCite">
    <w:name w:val="HTML Cite"/>
    <w:basedOn w:val="DefaultParagraphFont"/>
    <w:uiPriority w:val="99"/>
    <w:locked/>
    <w:rsid w:val="008F1FBB"/>
    <w:rPr>
      <w:rFonts w:cs="Times New Roman"/>
      <w:i/>
      <w:iCs/>
    </w:rPr>
  </w:style>
  <w:style w:type="character" w:styleId="IntenseEmphasis">
    <w:name w:val="Intense Emphasis"/>
    <w:basedOn w:val="DefaultParagraphFont"/>
    <w:uiPriority w:val="21"/>
    <w:qFormat/>
    <w:locked/>
    <w:rsid w:val="008F1FBB"/>
    <w:rPr>
      <w:rFonts w:cs="Times New Roman"/>
      <w:i/>
      <w:iCs/>
      <w:color w:val="5B9BD5" w:themeColor="accent1"/>
    </w:rPr>
  </w:style>
  <w:style w:type="character" w:styleId="IntenseReference">
    <w:name w:val="Intense Reference"/>
    <w:basedOn w:val="DefaultParagraphFont"/>
    <w:uiPriority w:val="32"/>
    <w:qFormat/>
    <w:locked/>
    <w:rsid w:val="008F1FBB"/>
    <w:rPr>
      <w:rFonts w:cs="Times New Roman"/>
      <w:b/>
      <w:bCs/>
      <w:smallCaps/>
      <w:color w:val="5B9BD5" w:themeColor="accent1"/>
      <w:spacing w:val="5"/>
    </w:rPr>
  </w:style>
  <w:style w:type="character" w:styleId="PlaceholderText">
    <w:name w:val="Placeholder Text"/>
    <w:basedOn w:val="DefaultParagraphFont"/>
    <w:uiPriority w:val="99"/>
    <w:semiHidden/>
    <w:locked/>
    <w:rsid w:val="008F1FBB"/>
    <w:rPr>
      <w:rFonts w:cs="Times New Roman"/>
      <w:color w:val="808080"/>
    </w:rPr>
  </w:style>
  <w:style w:type="character" w:styleId="SubtleEmphasis">
    <w:name w:val="Subtle Emphasis"/>
    <w:basedOn w:val="DefaultParagraphFont"/>
    <w:uiPriority w:val="19"/>
    <w:qFormat/>
    <w:locked/>
    <w:rsid w:val="008F1FBB"/>
    <w:rPr>
      <w:rFonts w:cs="Times New Roman"/>
      <w:i/>
      <w:iCs/>
      <w:color w:val="404040" w:themeColor="text1" w:themeTint="BF"/>
    </w:rPr>
  </w:style>
  <w:style w:type="character" w:styleId="SubtleReference">
    <w:name w:val="Subtle Reference"/>
    <w:basedOn w:val="DefaultParagraphFont"/>
    <w:uiPriority w:val="31"/>
    <w:qFormat/>
    <w:locked/>
    <w:rsid w:val="008F1FBB"/>
    <w:rPr>
      <w:rFonts w:cs="Times New Roman"/>
      <w:smallCaps/>
      <w:color w:val="5A5A5A" w:themeColor="text1" w:themeTint="A5"/>
    </w:rPr>
  </w:style>
  <w:style w:type="character" w:styleId="PageNumber">
    <w:name w:val="page number"/>
    <w:basedOn w:val="DefaultParagraphFont"/>
    <w:uiPriority w:val="99"/>
    <w:locked/>
    <w:rsid w:val="008F1FBB"/>
    <w:rPr>
      <w:rFonts w:cs="Times New Roman"/>
    </w:rPr>
  </w:style>
  <w:style w:type="character" w:styleId="LineNumber">
    <w:name w:val="line number"/>
    <w:basedOn w:val="DefaultParagraphFont"/>
    <w:uiPriority w:val="99"/>
    <w:locked/>
    <w:rsid w:val="008F1FBB"/>
    <w:rPr>
      <w:rFonts w:cs="Times New Roman"/>
    </w:rPr>
  </w:style>
  <w:style w:type="table" w:styleId="DarkList-Accent1">
    <w:name w:val="Dark List Accent 1"/>
    <w:basedOn w:val="TableNormal"/>
    <w:uiPriority w:val="70"/>
    <w:semiHidden/>
    <w:unhideWhenUsed/>
    <w:locked/>
    <w:rsid w:val="00FC2E09"/>
    <w:rPr>
      <w:color w:val="FFFFFF" w:themeColor="background1"/>
      <w:lang w:eastAsia="de-AT"/>
    </w:rPr>
    <w:tblPr>
      <w:tblStyleRowBandSize w:val="1"/>
      <w:tblStyleColBandSize w:val="1"/>
    </w:tblPr>
    <w:tcPr>
      <w:shd w:val="clear" w:color="auto" w:fill="5B9BD5"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rPr>
        <w:rFonts w:cs="Times New Roman"/>
      </w:rPr>
      <w:tblPr/>
      <w:tcPr>
        <w:tcBorders>
          <w:top w:val="nil"/>
          <w:left w:val="nil"/>
          <w:bottom w:val="nil"/>
          <w:right w:val="nil"/>
          <w:insideH w:val="nil"/>
          <w:insideV w:val="nil"/>
        </w:tcBorders>
        <w:shd w:val="clear" w:color="auto" w:fill="2E74B5" w:themeFill="accent1" w:themeFillShade="BF"/>
      </w:tcPr>
    </w:tblStylePr>
    <w:tblStylePr w:type="band1Horz">
      <w:rPr>
        <w:rFonts w:cs="Times New Roman"/>
      </w:rPr>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lang w:eastAsia="de-AT"/>
    </w:rPr>
    <w:tblPr>
      <w:tblStyleRowBandSize w:val="1"/>
      <w:tblStyleColBandSize w:val="1"/>
    </w:tblPr>
    <w:tcPr>
      <w:shd w:val="clear" w:color="auto" w:fill="ED7D31"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591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lang w:eastAsia="de-AT"/>
    </w:rPr>
    <w:tblPr>
      <w:tblStyleRowBandSize w:val="1"/>
      <w:tblStyleColBandSize w:val="1"/>
    </w:tblPr>
    <w:tcPr>
      <w:shd w:val="clear" w:color="auto" w:fill="A5A5A5"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rPr>
        <w:rFonts w:cs="Times New Roman"/>
      </w:rPr>
      <w:tblPr/>
      <w:tcPr>
        <w:tcBorders>
          <w:top w:val="nil"/>
          <w:left w:val="nil"/>
          <w:bottom w:val="nil"/>
          <w:right w:val="nil"/>
          <w:insideH w:val="nil"/>
          <w:insideV w:val="nil"/>
        </w:tcBorders>
        <w:shd w:val="clear" w:color="auto" w:fill="7B7B7B" w:themeFill="accent3" w:themeFillShade="BF"/>
      </w:tcPr>
    </w:tblStylePr>
    <w:tblStylePr w:type="band1Horz">
      <w:rPr>
        <w:rFonts w:cs="Times New Roman"/>
      </w:rPr>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lang w:eastAsia="de-AT"/>
    </w:rPr>
    <w:tblPr>
      <w:tblStyleRowBandSize w:val="1"/>
      <w:tblStyleColBandSize w:val="1"/>
    </w:tblPr>
    <w:tcPr>
      <w:shd w:val="clear" w:color="auto" w:fill="FFC000"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rPr>
        <w:rFonts w:cs="Times New Roman"/>
      </w:rPr>
      <w:tblPr/>
      <w:tcPr>
        <w:tcBorders>
          <w:top w:val="nil"/>
          <w:left w:val="nil"/>
          <w:bottom w:val="nil"/>
          <w:right w:val="nil"/>
          <w:insideH w:val="nil"/>
          <w:insideV w:val="nil"/>
        </w:tcBorders>
        <w:shd w:val="clear" w:color="auto" w:fill="BF8F00" w:themeFill="accent4" w:themeFillShade="BF"/>
      </w:tcPr>
    </w:tblStylePr>
    <w:tblStylePr w:type="band1Horz">
      <w:rPr>
        <w:rFonts w:cs="Times New Roman"/>
      </w:rPr>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lang w:eastAsia="de-AT"/>
    </w:rPr>
    <w:tblPr>
      <w:tblStyleRowBandSize w:val="1"/>
      <w:tblStyleColBandSize w:val="1"/>
    </w:tblPr>
    <w:tcPr>
      <w:shd w:val="clear" w:color="auto" w:fill="4472C4"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rPr>
        <w:rFonts w:cs="Times New Roman"/>
      </w:rPr>
      <w:tblPr/>
      <w:tcPr>
        <w:tcBorders>
          <w:top w:val="nil"/>
          <w:left w:val="nil"/>
          <w:bottom w:val="nil"/>
          <w:right w:val="nil"/>
          <w:insideH w:val="nil"/>
          <w:insideV w:val="nil"/>
        </w:tcBorders>
        <w:shd w:val="clear" w:color="auto" w:fill="2F5496" w:themeFill="accent5" w:themeFillShade="BF"/>
      </w:tcPr>
    </w:tblStylePr>
    <w:tblStylePr w:type="band1Horz">
      <w:rPr>
        <w:rFonts w:cs="Times New Roman"/>
      </w:rPr>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lang w:eastAsia="de-AT"/>
    </w:rPr>
    <w:tblPr>
      <w:tblStyleRowBandSize w:val="1"/>
      <w:tblStyleColBandSize w:val="1"/>
    </w:tblPr>
    <w:tcPr>
      <w:shd w:val="clear" w:color="auto" w:fill="70AD47"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rPr>
        <w:rFonts w:cs="Times New Roman"/>
      </w:rPr>
      <w:tblPr/>
      <w:tcPr>
        <w:tcBorders>
          <w:top w:val="nil"/>
          <w:left w:val="nil"/>
          <w:bottom w:val="nil"/>
          <w:right w:val="nil"/>
          <w:insideH w:val="nil"/>
          <w:insideV w:val="nil"/>
        </w:tcBorders>
        <w:shd w:val="clear" w:color="auto" w:fill="538135" w:themeFill="accent6" w:themeFillShade="BF"/>
      </w:tcPr>
    </w:tblStylePr>
    <w:tblStylePr w:type="band1Horz">
      <w:rPr>
        <w:rFonts w:cs="Times New Roman"/>
      </w:rPr>
      <w:tblPr/>
      <w:tcPr>
        <w:tcBorders>
          <w:top w:val="nil"/>
          <w:left w:val="nil"/>
          <w:bottom w:val="nil"/>
          <w:right w:val="nil"/>
          <w:insideH w:val="nil"/>
          <w:insideV w:val="nil"/>
        </w:tcBorders>
        <w:shd w:val="clear" w:color="auto" w:fill="538135" w:themeFill="accent6" w:themeFillShade="BF"/>
      </w:tcPr>
    </w:tblStylePr>
  </w:style>
  <w:style w:type="table" w:customStyle="1" w:styleId="EinfacheTabelle11">
    <w:name w:val="Einfache Tabelle 11"/>
    <w:basedOn w:val="TableNormal"/>
    <w:uiPriority w:val="41"/>
    <w:locked/>
    <w:rsid w:val="00FC2E09"/>
    <w:rPr>
      <w:lang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21">
    <w:name w:val="Einfache Tabelle 21"/>
    <w:basedOn w:val="TableNormal"/>
    <w:uiPriority w:val="42"/>
    <w:locked/>
    <w:rsid w:val="00FC2E09"/>
    <w:rPr>
      <w:lang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EinfacheTabelle31">
    <w:name w:val="Einfache Tabelle 31"/>
    <w:basedOn w:val="TableNormal"/>
    <w:uiPriority w:val="43"/>
    <w:locked/>
    <w:rsid w:val="00FC2E09"/>
    <w:rPr>
      <w:lang w:eastAsia="de-AT"/>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EinfacheTabelle41">
    <w:name w:val="Einfache Tabelle 41"/>
    <w:basedOn w:val="TableNormal"/>
    <w:uiPriority w:val="44"/>
    <w:locked/>
    <w:rsid w:val="00FC2E09"/>
    <w:rPr>
      <w:lang w:eastAsia="de-AT"/>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51">
    <w:name w:val="Einfache Tabelle 51"/>
    <w:basedOn w:val="TableNormal"/>
    <w:uiPriority w:val="45"/>
    <w:locked/>
    <w:rsid w:val="00FC2E09"/>
    <w:rPr>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ColorfulList">
    <w:name w:val="Colorful List"/>
    <w:basedOn w:val="TableNormal"/>
    <w:uiPriority w:val="72"/>
    <w:semiHidden/>
    <w:unhideWhenUsed/>
    <w:locked/>
    <w:rsid w:val="00FC2E09"/>
    <w:rPr>
      <w:color w:val="000000" w:themeColor="text1"/>
      <w:lang w:eastAsia="de-AT"/>
    </w:rPr>
    <w:tblPr>
      <w:tblStyleRowBandSize w:val="1"/>
      <w:tblStyleColBandSize w:val="1"/>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lang w:eastAsia="de-AT"/>
    </w:rPr>
    <w:tblPr>
      <w:tblStyleRowBandSize w:val="1"/>
      <w:tblStyleColBandSize w:val="1"/>
    </w:tblPr>
    <w:tcPr>
      <w:shd w:val="clear" w:color="auto" w:fill="EEF5FB"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hemeFill="accent1" w:themeFillTint="3F"/>
      </w:tcPr>
    </w:tblStylePr>
    <w:tblStylePr w:type="band1Horz">
      <w:rPr>
        <w:rFonts w:cs="Times New Roman"/>
      </w:rPr>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lang w:eastAsia="de-AT"/>
    </w:rPr>
    <w:tblPr>
      <w:tblStyleRowBandSize w:val="1"/>
      <w:tblStyleColBandSize w:val="1"/>
    </w:tblPr>
    <w:tcPr>
      <w:shd w:val="clear" w:color="auto" w:fill="FDF2EA"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hemeFill="accent2" w:themeFillTint="3F"/>
      </w:tcPr>
    </w:tblStylePr>
    <w:tblStylePr w:type="band1Horz">
      <w:rPr>
        <w:rFonts w:cs="Times New Roman"/>
      </w:rPr>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lang w:eastAsia="de-AT"/>
    </w:rPr>
    <w:tblPr>
      <w:tblStyleRowBandSize w:val="1"/>
      <w:tblStyleColBandSize w:val="1"/>
    </w:tblPr>
    <w:tcPr>
      <w:shd w:val="clear" w:color="auto" w:fill="F6F6F6"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rFonts w:cs="Times New Roman"/>
        <w:b/>
        <w:bCs/>
        <w:color w:val="CC9900"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8E8E8" w:themeFill="accent3" w:themeFillTint="3F"/>
      </w:tcPr>
    </w:tblStylePr>
    <w:tblStylePr w:type="band1Horz">
      <w:rPr>
        <w:rFonts w:cs="Times New Roman"/>
      </w:rPr>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lang w:eastAsia="de-AT"/>
    </w:rPr>
    <w:tblPr>
      <w:tblStyleRowBandSize w:val="1"/>
      <w:tblStyleColBandSize w:val="1"/>
    </w:tblPr>
    <w:tcPr>
      <w:shd w:val="clear" w:color="auto" w:fill="FFF8E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rFonts w:cs="Times New Roman"/>
        <w:b/>
        <w:bCs/>
        <w:color w:val="848484"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EFC0" w:themeFill="accent4" w:themeFillTint="3F"/>
      </w:tcPr>
    </w:tblStylePr>
    <w:tblStylePr w:type="band1Horz">
      <w:rPr>
        <w:rFonts w:cs="Times New Roman"/>
      </w:rPr>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lang w:eastAsia="de-AT"/>
    </w:rPr>
    <w:tblPr>
      <w:tblStyleRowBandSize w:val="1"/>
      <w:tblStyleColBandSize w:val="1"/>
    </w:tblPr>
    <w:tcPr>
      <w:shd w:val="clear" w:color="auto" w:fill="ECF1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rFonts w:cs="Times New Roman"/>
        <w:b/>
        <w:bCs/>
        <w:color w:val="598A38"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0DBF0" w:themeFill="accent5" w:themeFillTint="3F"/>
      </w:tcPr>
    </w:tblStylePr>
    <w:tblStylePr w:type="band1Horz">
      <w:rPr>
        <w:rFonts w:cs="Times New Roman"/>
      </w:rPr>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lang w:eastAsia="de-AT"/>
    </w:rPr>
    <w:tblPr>
      <w:tblStyleRowBandSize w:val="1"/>
      <w:tblStyleColBandSize w:val="1"/>
    </w:tblPr>
    <w:tcPr>
      <w:shd w:val="clear" w:color="auto" w:fill="F0F7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rFonts w:cs="Times New Roman"/>
        <w:b/>
        <w:bCs/>
        <w:color w:val="3259A0"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BEBD0" w:themeFill="accent6" w:themeFillTint="3F"/>
      </w:tcPr>
    </w:tblStylePr>
    <w:tblStylePr w:type="band1Horz">
      <w:rPr>
        <w:rFonts w:cs="Times New Roman"/>
      </w:rPr>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55D91"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ADCCEA"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D470D"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6BE98"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lang w:eastAsia="de-AT"/>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rFonts w:cs="Times New Roman"/>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636363"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lang w:eastAsia="de-AT"/>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rFonts w:cs="Times New Roman"/>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97300"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DF8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lang w:eastAsia="de-AT"/>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rFonts w:cs="Times New Roman"/>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64378"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A1B8E1"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lang w:eastAsia="de-AT"/>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rFonts w:cs="Times New Roman"/>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3672A"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B7D8A0"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Grid">
    <w:name w:val="Colorful Grid"/>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rFonts w:cs="Times New Roman"/>
        <w:b/>
        <w:bCs/>
      </w:rPr>
      <w:tblPr/>
      <w:tcPr>
        <w:shd w:val="clear" w:color="auto" w:fill="BDD6EE" w:themeFill="accent1" w:themeFillTint="66"/>
      </w:tcPr>
    </w:tblStylePr>
    <w:tblStylePr w:type="lastRow">
      <w:rPr>
        <w:rFonts w:cs="Times New Roman"/>
        <w:b/>
        <w:bCs/>
        <w:color w:val="000000" w:themeColor="text1"/>
      </w:rPr>
      <w:tblPr/>
      <w:tcPr>
        <w:shd w:val="clear" w:color="auto" w:fill="BDD6EE" w:themeFill="accent1" w:themeFillTint="66"/>
      </w:tcPr>
    </w:tblStylePr>
    <w:tblStylePr w:type="firstCol">
      <w:rPr>
        <w:rFonts w:cs="Times New Roman"/>
        <w:color w:val="FFFFFF" w:themeColor="background1"/>
      </w:rPr>
      <w:tblPr/>
      <w:tcPr>
        <w:shd w:val="clear" w:color="auto" w:fill="2E74B5" w:themeFill="accent1" w:themeFillShade="BF"/>
      </w:tcPr>
    </w:tblStylePr>
    <w:tblStylePr w:type="lastCol">
      <w:rPr>
        <w:rFonts w:cs="Times New Roman"/>
        <w:color w:val="FFFFFF" w:themeColor="background1"/>
      </w:rPr>
      <w:tblPr/>
      <w:tcPr>
        <w:shd w:val="clear" w:color="auto" w:fill="2E74B5" w:themeFill="accent1" w:themeFillShade="BF"/>
      </w:tc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rFonts w:cs="Times New Roman"/>
        <w:b/>
        <w:bCs/>
      </w:rPr>
      <w:tblPr/>
      <w:tcPr>
        <w:shd w:val="clear" w:color="auto" w:fill="F7CAAC" w:themeFill="accent2" w:themeFillTint="66"/>
      </w:tcPr>
    </w:tblStylePr>
    <w:tblStylePr w:type="lastRow">
      <w:rPr>
        <w:rFonts w:cs="Times New Roman"/>
        <w:b/>
        <w:bCs/>
        <w:color w:val="000000" w:themeColor="text1"/>
      </w:rPr>
      <w:tblPr/>
      <w:tcPr>
        <w:shd w:val="clear" w:color="auto" w:fill="F7CAAC" w:themeFill="accent2" w:themeFillTint="66"/>
      </w:tcPr>
    </w:tblStylePr>
    <w:tblStylePr w:type="firstCol">
      <w:rPr>
        <w:rFonts w:cs="Times New Roman"/>
        <w:color w:val="FFFFFF" w:themeColor="background1"/>
      </w:rPr>
      <w:tblPr/>
      <w:tcPr>
        <w:shd w:val="clear" w:color="auto" w:fill="C45911" w:themeFill="accent2" w:themeFillShade="BF"/>
      </w:tcPr>
    </w:tblStylePr>
    <w:tblStylePr w:type="lastCol">
      <w:rPr>
        <w:rFonts w:cs="Times New Roman"/>
        <w:color w:val="FFFFFF" w:themeColor="background1"/>
      </w:rPr>
      <w:tblPr/>
      <w:tcPr>
        <w:shd w:val="clear" w:color="auto" w:fill="C45911" w:themeFill="accent2" w:themeFillShade="BF"/>
      </w:tc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rFonts w:cs="Times New Roman"/>
        <w:b/>
        <w:bCs/>
      </w:rPr>
      <w:tblPr/>
      <w:tcPr>
        <w:shd w:val="clear" w:color="auto" w:fill="DBDBDB" w:themeFill="accent3" w:themeFillTint="66"/>
      </w:tcPr>
    </w:tblStylePr>
    <w:tblStylePr w:type="lastRow">
      <w:rPr>
        <w:rFonts w:cs="Times New Roman"/>
        <w:b/>
        <w:bCs/>
        <w:color w:val="000000" w:themeColor="text1"/>
      </w:rPr>
      <w:tblPr/>
      <w:tcPr>
        <w:shd w:val="clear" w:color="auto" w:fill="DBDBDB" w:themeFill="accent3" w:themeFillTint="66"/>
      </w:tcPr>
    </w:tblStylePr>
    <w:tblStylePr w:type="firstCol">
      <w:rPr>
        <w:rFonts w:cs="Times New Roman"/>
        <w:color w:val="FFFFFF" w:themeColor="background1"/>
      </w:rPr>
      <w:tblPr/>
      <w:tcPr>
        <w:shd w:val="clear" w:color="auto" w:fill="7B7B7B" w:themeFill="accent3" w:themeFillShade="BF"/>
      </w:tcPr>
    </w:tblStylePr>
    <w:tblStylePr w:type="lastCol">
      <w:rPr>
        <w:rFonts w:cs="Times New Roman"/>
        <w:color w:val="FFFFFF" w:themeColor="background1"/>
      </w:rPr>
      <w:tblPr/>
      <w:tcPr>
        <w:shd w:val="clear" w:color="auto" w:fill="7B7B7B" w:themeFill="accent3" w:themeFillShade="BF"/>
      </w:tc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rFonts w:cs="Times New Roman"/>
        <w:b/>
        <w:bCs/>
      </w:rPr>
      <w:tblPr/>
      <w:tcPr>
        <w:shd w:val="clear" w:color="auto" w:fill="FFE599" w:themeFill="accent4" w:themeFillTint="66"/>
      </w:tcPr>
    </w:tblStylePr>
    <w:tblStylePr w:type="lastRow">
      <w:rPr>
        <w:rFonts w:cs="Times New Roman"/>
        <w:b/>
        <w:bCs/>
        <w:color w:val="000000" w:themeColor="text1"/>
      </w:rPr>
      <w:tblPr/>
      <w:tcPr>
        <w:shd w:val="clear" w:color="auto" w:fill="FFE599" w:themeFill="accent4" w:themeFillTint="66"/>
      </w:tcPr>
    </w:tblStylePr>
    <w:tblStylePr w:type="firstCol">
      <w:rPr>
        <w:rFonts w:cs="Times New Roman"/>
        <w:color w:val="FFFFFF" w:themeColor="background1"/>
      </w:rPr>
      <w:tblPr/>
      <w:tcPr>
        <w:shd w:val="clear" w:color="auto" w:fill="BF8F00" w:themeFill="accent4" w:themeFillShade="BF"/>
      </w:tcPr>
    </w:tblStylePr>
    <w:tblStylePr w:type="lastCol">
      <w:rPr>
        <w:rFonts w:cs="Times New Roman"/>
        <w:color w:val="FFFFFF" w:themeColor="background1"/>
      </w:rPr>
      <w:tblPr/>
      <w:tcPr>
        <w:shd w:val="clear" w:color="auto" w:fill="BF8F00" w:themeFill="accent4" w:themeFillShade="BF"/>
      </w:tc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rFonts w:cs="Times New Roman"/>
        <w:b/>
        <w:bCs/>
      </w:rPr>
      <w:tblPr/>
      <w:tcPr>
        <w:shd w:val="clear" w:color="auto" w:fill="B4C6E7" w:themeFill="accent5" w:themeFillTint="66"/>
      </w:tcPr>
    </w:tblStylePr>
    <w:tblStylePr w:type="lastRow">
      <w:rPr>
        <w:rFonts w:cs="Times New Roman"/>
        <w:b/>
        <w:bCs/>
        <w:color w:val="000000" w:themeColor="text1"/>
      </w:rPr>
      <w:tblPr/>
      <w:tcPr>
        <w:shd w:val="clear" w:color="auto" w:fill="B4C6E7" w:themeFill="accent5" w:themeFillTint="66"/>
      </w:tcPr>
    </w:tblStylePr>
    <w:tblStylePr w:type="firstCol">
      <w:rPr>
        <w:rFonts w:cs="Times New Roman"/>
        <w:color w:val="FFFFFF" w:themeColor="background1"/>
      </w:rPr>
      <w:tblPr/>
      <w:tcPr>
        <w:shd w:val="clear" w:color="auto" w:fill="2F5496" w:themeFill="accent5" w:themeFillShade="BF"/>
      </w:tcPr>
    </w:tblStylePr>
    <w:tblStylePr w:type="lastCol">
      <w:rPr>
        <w:rFonts w:cs="Times New Roman"/>
        <w:color w:val="FFFFFF" w:themeColor="background1"/>
      </w:rPr>
      <w:tblPr/>
      <w:tcPr>
        <w:shd w:val="clear" w:color="auto" w:fill="2F5496" w:themeFill="accent5" w:themeFillShade="BF"/>
      </w:tc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rFonts w:cs="Times New Roman"/>
        <w:b/>
        <w:bCs/>
      </w:rPr>
      <w:tblPr/>
      <w:tcPr>
        <w:shd w:val="clear" w:color="auto" w:fill="C5E0B3" w:themeFill="accent6" w:themeFillTint="66"/>
      </w:tcPr>
    </w:tblStylePr>
    <w:tblStylePr w:type="lastRow">
      <w:rPr>
        <w:rFonts w:cs="Times New Roman"/>
        <w:b/>
        <w:bCs/>
        <w:color w:val="000000" w:themeColor="text1"/>
      </w:rPr>
      <w:tblPr/>
      <w:tcPr>
        <w:shd w:val="clear" w:color="auto" w:fill="C5E0B3" w:themeFill="accent6" w:themeFillTint="66"/>
      </w:tcPr>
    </w:tblStylePr>
    <w:tblStylePr w:type="firstCol">
      <w:rPr>
        <w:rFonts w:cs="Times New Roman"/>
        <w:color w:val="FFFFFF" w:themeColor="background1"/>
      </w:rPr>
      <w:tblPr/>
      <w:tcPr>
        <w:shd w:val="clear" w:color="auto" w:fill="538135" w:themeFill="accent6" w:themeFillShade="BF"/>
      </w:tcPr>
    </w:tblStylePr>
    <w:tblStylePr w:type="lastCol">
      <w:rPr>
        <w:rFonts w:cs="Times New Roman"/>
        <w:color w:val="FFFFFF" w:themeColor="background1"/>
      </w:rPr>
      <w:tblPr/>
      <w:tcPr>
        <w:shd w:val="clear" w:color="auto" w:fill="538135" w:themeFill="accent6" w:themeFillShade="BF"/>
      </w:tc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customStyle="1" w:styleId="Gitternetztabelle1hell1">
    <w:name w:val="Gitternetztabelle 1 hell1"/>
    <w:basedOn w:val="TableNormal"/>
    <w:uiPriority w:val="46"/>
    <w:locked/>
    <w:rsid w:val="00FC2E09"/>
    <w:rPr>
      <w:lang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11">
    <w:name w:val="Gitternetztabelle 1 hell  – Akzent 11"/>
    <w:basedOn w:val="TableNormal"/>
    <w:uiPriority w:val="46"/>
    <w:locked/>
    <w:rsid w:val="00FC2E09"/>
    <w:rPr>
      <w:lang w:eastAsia="de-AT"/>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31">
    <w:name w:val="Gitternetztabelle 1 hell  – Akzent 31"/>
    <w:basedOn w:val="TableNormal"/>
    <w:uiPriority w:val="46"/>
    <w:locked/>
    <w:rsid w:val="00FC2E09"/>
    <w:rPr>
      <w:lang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2" w:space="0" w:color="C9C9C9" w:themeColor="accent3"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41">
    <w:name w:val="Gitternetztabelle 1 hell  – Akzent 41"/>
    <w:basedOn w:val="TableNormal"/>
    <w:uiPriority w:val="46"/>
    <w:locked/>
    <w:rsid w:val="00FC2E09"/>
    <w:rPr>
      <w:lang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2" w:space="0" w:color="FFD966" w:themeColor="accent4"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51">
    <w:name w:val="Gitternetztabelle 1 hell  – Akzent 51"/>
    <w:basedOn w:val="TableNormal"/>
    <w:uiPriority w:val="46"/>
    <w:locked/>
    <w:rsid w:val="00FC2E09"/>
    <w:rPr>
      <w:lang w:eastAsia="de-AT"/>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2" w:space="0" w:color="8EAADB" w:themeColor="accent5"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61">
    <w:name w:val="Gitternetztabelle 1 hell  – Akzent 61"/>
    <w:basedOn w:val="TableNormal"/>
    <w:uiPriority w:val="46"/>
    <w:locked/>
    <w:rsid w:val="00FC2E09"/>
    <w:rPr>
      <w:lang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2" w:space="0" w:color="A8D08D" w:themeColor="accent6"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21">
    <w:name w:val="Gitternetztabelle 1 hell - Akzent 21"/>
    <w:basedOn w:val="TableNormal"/>
    <w:uiPriority w:val="46"/>
    <w:locked/>
    <w:rsid w:val="00FC2E09"/>
    <w:rPr>
      <w:lang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2" w:space="0" w:color="F4B083" w:themeColor="accent2" w:themeTint="99"/>
        </w:tcBorders>
      </w:tcPr>
    </w:tblStylePr>
    <w:tblStylePr w:type="firstCol">
      <w:rPr>
        <w:rFonts w:cs="Times New Roman"/>
        <w:b/>
        <w:bCs/>
      </w:rPr>
    </w:tblStylePr>
    <w:tblStylePr w:type="lastCol">
      <w:rPr>
        <w:rFonts w:cs="Times New Roman"/>
        <w:b/>
        <w:bCs/>
      </w:rPr>
    </w:tblStylePr>
  </w:style>
  <w:style w:type="table" w:customStyle="1" w:styleId="Gitternetztabelle21">
    <w:name w:val="Gitternetztabelle 21"/>
    <w:basedOn w:val="TableNormal"/>
    <w:uiPriority w:val="47"/>
    <w:locked/>
    <w:rsid w:val="00FC2E09"/>
    <w:rPr>
      <w:lang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rFonts w:cs="Times New Roman"/>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rFonts w:cs="Times New Roman"/>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2Akzent11">
    <w:name w:val="Gitternetztabelle 2 – Akzent 11"/>
    <w:basedOn w:val="TableNormal"/>
    <w:uiPriority w:val="47"/>
    <w:locked/>
    <w:rsid w:val="00FC2E09"/>
    <w:rPr>
      <w:lang w:eastAsia="de-A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rFonts w:cs="Times New Roman"/>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2Akzent21">
    <w:name w:val="Gitternetztabelle 2 – Akzent 21"/>
    <w:basedOn w:val="TableNormal"/>
    <w:uiPriority w:val="47"/>
    <w:locked/>
    <w:rsid w:val="00FC2E09"/>
    <w:rPr>
      <w:lang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rFonts w:cs="Times New Roman"/>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rFonts w:cs="Times New Roman"/>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2Akzent31">
    <w:name w:val="Gitternetztabelle 2 – Akzent 31"/>
    <w:basedOn w:val="TableNormal"/>
    <w:uiPriority w:val="47"/>
    <w:locked/>
    <w:rsid w:val="00FC2E09"/>
    <w:rPr>
      <w:lang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rFonts w:cs="Times New Roman"/>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rFonts w:cs="Times New Roman"/>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2Akzent41">
    <w:name w:val="Gitternetztabelle 2 – Akzent 41"/>
    <w:basedOn w:val="TableNormal"/>
    <w:uiPriority w:val="47"/>
    <w:locked/>
    <w:rsid w:val="00FC2E09"/>
    <w:rPr>
      <w:lang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rFonts w:cs="Times New Roman"/>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rFonts w:cs="Times New Roman"/>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2Akzent51">
    <w:name w:val="Gitternetztabelle 2 – Akzent 51"/>
    <w:basedOn w:val="TableNormal"/>
    <w:uiPriority w:val="47"/>
    <w:locked/>
    <w:rsid w:val="00FC2E09"/>
    <w:rPr>
      <w:lang w:eastAsia="de-AT"/>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rFonts w:cs="Times New Roman"/>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rFonts w:cs="Times New Roman"/>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2Akzent61">
    <w:name w:val="Gitternetztabelle 2 – Akzent 61"/>
    <w:basedOn w:val="TableNormal"/>
    <w:uiPriority w:val="47"/>
    <w:locked/>
    <w:rsid w:val="00FC2E09"/>
    <w:rPr>
      <w:lang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rFonts w:cs="Times New Roman"/>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rFonts w:cs="Times New Roman"/>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31">
    <w:name w:val="Gitternetztabelle 31"/>
    <w:basedOn w:val="TableNormal"/>
    <w:uiPriority w:val="48"/>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customStyle="1" w:styleId="Gitternetztabelle3Akzent11">
    <w:name w:val="Gitternetztabelle 3 – Akzent 11"/>
    <w:basedOn w:val="TableNormal"/>
    <w:uiPriority w:val="48"/>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3Akzent21">
    <w:name w:val="Gitternetztabelle 3 – Akzent 21"/>
    <w:basedOn w:val="TableNormal"/>
    <w:uiPriority w:val="48"/>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3Akzent31">
    <w:name w:val="Gitternetztabelle 3 – Akzent 31"/>
    <w:basedOn w:val="TableNormal"/>
    <w:uiPriority w:val="48"/>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3Akzent41">
    <w:name w:val="Gitternetztabelle 3 – Akzent 41"/>
    <w:basedOn w:val="TableNormal"/>
    <w:uiPriority w:val="48"/>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3Akzent51">
    <w:name w:val="Gitternetztabelle 3 – Akzent 51"/>
    <w:basedOn w:val="TableNormal"/>
    <w:uiPriority w:val="48"/>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3Akzent61">
    <w:name w:val="Gitternetztabelle 3 – Akzent 61"/>
    <w:basedOn w:val="TableNormal"/>
    <w:uiPriority w:val="48"/>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itternetztabelle41">
    <w:name w:val="Gitternetz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4Akzent11">
    <w:name w:val="Gitternetz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4Akzent21">
    <w:name w:val="Gitternetz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4Akzent31">
    <w:name w:val="Gitternetz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4Akzent41">
    <w:name w:val="Gitternetz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4Akzent51">
    <w:name w:val="Gitternetz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4Akzent61">
    <w:name w:val="Gitternetz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5dunkel1">
    <w:name w:val="Gitternetztabelle 5 dunkel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999999" w:themeFill="text1" w:themeFillTint="66"/>
      </w:tcPr>
    </w:tblStylePr>
  </w:style>
  <w:style w:type="table" w:customStyle="1" w:styleId="Gitternetztabelle5dunkelAkzent11">
    <w:name w:val="Gitternetztabelle 5 dunkel  – Akzent 1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BDD6EE" w:themeFill="accent1" w:themeFillTint="66"/>
      </w:tcPr>
    </w:tblStylePr>
  </w:style>
  <w:style w:type="table" w:customStyle="1" w:styleId="Gitternetztabelle5dunkelAkzent21">
    <w:name w:val="Gitternetztabelle 5 dunkel  – Akzent 2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7CAAC" w:themeFill="accent2" w:themeFillTint="66"/>
      </w:tcPr>
    </w:tblStylePr>
  </w:style>
  <w:style w:type="table" w:customStyle="1" w:styleId="Gitternetztabelle5dunkelAkzent31">
    <w:name w:val="Gitternetztabelle 5 dunkel  – Akzent 3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BDBDB" w:themeFill="accent3" w:themeFillTint="66"/>
      </w:tcPr>
    </w:tblStylePr>
  </w:style>
  <w:style w:type="table" w:customStyle="1" w:styleId="Gitternetztabelle5dunkelAkzent41">
    <w:name w:val="Gitternetztabelle 5 dunkel  – Akzent 4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E599" w:themeFill="accent4" w:themeFillTint="66"/>
      </w:tcPr>
    </w:tblStylePr>
  </w:style>
  <w:style w:type="table" w:customStyle="1" w:styleId="Gitternetztabelle5dunkelAkzent51">
    <w:name w:val="Gitternetztabelle 5 dunkel  – Akzent 5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B4C6E7" w:themeFill="accent5" w:themeFillTint="66"/>
      </w:tcPr>
    </w:tblStylePr>
  </w:style>
  <w:style w:type="table" w:customStyle="1" w:styleId="Gitternetztabelle5dunkelAkzent61">
    <w:name w:val="Gitternetztabelle 5 dunkel  – Akzent 6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C5E0B3" w:themeFill="accent6" w:themeFillTint="66"/>
      </w:tcPr>
    </w:tblStylePr>
  </w:style>
  <w:style w:type="table" w:customStyle="1" w:styleId="Gitternetztabelle6farbigAkzent11">
    <w:name w:val="Gitternetz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6farbigAkzent21">
    <w:name w:val="Gitternetz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6farbigAkzent31">
    <w:name w:val="Gitternetz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6farbigAkzent41">
    <w:name w:val="Gitternetz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6farbigAkzent51">
    <w:name w:val="Gitternetz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6farbigAkzent61">
    <w:name w:val="Gitternetz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7farbigAkzent11">
    <w:name w:val="Gitternetztabelle 7 farbig – Akzent 11"/>
    <w:basedOn w:val="TableNormal"/>
    <w:uiPriority w:val="52"/>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7farbigAkzent21">
    <w:name w:val="Gitternetztabelle 7 farbig – Akzent 21"/>
    <w:basedOn w:val="TableNormal"/>
    <w:uiPriority w:val="52"/>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7farbigAkzent31">
    <w:name w:val="Gitternetztabelle 7 farbig – Akzent 31"/>
    <w:basedOn w:val="TableNormal"/>
    <w:uiPriority w:val="52"/>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7farbigAkzent41">
    <w:name w:val="Gitternetztabelle 7 farbig – Akzent 41"/>
    <w:basedOn w:val="TableNormal"/>
    <w:uiPriority w:val="52"/>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7farbigAkzent51">
    <w:name w:val="Gitternetztabelle 7 farbig – Akzent 51"/>
    <w:basedOn w:val="TableNormal"/>
    <w:uiPriority w:val="52"/>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7farbigAkzent61">
    <w:name w:val="Gitternetztabelle 7 farbig – Akzent 61"/>
    <w:basedOn w:val="TableNormal"/>
    <w:uiPriority w:val="52"/>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ritternetztabelle6farbig1">
    <w:name w:val="Gritternetztabelle 6 farbig1"/>
    <w:basedOn w:val="TableNormal"/>
    <w:uiPriority w:val="51"/>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tternetztabelle7farbig1">
    <w:name w:val="Gritternetztabelle 7 farbig1"/>
    <w:basedOn w:val="TableNormal"/>
    <w:uiPriority w:val="52"/>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pPr>
      <w:rPr>
        <w:rFonts w:cs="Times New Roman"/>
        <w:b/>
        <w:bCs/>
        <w:color w:val="FFFFFF" w:themeColor="background1"/>
      </w:rPr>
      <w:tblPr/>
      <w:tcPr>
        <w:shd w:val="clear" w:color="auto" w:fill="5B9BD5" w:themeFill="accent1"/>
      </w:tcPr>
    </w:tblStylePr>
    <w:tblStylePr w:type="lastRow">
      <w:pPr>
        <w:spacing w:before="0" w:after="0"/>
      </w:pPr>
      <w:rPr>
        <w:rFonts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pPr>
      <w:rPr>
        <w:rFonts w:cs="Times New Roman"/>
        <w:b/>
        <w:bCs/>
        <w:color w:val="FFFFFF" w:themeColor="background1"/>
      </w:rPr>
      <w:tblPr/>
      <w:tcPr>
        <w:shd w:val="clear" w:color="auto" w:fill="ED7D31" w:themeFill="accent2"/>
      </w:tcPr>
    </w:tblStylePr>
    <w:tblStylePr w:type="lastRow">
      <w:pPr>
        <w:spacing w:before="0" w:after="0"/>
      </w:pPr>
      <w:rPr>
        <w:rFonts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pPr>
      <w:rPr>
        <w:rFonts w:cs="Times New Roman"/>
        <w:b/>
        <w:bCs/>
        <w:color w:val="FFFFFF" w:themeColor="background1"/>
      </w:rPr>
      <w:tblPr/>
      <w:tcPr>
        <w:shd w:val="clear" w:color="auto" w:fill="A5A5A5" w:themeFill="accent3"/>
      </w:tcPr>
    </w:tblStylePr>
    <w:tblStylePr w:type="lastRow">
      <w:pPr>
        <w:spacing w:before="0" w:after="0"/>
      </w:pPr>
      <w:rPr>
        <w:rFonts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pPr>
      <w:rPr>
        <w:rFonts w:cs="Times New Roman"/>
        <w:b/>
        <w:bCs/>
        <w:color w:val="FFFFFF" w:themeColor="background1"/>
      </w:rPr>
      <w:tblPr/>
      <w:tcPr>
        <w:shd w:val="clear" w:color="auto" w:fill="FFC000" w:themeFill="accent4"/>
      </w:tcPr>
    </w:tblStylePr>
    <w:tblStylePr w:type="lastRow">
      <w:pPr>
        <w:spacing w:before="0" w:after="0"/>
      </w:pPr>
      <w:rPr>
        <w:rFonts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pPr>
      <w:rPr>
        <w:rFonts w:cs="Times New Roman"/>
        <w:b/>
        <w:bCs/>
        <w:color w:val="FFFFFF" w:themeColor="background1"/>
      </w:rPr>
      <w:tblPr/>
      <w:tcPr>
        <w:shd w:val="clear" w:color="auto" w:fill="4472C4" w:themeFill="accent5"/>
      </w:tcPr>
    </w:tblStylePr>
    <w:tblStylePr w:type="lastRow">
      <w:pPr>
        <w:spacing w:before="0" w:after="0"/>
      </w:pPr>
      <w:rPr>
        <w:rFonts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pPr>
      <w:rPr>
        <w:rFonts w:cs="Times New Roman"/>
        <w:b/>
        <w:bCs/>
        <w:color w:val="FFFFFF" w:themeColor="background1"/>
      </w:rPr>
      <w:tblPr/>
      <w:tcPr>
        <w:shd w:val="clear" w:color="auto" w:fill="70AD47" w:themeFill="accent6"/>
      </w:tcPr>
    </w:tblStylePr>
    <w:tblStylePr w:type="lastRow">
      <w:pPr>
        <w:spacing w:before="0" w:after="0"/>
      </w:pPr>
      <w:rPr>
        <w:rFonts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lang w:eastAsia="de-A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lang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lang w:eastAsia="de-AT"/>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lang w:eastAsia="de-AT"/>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lang w:eastAsia="de-AT"/>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lang w:eastAsia="de-AT"/>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pPr>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pPr>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pPr>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pPr>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pPr>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pPr>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entabelle1hell1">
    <w:name w:val="Listentabelle 1 hell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1hellAkzent11">
    <w:name w:val="Listentabelle 1 hell  – Akzent 1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1hellAkzent21">
    <w:name w:val="Listentabelle 1 hell  – Akzent 2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4B083" w:themeColor="accent2" w:themeTint="99"/>
        </w:tcBorders>
      </w:tcPr>
    </w:tblStylePr>
    <w:tblStylePr w:type="lastRow">
      <w:rPr>
        <w:rFonts w:cs="Times New Roman"/>
        <w:b/>
        <w:bCs/>
      </w:rPr>
      <w:tblPr/>
      <w:tcPr>
        <w:tcBorders>
          <w:top w:val="sing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1hellAkzent31">
    <w:name w:val="Listentabelle 1 hell  – Akzent 3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C9C9C9" w:themeColor="accent3" w:themeTint="99"/>
        </w:tcBorders>
      </w:tcPr>
    </w:tblStylePr>
    <w:tblStylePr w:type="lastRow">
      <w:rPr>
        <w:rFonts w:cs="Times New Roman"/>
        <w:b/>
        <w:bCs/>
      </w:rPr>
      <w:tblPr/>
      <w:tcPr>
        <w:tcBorders>
          <w:top w:val="sing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1hellAkzent41">
    <w:name w:val="Listentabelle 1 hell  – Akzent 4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FD966" w:themeColor="accent4" w:themeTint="99"/>
        </w:tcBorders>
      </w:tcPr>
    </w:tblStylePr>
    <w:tblStylePr w:type="lastRow">
      <w:rPr>
        <w:rFonts w:cs="Times New Roman"/>
        <w:b/>
        <w:bCs/>
      </w:rPr>
      <w:tblPr/>
      <w:tcPr>
        <w:tcBorders>
          <w:top w:val="sing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1hellAkzent51">
    <w:name w:val="Listentabelle 1 hell  – Akzent 5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8EAADB" w:themeColor="accent5" w:themeTint="99"/>
        </w:tcBorders>
      </w:tcPr>
    </w:tblStylePr>
    <w:tblStylePr w:type="lastRow">
      <w:rPr>
        <w:rFonts w:cs="Times New Roman"/>
        <w:b/>
        <w:bCs/>
      </w:rPr>
      <w:tblPr/>
      <w:tcPr>
        <w:tcBorders>
          <w:top w:val="sing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1hellAkzent61">
    <w:name w:val="Listentabelle 1 hell  – Akzent 6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A8D08D" w:themeColor="accent6" w:themeTint="99"/>
        </w:tcBorders>
      </w:tcPr>
    </w:tblStylePr>
    <w:tblStylePr w:type="lastRow">
      <w:rPr>
        <w:rFonts w:cs="Times New Roman"/>
        <w:b/>
        <w:bCs/>
      </w:rPr>
      <w:tblPr/>
      <w:tcPr>
        <w:tcBorders>
          <w:top w:val="sing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21">
    <w:name w:val="Listentabelle 21"/>
    <w:basedOn w:val="TableNormal"/>
    <w:uiPriority w:val="47"/>
    <w:locked/>
    <w:rsid w:val="00FC2E09"/>
    <w:rPr>
      <w:lang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2Akzent11">
    <w:name w:val="Listentabelle 2 – Akzent 11"/>
    <w:basedOn w:val="TableNormal"/>
    <w:uiPriority w:val="47"/>
    <w:locked/>
    <w:rsid w:val="00FC2E09"/>
    <w:rPr>
      <w:lang w:eastAsia="de-AT"/>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2Akzent21">
    <w:name w:val="Listentabelle 2 – Akzent 21"/>
    <w:basedOn w:val="TableNormal"/>
    <w:uiPriority w:val="47"/>
    <w:locked/>
    <w:rsid w:val="00FC2E09"/>
    <w:rPr>
      <w:lang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2Akzent31">
    <w:name w:val="Listentabelle 2 – Akzent 31"/>
    <w:basedOn w:val="TableNormal"/>
    <w:uiPriority w:val="47"/>
    <w:locked/>
    <w:rsid w:val="00FC2E09"/>
    <w:rPr>
      <w:lang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2Akzent41">
    <w:name w:val="Listentabelle 2 – Akzent 41"/>
    <w:basedOn w:val="TableNormal"/>
    <w:uiPriority w:val="47"/>
    <w:locked/>
    <w:rsid w:val="00FC2E09"/>
    <w:rPr>
      <w:lang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2Akzent51">
    <w:name w:val="Listentabelle 2 – Akzent 51"/>
    <w:basedOn w:val="TableNormal"/>
    <w:uiPriority w:val="47"/>
    <w:locked/>
    <w:rsid w:val="00FC2E09"/>
    <w:rPr>
      <w:lang w:eastAsia="de-AT"/>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2Akzent61">
    <w:name w:val="Listentabelle 2 – Akzent 61"/>
    <w:basedOn w:val="TableNormal"/>
    <w:uiPriority w:val="47"/>
    <w:locked/>
    <w:rsid w:val="00FC2E09"/>
    <w:rPr>
      <w:lang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31">
    <w:name w:val="Listentabelle 31"/>
    <w:basedOn w:val="TableNormal"/>
    <w:uiPriority w:val="48"/>
    <w:locked/>
    <w:rsid w:val="00FC2E09"/>
    <w:rPr>
      <w:lang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locked/>
    <w:rsid w:val="00FC2E09"/>
    <w:rPr>
      <w:lang w:eastAsia="de-AT"/>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cs="Times New Roman"/>
        <w:b/>
        <w:bCs/>
        <w:color w:val="FFFFFF" w:themeColor="background1"/>
      </w:rPr>
      <w:tblPr/>
      <w:tcPr>
        <w:shd w:val="clear" w:color="auto" w:fill="5B9BD5" w:themeFill="accent1"/>
      </w:tcPr>
    </w:tblStylePr>
    <w:tblStylePr w:type="lastRow">
      <w:rPr>
        <w:rFonts w:cs="Times New Roman"/>
        <w:b/>
        <w:bCs/>
      </w:rPr>
      <w:tblPr/>
      <w:tcPr>
        <w:tcBorders>
          <w:top w:val="double" w:sz="4" w:space="0" w:color="5B9BD5"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5B9BD5" w:themeColor="accent1"/>
          <w:right w:val="single" w:sz="4" w:space="0" w:color="5B9BD5" w:themeColor="accent1"/>
        </w:tcBorders>
      </w:tcPr>
    </w:tblStylePr>
    <w:tblStylePr w:type="band1Horz">
      <w:rPr>
        <w:rFonts w:cs="Times New Roman"/>
      </w:rPr>
      <w:tblPr/>
      <w:tcPr>
        <w:tcBorders>
          <w:top w:val="single" w:sz="4" w:space="0" w:color="5B9BD5" w:themeColor="accent1"/>
          <w:bottom w:val="single" w:sz="4" w:space="0" w:color="5B9BD5"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themeColor="accent1"/>
          <w:left w:val="nil"/>
        </w:tcBorders>
      </w:tcPr>
    </w:tblStylePr>
    <w:tblStylePr w:type="swCell">
      <w:rPr>
        <w:rFonts w:cs="Times New Roman"/>
      </w:rPr>
      <w:tblPr/>
      <w:tcPr>
        <w:tcBorders>
          <w:top w:val="double" w:sz="4" w:space="0" w:color="5B9BD5" w:themeColor="accent1"/>
          <w:right w:val="nil"/>
        </w:tcBorders>
      </w:tcPr>
    </w:tblStylePr>
  </w:style>
  <w:style w:type="table" w:customStyle="1" w:styleId="Listentabelle3Akzent21">
    <w:name w:val="Listentabelle 3 – Akzent 21"/>
    <w:basedOn w:val="TableNormal"/>
    <w:uiPriority w:val="48"/>
    <w:locked/>
    <w:rsid w:val="00FC2E09"/>
    <w:rPr>
      <w:lang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rFonts w:cs="Times New Roman"/>
        <w:b/>
        <w:bCs/>
        <w:color w:val="FFFFFF" w:themeColor="background1"/>
      </w:rPr>
      <w:tblPr/>
      <w:tcPr>
        <w:shd w:val="clear" w:color="auto" w:fill="ED7D31" w:themeFill="accent2"/>
      </w:tcPr>
    </w:tblStylePr>
    <w:tblStylePr w:type="lastRow">
      <w:rPr>
        <w:rFonts w:cs="Times New Roman"/>
        <w:b/>
        <w:bCs/>
      </w:rPr>
      <w:tblPr/>
      <w:tcPr>
        <w:tcBorders>
          <w:top w:val="double" w:sz="4" w:space="0" w:color="ED7D31"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ED7D31" w:themeColor="accent2"/>
          <w:right w:val="single" w:sz="4" w:space="0" w:color="ED7D31" w:themeColor="accent2"/>
        </w:tcBorders>
      </w:tcPr>
    </w:tblStylePr>
    <w:tblStylePr w:type="band1Horz">
      <w:rPr>
        <w:rFonts w:cs="Times New Roman"/>
      </w:rPr>
      <w:tblPr/>
      <w:tcPr>
        <w:tcBorders>
          <w:top w:val="single" w:sz="4" w:space="0" w:color="ED7D31" w:themeColor="accent2"/>
          <w:bottom w:val="single" w:sz="4" w:space="0" w:color="ED7D31"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ED7D31" w:themeColor="accent2"/>
          <w:left w:val="nil"/>
        </w:tcBorders>
      </w:tcPr>
    </w:tblStylePr>
    <w:tblStylePr w:type="swCell">
      <w:rPr>
        <w:rFonts w:cs="Times New Roman"/>
      </w:rPr>
      <w:tblPr/>
      <w:tcPr>
        <w:tcBorders>
          <w:top w:val="double" w:sz="4" w:space="0" w:color="ED7D31" w:themeColor="accent2"/>
          <w:right w:val="nil"/>
        </w:tcBorders>
      </w:tcPr>
    </w:tblStylePr>
  </w:style>
  <w:style w:type="table" w:customStyle="1" w:styleId="Listentabelle3Akzent31">
    <w:name w:val="Listentabelle 3 – Akzent 31"/>
    <w:basedOn w:val="TableNormal"/>
    <w:uiPriority w:val="48"/>
    <w:locked/>
    <w:rsid w:val="00FC2E09"/>
    <w:rPr>
      <w:lang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table" w:customStyle="1" w:styleId="Listentabelle3Akzent41">
    <w:name w:val="Listentabelle 3 – Akzent 41"/>
    <w:basedOn w:val="TableNormal"/>
    <w:uiPriority w:val="48"/>
    <w:locked/>
    <w:rsid w:val="00FC2E09"/>
    <w:rPr>
      <w:lang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rFonts w:cs="Times New Roman"/>
        <w:b/>
        <w:bCs/>
        <w:color w:val="FFFFFF" w:themeColor="background1"/>
      </w:rPr>
      <w:tblPr/>
      <w:tcPr>
        <w:shd w:val="clear" w:color="auto" w:fill="FFC000" w:themeFill="accent4"/>
      </w:tcPr>
    </w:tblStylePr>
    <w:tblStylePr w:type="lastRow">
      <w:rPr>
        <w:rFonts w:cs="Times New Roman"/>
        <w:b/>
        <w:bCs/>
      </w:rPr>
      <w:tblPr/>
      <w:tcPr>
        <w:tcBorders>
          <w:top w:val="double" w:sz="4" w:space="0" w:color="FFC000" w:themeColor="accent4"/>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FFC000" w:themeColor="accent4"/>
          <w:right w:val="single" w:sz="4" w:space="0" w:color="FFC000" w:themeColor="accent4"/>
        </w:tcBorders>
      </w:tcPr>
    </w:tblStylePr>
    <w:tblStylePr w:type="band1Horz">
      <w:rPr>
        <w:rFonts w:cs="Times New Roman"/>
      </w:rPr>
      <w:tblPr/>
      <w:tcPr>
        <w:tcBorders>
          <w:top w:val="single" w:sz="4" w:space="0" w:color="FFC000" w:themeColor="accent4"/>
          <w:bottom w:val="single" w:sz="4" w:space="0" w:color="FFC000" w:themeColor="accent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FFC000" w:themeColor="accent4"/>
          <w:left w:val="nil"/>
        </w:tcBorders>
      </w:tcPr>
    </w:tblStylePr>
    <w:tblStylePr w:type="swCell">
      <w:rPr>
        <w:rFonts w:cs="Times New Roman"/>
      </w:rPr>
      <w:tblPr/>
      <w:tcPr>
        <w:tcBorders>
          <w:top w:val="double" w:sz="4" w:space="0" w:color="FFC000" w:themeColor="accent4"/>
          <w:right w:val="nil"/>
        </w:tcBorders>
      </w:tcPr>
    </w:tblStylePr>
  </w:style>
  <w:style w:type="table" w:customStyle="1" w:styleId="Listentabelle3Akzent51">
    <w:name w:val="Listentabelle 3 – Akzent 51"/>
    <w:basedOn w:val="TableNormal"/>
    <w:uiPriority w:val="48"/>
    <w:locked/>
    <w:rsid w:val="00FC2E09"/>
    <w:rPr>
      <w:lang w:eastAsia="de-AT"/>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rFonts w:cs="Times New Roman"/>
        <w:b/>
        <w:bCs/>
        <w:color w:val="FFFFFF" w:themeColor="background1"/>
      </w:rPr>
      <w:tblPr/>
      <w:tcPr>
        <w:shd w:val="clear" w:color="auto" w:fill="4472C4" w:themeFill="accent5"/>
      </w:tcPr>
    </w:tblStylePr>
    <w:tblStylePr w:type="lastRow">
      <w:rPr>
        <w:rFonts w:cs="Times New Roman"/>
        <w:b/>
        <w:bCs/>
      </w:rPr>
      <w:tblPr/>
      <w:tcPr>
        <w:tcBorders>
          <w:top w:val="double" w:sz="4" w:space="0" w:color="4472C4" w:themeColor="accent5"/>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5"/>
          <w:right w:val="single" w:sz="4" w:space="0" w:color="4472C4" w:themeColor="accent5"/>
        </w:tcBorders>
      </w:tcPr>
    </w:tblStylePr>
    <w:tblStylePr w:type="band1Horz">
      <w:rPr>
        <w:rFonts w:cs="Times New Roman"/>
      </w:rPr>
      <w:tblPr/>
      <w:tcPr>
        <w:tcBorders>
          <w:top w:val="single" w:sz="4" w:space="0" w:color="4472C4" w:themeColor="accent5"/>
          <w:bottom w:val="single" w:sz="4" w:space="0" w:color="4472C4"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5"/>
          <w:left w:val="nil"/>
        </w:tcBorders>
      </w:tcPr>
    </w:tblStylePr>
    <w:tblStylePr w:type="swCell">
      <w:rPr>
        <w:rFonts w:cs="Times New Roman"/>
      </w:rPr>
      <w:tblPr/>
      <w:tcPr>
        <w:tcBorders>
          <w:top w:val="double" w:sz="4" w:space="0" w:color="4472C4" w:themeColor="accent5"/>
          <w:right w:val="nil"/>
        </w:tcBorders>
      </w:tcPr>
    </w:tblStylePr>
  </w:style>
  <w:style w:type="table" w:customStyle="1" w:styleId="Listentabelle3Akzent61">
    <w:name w:val="Listentabelle 3 – Akzent 61"/>
    <w:basedOn w:val="TableNormal"/>
    <w:uiPriority w:val="48"/>
    <w:locked/>
    <w:rsid w:val="00FC2E09"/>
    <w:rPr>
      <w:lang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rFonts w:cs="Times New Roman"/>
        <w:b/>
        <w:bCs/>
        <w:color w:val="FFFFFF" w:themeColor="background1"/>
      </w:rPr>
      <w:tblPr/>
      <w:tcPr>
        <w:shd w:val="clear" w:color="auto" w:fill="70AD47" w:themeFill="accent6"/>
      </w:tcPr>
    </w:tblStylePr>
    <w:tblStylePr w:type="lastRow">
      <w:rPr>
        <w:rFonts w:cs="Times New Roman"/>
        <w:b/>
        <w:bCs/>
      </w:rPr>
      <w:tblPr/>
      <w:tcPr>
        <w:tcBorders>
          <w:top w:val="double" w:sz="4" w:space="0" w:color="70AD47" w:themeColor="accent6"/>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70AD47" w:themeColor="accent6"/>
          <w:right w:val="single" w:sz="4" w:space="0" w:color="70AD47" w:themeColor="accent6"/>
        </w:tcBorders>
      </w:tcPr>
    </w:tblStylePr>
    <w:tblStylePr w:type="band1Horz">
      <w:rPr>
        <w:rFonts w:cs="Times New Roman"/>
      </w:rPr>
      <w:tblPr/>
      <w:tcPr>
        <w:tcBorders>
          <w:top w:val="single" w:sz="4" w:space="0" w:color="70AD47" w:themeColor="accent6"/>
          <w:bottom w:val="single" w:sz="4" w:space="0" w:color="70AD47" w:themeColor="accent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70AD47" w:themeColor="accent6"/>
          <w:left w:val="nil"/>
        </w:tcBorders>
      </w:tcPr>
    </w:tblStylePr>
    <w:tblStylePr w:type="swCell">
      <w:rPr>
        <w:rFonts w:cs="Times New Roman"/>
      </w:rPr>
      <w:tblPr/>
      <w:tcPr>
        <w:tcBorders>
          <w:top w:val="double" w:sz="4" w:space="0" w:color="70AD47" w:themeColor="accent6"/>
          <w:right w:val="nil"/>
        </w:tcBorders>
      </w:tcPr>
    </w:tblStylePr>
  </w:style>
  <w:style w:type="table" w:customStyle="1" w:styleId="Listentabelle41">
    <w:name w:val="Listen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4Akzent11">
    <w:name w:val="Listen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4Akzent21">
    <w:name w:val="Listen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4Akzent31">
    <w:name w:val="Listen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4Akzent41">
    <w:name w:val="Listen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4Akzent51">
    <w:name w:val="Listen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4Akzent61">
    <w:name w:val="Listen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5dunkel1">
    <w:name w:val="Listentabelle 5 dunkel1"/>
    <w:basedOn w:val="TableNormal"/>
    <w:uiPriority w:val="50"/>
    <w:locked/>
    <w:rsid w:val="00FC2E09"/>
    <w:rPr>
      <w:color w:val="FFFFFF" w:themeColor="background1"/>
      <w:lang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11">
    <w:name w:val="Listentabelle 5 dunkel  – Akzent 11"/>
    <w:basedOn w:val="TableNormal"/>
    <w:uiPriority w:val="50"/>
    <w:locked/>
    <w:rsid w:val="00FC2E09"/>
    <w:rPr>
      <w:color w:val="FFFFFF" w:themeColor="background1"/>
      <w:lang w:eastAsia="de-AT"/>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21">
    <w:name w:val="Listentabelle 5 dunkel  – Akzent 21"/>
    <w:basedOn w:val="TableNormal"/>
    <w:uiPriority w:val="50"/>
    <w:locked/>
    <w:rsid w:val="00FC2E09"/>
    <w:rPr>
      <w:color w:val="FFFFFF" w:themeColor="background1"/>
      <w:lang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31">
    <w:name w:val="Listentabelle 5 dunkel  – Akzent 31"/>
    <w:basedOn w:val="TableNormal"/>
    <w:uiPriority w:val="50"/>
    <w:locked/>
    <w:rsid w:val="00FC2E09"/>
    <w:rPr>
      <w:color w:val="FFFFFF" w:themeColor="background1"/>
      <w:lang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41">
    <w:name w:val="Listentabelle 5 dunkel  – Akzent 41"/>
    <w:basedOn w:val="TableNormal"/>
    <w:uiPriority w:val="50"/>
    <w:locked/>
    <w:rsid w:val="00FC2E09"/>
    <w:rPr>
      <w:color w:val="FFFFFF" w:themeColor="background1"/>
      <w:lang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51">
    <w:name w:val="Listentabelle 5 dunkel  – Akzent 51"/>
    <w:basedOn w:val="TableNormal"/>
    <w:uiPriority w:val="50"/>
    <w:locked/>
    <w:rsid w:val="00FC2E09"/>
    <w:rPr>
      <w:color w:val="FFFFFF" w:themeColor="background1"/>
      <w:lang w:eastAsia="de-AT"/>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61">
    <w:name w:val="Listentabelle 5 dunkel  – Akzent 61"/>
    <w:basedOn w:val="TableNormal"/>
    <w:uiPriority w:val="50"/>
    <w:locked/>
    <w:rsid w:val="00FC2E09"/>
    <w:rPr>
      <w:color w:val="FFFFFF" w:themeColor="background1"/>
      <w:lang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6farbig1">
    <w:name w:val="Listentabelle 6 farbig1"/>
    <w:basedOn w:val="TableNormal"/>
    <w:uiPriority w:val="51"/>
    <w:locked/>
    <w:rsid w:val="00FC2E09"/>
    <w:rPr>
      <w:color w:val="000000" w:themeColor="text1"/>
      <w:lang w:eastAsia="de-AT"/>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6farbigAkzent11">
    <w:name w:val="Listen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5B9BD5" w:themeColor="accent1"/>
        <w:bottom w:val="single" w:sz="4" w:space="0" w:color="5B9BD5" w:themeColor="accent1"/>
      </w:tblBorders>
    </w:tblPr>
    <w:tblStylePr w:type="firstRow">
      <w:rPr>
        <w:rFonts w:cs="Times New Roman"/>
        <w:b/>
        <w:bCs/>
      </w:rPr>
      <w:tblPr/>
      <w:tcPr>
        <w:tcBorders>
          <w:bottom w:val="single" w:sz="4" w:space="0" w:color="5B9BD5" w:themeColor="accent1"/>
        </w:tcBorders>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6farbigAkzent21">
    <w:name w:val="Listen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ED7D31" w:themeColor="accent2"/>
        <w:bottom w:val="single" w:sz="4" w:space="0" w:color="ED7D31" w:themeColor="accent2"/>
      </w:tblBorders>
    </w:tblPr>
    <w:tblStylePr w:type="firstRow">
      <w:rPr>
        <w:rFonts w:cs="Times New Roman"/>
        <w:b/>
        <w:bCs/>
      </w:rPr>
      <w:tblPr/>
      <w:tcPr>
        <w:tcBorders>
          <w:bottom w:val="single" w:sz="4" w:space="0" w:color="ED7D31" w:themeColor="accent2"/>
        </w:tcBorders>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6farbigAkzent31">
    <w:name w:val="Listen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A5A5A5" w:themeColor="accent3"/>
        <w:bottom w:val="single" w:sz="4" w:space="0" w:color="A5A5A5" w:themeColor="accent3"/>
      </w:tblBorders>
    </w:tblPr>
    <w:tblStylePr w:type="firstRow">
      <w:rPr>
        <w:rFonts w:cs="Times New Roman"/>
        <w:b/>
        <w:bCs/>
      </w:rPr>
      <w:tblPr/>
      <w:tcPr>
        <w:tcBorders>
          <w:bottom w:val="single" w:sz="4" w:space="0" w:color="A5A5A5" w:themeColor="accent3"/>
        </w:tcBorders>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6farbigAkzent41">
    <w:name w:val="Listen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C000" w:themeColor="accent4"/>
        <w:bottom w:val="single" w:sz="4" w:space="0" w:color="FFC000" w:themeColor="accent4"/>
      </w:tblBorders>
    </w:tblPr>
    <w:tblStylePr w:type="firstRow">
      <w:rPr>
        <w:rFonts w:cs="Times New Roman"/>
        <w:b/>
        <w:bCs/>
      </w:rPr>
      <w:tblPr/>
      <w:tcPr>
        <w:tcBorders>
          <w:bottom w:val="single" w:sz="4" w:space="0" w:color="FFC000" w:themeColor="accent4"/>
        </w:tcBorders>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6farbigAkzent51">
    <w:name w:val="Listen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4472C4" w:themeColor="accent5"/>
        <w:bottom w:val="single" w:sz="4" w:space="0" w:color="4472C4" w:themeColor="accent5"/>
      </w:tblBorders>
    </w:tblPr>
    <w:tblStylePr w:type="firstRow">
      <w:rPr>
        <w:rFonts w:cs="Times New Roman"/>
        <w:b/>
        <w:bCs/>
      </w:rPr>
      <w:tblPr/>
      <w:tcPr>
        <w:tcBorders>
          <w:bottom w:val="single" w:sz="4" w:space="0" w:color="4472C4" w:themeColor="accent5"/>
        </w:tcBorders>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6farbigAkzent61">
    <w:name w:val="Listen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70AD47" w:themeColor="accent6"/>
        <w:bottom w:val="single" w:sz="4" w:space="0" w:color="70AD47" w:themeColor="accent6"/>
      </w:tblBorders>
    </w:tblPr>
    <w:tblStylePr w:type="firstRow">
      <w:rPr>
        <w:rFonts w:cs="Times New Roman"/>
        <w:b/>
        <w:bCs/>
      </w:rPr>
      <w:tblPr/>
      <w:tcPr>
        <w:tcBorders>
          <w:bottom w:val="single" w:sz="4" w:space="0" w:color="70AD47" w:themeColor="accent6"/>
        </w:tcBorders>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7farbig1">
    <w:name w:val="Listentabelle 7 farbig1"/>
    <w:basedOn w:val="TableNormal"/>
    <w:uiPriority w:val="52"/>
    <w:locked/>
    <w:rsid w:val="00FC2E09"/>
    <w:rPr>
      <w:color w:val="000000" w:themeColor="text1"/>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11">
    <w:name w:val="Listentabelle 7 farbig – Akzent 11"/>
    <w:basedOn w:val="TableNormal"/>
    <w:uiPriority w:val="52"/>
    <w:locked/>
    <w:rsid w:val="00FC2E09"/>
    <w:rPr>
      <w:color w:val="2E74B5" w:themeColor="accent1"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5B9BD5" w:themeColor="accent1"/>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21">
    <w:name w:val="Listentabelle 7 farbig – Akzent 21"/>
    <w:basedOn w:val="TableNormal"/>
    <w:uiPriority w:val="52"/>
    <w:locked/>
    <w:rsid w:val="00FC2E09"/>
    <w:rPr>
      <w:color w:val="C45911" w:themeColor="accent2"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ED7D31" w:themeColor="accent2"/>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31">
    <w:name w:val="Listentabelle 7 farbig – Akzent 31"/>
    <w:basedOn w:val="TableNormal"/>
    <w:uiPriority w:val="52"/>
    <w:locked/>
    <w:rsid w:val="00FC2E09"/>
    <w:rPr>
      <w:color w:val="7B7B7B" w:themeColor="accent3"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A5A5A5" w:themeColor="accent3"/>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41">
    <w:name w:val="Listentabelle 7 farbig – Akzent 41"/>
    <w:basedOn w:val="TableNormal"/>
    <w:uiPriority w:val="52"/>
    <w:locked/>
    <w:rsid w:val="00FC2E09"/>
    <w:rPr>
      <w:color w:val="BF8F00" w:themeColor="accent4"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FFC000" w:themeColor="accent4"/>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51">
    <w:name w:val="Listentabelle 7 farbig – Akzent 51"/>
    <w:basedOn w:val="TableNormal"/>
    <w:uiPriority w:val="52"/>
    <w:locked/>
    <w:rsid w:val="00FC2E09"/>
    <w:rPr>
      <w:color w:val="2F5496" w:themeColor="accent5"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4472C4" w:themeColor="accent5"/>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61">
    <w:name w:val="Listentabelle 7 farbig – Akzent 61"/>
    <w:basedOn w:val="TableNormal"/>
    <w:uiPriority w:val="52"/>
    <w:locked/>
    <w:rsid w:val="00FC2E09"/>
    <w:rPr>
      <w:color w:val="538135" w:themeColor="accent6"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0AD47" w:themeColor="accent6"/>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MediumList1">
    <w:name w:val="Medium List 1"/>
    <w:basedOn w:val="TableNormal"/>
    <w:uiPriority w:val="65"/>
    <w:semiHidden/>
    <w:unhideWhenUsed/>
    <w:locked/>
    <w:rsid w:val="00FC2E09"/>
    <w:rPr>
      <w:color w:val="000000" w:themeColor="text1"/>
      <w:lang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lang w:eastAsia="de-AT"/>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imes New Roman"/>
      </w:rPr>
      <w:tblPr/>
      <w:tcPr>
        <w:tcBorders>
          <w:top w:val="nil"/>
          <w:bottom w:val="single" w:sz="8" w:space="0" w:color="5B9BD5" w:themeColor="accent1"/>
        </w:tcBorders>
      </w:tcPr>
    </w:tblStylePr>
    <w:tblStylePr w:type="lastRow">
      <w:rPr>
        <w:rFonts w:cs="Times New Roman"/>
        <w:b/>
        <w:bCs/>
        <w:color w:val="44546A" w:themeColor="text2"/>
      </w:rPr>
      <w:tblPr/>
      <w:tcPr>
        <w:tcBorders>
          <w:top w:val="single" w:sz="8" w:space="0" w:color="5B9BD5" w:themeColor="accent1"/>
          <w:bottom w:val="single" w:sz="8" w:space="0" w:color="5B9BD5" w:themeColor="accent1"/>
        </w:tcBorders>
      </w:tcPr>
    </w:tblStylePr>
    <w:tblStylePr w:type="firstCol">
      <w:rPr>
        <w:rFonts w:cs="Times New Roman"/>
        <w:b/>
        <w:bCs/>
      </w:rPr>
    </w:tblStylePr>
    <w:tblStylePr w:type="lastCol">
      <w:rPr>
        <w:rFonts w:cs="Times New Roman"/>
        <w:b/>
        <w:bCs/>
      </w:rPr>
      <w:tblPr/>
      <w:tcPr>
        <w:tcBorders>
          <w:top w:val="single" w:sz="8" w:space="0" w:color="5B9BD5" w:themeColor="accent1"/>
          <w:bottom w:val="single" w:sz="8" w:space="0" w:color="5B9BD5" w:themeColor="accent1"/>
        </w:tcBorders>
      </w:tcPr>
    </w:tblStylePr>
    <w:tblStylePr w:type="band1Vert">
      <w:rPr>
        <w:rFonts w:cs="Times New Roman"/>
      </w:rPr>
      <w:tblPr/>
      <w:tcPr>
        <w:shd w:val="clear" w:color="auto" w:fill="D6E6F4" w:themeFill="accent1" w:themeFillTint="3F"/>
      </w:tcPr>
    </w:tblStylePr>
    <w:tblStylePr w:type="band1Horz">
      <w:rPr>
        <w:rFonts w:cs="Times New Roman"/>
      </w:rPr>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lang w:eastAsia="de-AT"/>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imes New Roman"/>
      </w:rPr>
      <w:tblPr/>
      <w:tcPr>
        <w:tcBorders>
          <w:top w:val="nil"/>
          <w:bottom w:val="single" w:sz="8" w:space="0" w:color="ED7D31" w:themeColor="accent2"/>
        </w:tcBorders>
      </w:tcPr>
    </w:tblStylePr>
    <w:tblStylePr w:type="lastRow">
      <w:rPr>
        <w:rFonts w:cs="Times New Roman"/>
        <w:b/>
        <w:bCs/>
        <w:color w:val="44546A" w:themeColor="text2"/>
      </w:rPr>
      <w:tblPr/>
      <w:tcPr>
        <w:tcBorders>
          <w:top w:val="single" w:sz="8" w:space="0" w:color="ED7D31" w:themeColor="accent2"/>
          <w:bottom w:val="single" w:sz="8" w:space="0" w:color="ED7D31" w:themeColor="accent2"/>
        </w:tcBorders>
      </w:tcPr>
    </w:tblStylePr>
    <w:tblStylePr w:type="firstCol">
      <w:rPr>
        <w:rFonts w:cs="Times New Roman"/>
        <w:b/>
        <w:bCs/>
      </w:rPr>
    </w:tblStylePr>
    <w:tblStylePr w:type="lastCol">
      <w:rPr>
        <w:rFonts w:cs="Times New Roman"/>
        <w:b/>
        <w:bCs/>
      </w:rPr>
      <w:tblPr/>
      <w:tcPr>
        <w:tcBorders>
          <w:top w:val="single" w:sz="8" w:space="0" w:color="ED7D31" w:themeColor="accent2"/>
          <w:bottom w:val="single" w:sz="8" w:space="0" w:color="ED7D31" w:themeColor="accent2"/>
        </w:tcBorders>
      </w:tcPr>
    </w:tblStylePr>
    <w:tblStylePr w:type="band1Vert">
      <w:rPr>
        <w:rFonts w:cs="Times New Roman"/>
      </w:rPr>
      <w:tblPr/>
      <w:tcPr>
        <w:shd w:val="clear" w:color="auto" w:fill="FADECB" w:themeFill="accent2" w:themeFillTint="3F"/>
      </w:tcPr>
    </w:tblStylePr>
    <w:tblStylePr w:type="band1Horz">
      <w:rPr>
        <w:rFonts w:cs="Times New Roman"/>
      </w:rPr>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lang w:eastAsia="de-AT"/>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imes New Roman"/>
      </w:rPr>
      <w:tblPr/>
      <w:tcPr>
        <w:tcBorders>
          <w:top w:val="nil"/>
          <w:bottom w:val="single" w:sz="8" w:space="0" w:color="A5A5A5" w:themeColor="accent3"/>
        </w:tcBorders>
      </w:tcPr>
    </w:tblStylePr>
    <w:tblStylePr w:type="lastRow">
      <w:rPr>
        <w:rFonts w:cs="Times New Roman"/>
        <w:b/>
        <w:bCs/>
        <w:color w:val="44546A" w:themeColor="text2"/>
      </w:rPr>
      <w:tblPr/>
      <w:tcPr>
        <w:tcBorders>
          <w:top w:val="single" w:sz="8" w:space="0" w:color="A5A5A5" w:themeColor="accent3"/>
          <w:bottom w:val="single" w:sz="8" w:space="0" w:color="A5A5A5" w:themeColor="accent3"/>
        </w:tcBorders>
      </w:tcPr>
    </w:tblStylePr>
    <w:tblStylePr w:type="firstCol">
      <w:rPr>
        <w:rFonts w:cs="Times New Roman"/>
        <w:b/>
        <w:bCs/>
      </w:rPr>
    </w:tblStylePr>
    <w:tblStylePr w:type="lastCol">
      <w:rPr>
        <w:rFonts w:cs="Times New Roman"/>
        <w:b/>
        <w:bCs/>
      </w:rPr>
      <w:tblPr/>
      <w:tcPr>
        <w:tcBorders>
          <w:top w:val="single" w:sz="8" w:space="0" w:color="A5A5A5" w:themeColor="accent3"/>
          <w:bottom w:val="single" w:sz="8" w:space="0" w:color="A5A5A5" w:themeColor="accent3"/>
        </w:tcBorders>
      </w:tcPr>
    </w:tblStylePr>
    <w:tblStylePr w:type="band1Vert">
      <w:rPr>
        <w:rFonts w:cs="Times New Roman"/>
      </w:rPr>
      <w:tblPr/>
      <w:tcPr>
        <w:shd w:val="clear" w:color="auto" w:fill="E8E8E8" w:themeFill="accent3" w:themeFillTint="3F"/>
      </w:tcPr>
    </w:tblStylePr>
    <w:tblStylePr w:type="band1Horz">
      <w:rPr>
        <w:rFonts w:cs="Times New Roman"/>
      </w:rPr>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lang w:eastAsia="de-AT"/>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imes New Roman"/>
      </w:rPr>
      <w:tblPr/>
      <w:tcPr>
        <w:tcBorders>
          <w:top w:val="nil"/>
          <w:bottom w:val="single" w:sz="8" w:space="0" w:color="FFC000" w:themeColor="accent4"/>
        </w:tcBorders>
      </w:tcPr>
    </w:tblStylePr>
    <w:tblStylePr w:type="lastRow">
      <w:rPr>
        <w:rFonts w:cs="Times New Roman"/>
        <w:b/>
        <w:bCs/>
        <w:color w:val="44546A" w:themeColor="text2"/>
      </w:rPr>
      <w:tblPr/>
      <w:tcPr>
        <w:tcBorders>
          <w:top w:val="single" w:sz="8" w:space="0" w:color="FFC000" w:themeColor="accent4"/>
          <w:bottom w:val="single" w:sz="8" w:space="0" w:color="FFC000" w:themeColor="accent4"/>
        </w:tcBorders>
      </w:tcPr>
    </w:tblStylePr>
    <w:tblStylePr w:type="firstCol">
      <w:rPr>
        <w:rFonts w:cs="Times New Roman"/>
        <w:b/>
        <w:bCs/>
      </w:rPr>
    </w:tblStylePr>
    <w:tblStylePr w:type="lastCol">
      <w:rPr>
        <w:rFonts w:cs="Times New Roman"/>
        <w:b/>
        <w:bCs/>
      </w:rPr>
      <w:tblPr/>
      <w:tcPr>
        <w:tcBorders>
          <w:top w:val="single" w:sz="8" w:space="0" w:color="FFC000" w:themeColor="accent4"/>
          <w:bottom w:val="single" w:sz="8" w:space="0" w:color="FFC000" w:themeColor="accent4"/>
        </w:tcBorders>
      </w:tcPr>
    </w:tblStylePr>
    <w:tblStylePr w:type="band1Vert">
      <w:rPr>
        <w:rFonts w:cs="Times New Roman"/>
      </w:rPr>
      <w:tblPr/>
      <w:tcPr>
        <w:shd w:val="clear" w:color="auto" w:fill="FFEFC0" w:themeFill="accent4" w:themeFillTint="3F"/>
      </w:tcPr>
    </w:tblStylePr>
    <w:tblStylePr w:type="band1Horz">
      <w:rPr>
        <w:rFonts w:cs="Times New Roman"/>
      </w:rPr>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lang w:eastAsia="de-AT"/>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imes New Roman"/>
      </w:rPr>
      <w:tblPr/>
      <w:tcPr>
        <w:tcBorders>
          <w:top w:val="nil"/>
          <w:bottom w:val="single" w:sz="8" w:space="0" w:color="4472C4" w:themeColor="accent5"/>
        </w:tcBorders>
      </w:tcPr>
    </w:tblStylePr>
    <w:tblStylePr w:type="lastRow">
      <w:rPr>
        <w:rFonts w:cs="Times New Roman"/>
        <w:b/>
        <w:bCs/>
        <w:color w:val="44546A" w:themeColor="text2"/>
      </w:rPr>
      <w:tblPr/>
      <w:tcPr>
        <w:tcBorders>
          <w:top w:val="single" w:sz="8" w:space="0" w:color="4472C4" w:themeColor="accent5"/>
          <w:bottom w:val="single" w:sz="8" w:space="0" w:color="4472C4" w:themeColor="accent5"/>
        </w:tcBorders>
      </w:tcPr>
    </w:tblStylePr>
    <w:tblStylePr w:type="firstCol">
      <w:rPr>
        <w:rFonts w:cs="Times New Roman"/>
        <w:b/>
        <w:bCs/>
      </w:rPr>
    </w:tblStylePr>
    <w:tblStylePr w:type="lastCol">
      <w:rPr>
        <w:rFonts w:cs="Times New Roman"/>
        <w:b/>
        <w:bCs/>
      </w:rPr>
      <w:tblPr/>
      <w:tcPr>
        <w:tcBorders>
          <w:top w:val="single" w:sz="8" w:space="0" w:color="4472C4" w:themeColor="accent5"/>
          <w:bottom w:val="single" w:sz="8" w:space="0" w:color="4472C4" w:themeColor="accent5"/>
        </w:tcBorders>
      </w:tcPr>
    </w:tblStylePr>
    <w:tblStylePr w:type="band1Vert">
      <w:rPr>
        <w:rFonts w:cs="Times New Roman"/>
      </w:rPr>
      <w:tblPr/>
      <w:tcPr>
        <w:shd w:val="clear" w:color="auto" w:fill="D0DBF0" w:themeFill="accent5" w:themeFillTint="3F"/>
      </w:tcPr>
    </w:tblStylePr>
    <w:tblStylePr w:type="band1Horz">
      <w:rPr>
        <w:rFonts w:cs="Times New Roman"/>
      </w:rPr>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lang w:eastAsia="de-AT"/>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imes New Roman"/>
      </w:rPr>
      <w:tblPr/>
      <w:tcPr>
        <w:tcBorders>
          <w:top w:val="nil"/>
          <w:bottom w:val="single" w:sz="8" w:space="0" w:color="70AD47" w:themeColor="accent6"/>
        </w:tcBorders>
      </w:tcPr>
    </w:tblStylePr>
    <w:tblStylePr w:type="lastRow">
      <w:rPr>
        <w:rFonts w:cs="Times New Roman"/>
        <w:b/>
        <w:bCs/>
        <w:color w:val="44546A" w:themeColor="text2"/>
      </w:rPr>
      <w:tblPr/>
      <w:tcPr>
        <w:tcBorders>
          <w:top w:val="single" w:sz="8" w:space="0" w:color="70AD47" w:themeColor="accent6"/>
          <w:bottom w:val="single" w:sz="8" w:space="0" w:color="70AD47" w:themeColor="accent6"/>
        </w:tcBorders>
      </w:tcPr>
    </w:tblStylePr>
    <w:tblStylePr w:type="firstCol">
      <w:rPr>
        <w:rFonts w:cs="Times New Roman"/>
        <w:b/>
        <w:bCs/>
      </w:rPr>
    </w:tblStylePr>
    <w:tblStylePr w:type="lastCol">
      <w:rPr>
        <w:rFonts w:cs="Times New Roman"/>
        <w:b/>
        <w:bCs/>
      </w:rPr>
      <w:tblPr/>
      <w:tcPr>
        <w:tcBorders>
          <w:top w:val="single" w:sz="8" w:space="0" w:color="70AD47" w:themeColor="accent6"/>
          <w:bottom w:val="single" w:sz="8" w:space="0" w:color="70AD47" w:themeColor="accent6"/>
        </w:tcBorders>
      </w:tcPr>
    </w:tblStylePr>
    <w:tblStylePr w:type="band1Vert">
      <w:rPr>
        <w:rFonts w:cs="Times New Roman"/>
      </w:rPr>
      <w:tblPr/>
      <w:tcPr>
        <w:shd w:val="clear" w:color="auto" w:fill="DBEBD0" w:themeFill="accent6" w:themeFillTint="3F"/>
      </w:tcPr>
    </w:tblStylePr>
    <w:tblStylePr w:type="band1Horz">
      <w:rPr>
        <w:rFonts w:cs="Times New Roman"/>
      </w:rPr>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rFonts w:cs="Times New Roman"/>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rPr>
        <w:rFonts w:cs="Times New Roman"/>
      </w:rPr>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top w:val="nil"/>
          <w:bottom w:val="nil"/>
          <w:insideH w:val="nil"/>
          <w:insideV w:val="nil"/>
        </w:tcBorders>
        <w:shd w:val="clear" w:color="auto" w:fill="D6E6F4"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rFonts w:cs="Times New Roman"/>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rPr>
        <w:rFonts w:cs="Times New Roman"/>
      </w:rPr>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top w:val="nil"/>
          <w:bottom w:val="nil"/>
          <w:insideH w:val="nil"/>
          <w:insideV w:val="nil"/>
        </w:tcBorders>
        <w:shd w:val="clear" w:color="auto" w:fill="FADECB"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rFonts w:cs="Times New Roman"/>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rPr>
        <w:rFonts w:cs="Times New Roman"/>
      </w:rPr>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top w:val="nil"/>
          <w:bottom w:val="nil"/>
          <w:insideH w:val="nil"/>
          <w:insideV w:val="nil"/>
        </w:tcBorders>
        <w:shd w:val="clear" w:color="auto" w:fill="E8E8E8"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rFonts w:cs="Times New Roman"/>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rPr>
        <w:rFonts w:cs="Times New Roman"/>
      </w:rPr>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top w:val="nil"/>
          <w:bottom w:val="nil"/>
          <w:insideH w:val="nil"/>
          <w:insideV w:val="nil"/>
        </w:tcBorders>
        <w:shd w:val="clear" w:color="auto" w:fill="FFEFC0"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rFonts w:cs="Times New Roman"/>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rPr>
        <w:rFonts w:cs="Times New Roman"/>
      </w:rPr>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top w:val="nil"/>
          <w:bottom w:val="nil"/>
          <w:insideH w:val="nil"/>
          <w:insideV w:val="nil"/>
        </w:tcBorders>
        <w:shd w:val="clear" w:color="auto" w:fill="D0DBF0"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rFonts w:cs="Times New Roman"/>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rPr>
        <w:rFonts w:cs="Times New Roman"/>
      </w:rPr>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top w:val="nil"/>
          <w:bottom w:val="nil"/>
          <w:insideH w:val="nil"/>
          <w:insideV w:val="nil"/>
        </w:tcBorders>
        <w:shd w:val="clear" w:color="auto" w:fill="DBEB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Shading1">
    <w:name w:val="Medium Shading 1"/>
    <w:basedOn w:val="TableNormal"/>
    <w:uiPriority w:val="63"/>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pPr>
      <w:rPr>
        <w:rFonts w:cs="Times New Roman"/>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pPr>
      <w:rPr>
        <w:rFonts w:cs="Times New Roman"/>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hemeFill="accent1" w:themeFillTint="3F"/>
      </w:tcPr>
    </w:tblStylePr>
    <w:tblStylePr w:type="band1Horz">
      <w:rPr>
        <w:rFonts w:cs="Times New Roman"/>
      </w:rPr>
      <w:tblPr/>
      <w:tcPr>
        <w:tcBorders>
          <w:insideH w:val="nil"/>
          <w:insideV w:val="nil"/>
        </w:tcBorders>
        <w:shd w:val="clear" w:color="auto" w:fill="D6E6F4"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pPr>
      <w:rPr>
        <w:rFonts w:cs="Times New Roman"/>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pPr>
      <w:rPr>
        <w:rFonts w:cs="Times New Roman"/>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ADECB" w:themeFill="accent2" w:themeFillTint="3F"/>
      </w:tcPr>
    </w:tblStylePr>
    <w:tblStylePr w:type="band1Horz">
      <w:rPr>
        <w:rFonts w:cs="Times New Roman"/>
      </w:rPr>
      <w:tblPr/>
      <w:tcPr>
        <w:tcBorders>
          <w:insideH w:val="nil"/>
          <w:insideV w:val="nil"/>
        </w:tcBorders>
        <w:shd w:val="clear" w:color="auto" w:fill="FADECB"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pPr>
      <w:rPr>
        <w:rFonts w:cs="Times New Roman"/>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pPr>
      <w:rPr>
        <w:rFonts w:cs="Times New Roman"/>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hemeFill="accent3" w:themeFillTint="3F"/>
      </w:tcPr>
    </w:tblStylePr>
    <w:tblStylePr w:type="band1Horz">
      <w:rPr>
        <w:rFonts w:cs="Times New Roman"/>
      </w:rPr>
      <w:tblPr/>
      <w:tcPr>
        <w:tcBorders>
          <w:insideH w:val="nil"/>
          <w:insideV w:val="nil"/>
        </w:tcBorders>
        <w:shd w:val="clear" w:color="auto" w:fill="E8E8E8"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pPr>
      <w:rPr>
        <w:rFonts w:cs="Times New Roman"/>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pPr>
      <w:rPr>
        <w:rFonts w:cs="Times New Roman"/>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FC0" w:themeFill="accent4" w:themeFillTint="3F"/>
      </w:tcPr>
    </w:tblStylePr>
    <w:tblStylePr w:type="band1Horz">
      <w:rPr>
        <w:rFonts w:cs="Times New Roman"/>
      </w:rPr>
      <w:tblPr/>
      <w:tcPr>
        <w:tcBorders>
          <w:insideH w:val="nil"/>
          <w:insideV w:val="nil"/>
        </w:tcBorders>
        <w:shd w:val="clear" w:color="auto" w:fill="FFEFC0"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pPr>
      <w:rPr>
        <w:rFonts w:cs="Times New Roman"/>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pPr>
      <w:rPr>
        <w:rFonts w:cs="Times New Roman"/>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hemeFill="accent5" w:themeFillTint="3F"/>
      </w:tcPr>
    </w:tblStylePr>
    <w:tblStylePr w:type="band1Horz">
      <w:rPr>
        <w:rFonts w:cs="Times New Roman"/>
      </w:rPr>
      <w:tblPr/>
      <w:tcPr>
        <w:tcBorders>
          <w:insideH w:val="nil"/>
          <w:insideV w:val="nil"/>
        </w:tcBorders>
        <w:shd w:val="clear" w:color="auto" w:fill="D0DBF0"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pPr>
      <w:rPr>
        <w:rFonts w:cs="Times New Roman"/>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pPr>
      <w:rPr>
        <w:rFonts w:cs="Times New Roman"/>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BD0" w:themeFill="accent6" w:themeFillTint="3F"/>
      </w:tcPr>
    </w:tblStylePr>
    <w:tblStylePr w:type="band1Horz">
      <w:rPr>
        <w:rFonts w:cs="Times New Roman"/>
      </w:rPr>
      <w:tblPr/>
      <w:tcPr>
        <w:tcBorders>
          <w:insideH w:val="nil"/>
          <w:insideV w:val="nil"/>
        </w:tcBorders>
        <w:shd w:val="clear" w:color="auto" w:fill="DBEB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rFonts w:cs="Times New Roman"/>
        <w:b/>
        <w:bCs/>
        <w:color w:val="FFFFFF" w:themeColor="background1"/>
      </w:rPr>
      <w:tblPr/>
      <w:tcPr>
        <w:tcBorders>
          <w:left w:val="nil"/>
          <w:right w:val="nil"/>
          <w:insideH w:val="nil"/>
          <w:insideV w:val="nil"/>
        </w:tcBorders>
        <w:shd w:val="clear" w:color="auto" w:fill="5B9BD5"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rFonts w:cs="Times New Roman"/>
        <w:b/>
        <w:bCs/>
        <w:color w:val="FFFFFF" w:themeColor="background1"/>
      </w:rPr>
      <w:tblPr/>
      <w:tcPr>
        <w:tcBorders>
          <w:left w:val="nil"/>
          <w:right w:val="nil"/>
          <w:insideH w:val="nil"/>
          <w:insideV w:val="nil"/>
        </w:tcBorders>
        <w:shd w:val="clear" w:color="auto" w:fill="ED7D31"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rFonts w:cs="Times New Roman"/>
        <w:b/>
        <w:bCs/>
        <w:color w:val="FFFFFF" w:themeColor="background1"/>
      </w:rPr>
      <w:tblPr/>
      <w:tcPr>
        <w:tcBorders>
          <w:left w:val="nil"/>
          <w:right w:val="nil"/>
          <w:insideH w:val="nil"/>
          <w:insideV w:val="nil"/>
        </w:tcBorders>
        <w:shd w:val="clear" w:color="auto" w:fill="A5A5A5"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rFonts w:cs="Times New Roman"/>
        <w:b/>
        <w:bCs/>
        <w:color w:val="FFFFFF" w:themeColor="background1"/>
      </w:rPr>
      <w:tblPr/>
      <w:tcPr>
        <w:tcBorders>
          <w:left w:val="nil"/>
          <w:right w:val="nil"/>
          <w:insideH w:val="nil"/>
          <w:insideV w:val="nil"/>
        </w:tcBorders>
        <w:shd w:val="clear" w:color="auto" w:fill="FFC000"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rFonts w:cs="Times New Roman"/>
        <w:b/>
        <w:bCs/>
        <w:color w:val="FFFFFF" w:themeColor="background1"/>
      </w:rPr>
      <w:tblPr/>
      <w:tcPr>
        <w:tcBorders>
          <w:left w:val="nil"/>
          <w:right w:val="nil"/>
          <w:insideH w:val="nil"/>
          <w:insideV w:val="nil"/>
        </w:tcBorders>
        <w:shd w:val="clear" w:color="auto" w:fill="4472C4"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rFonts w:cs="Times New Roman"/>
        <w:b/>
        <w:bCs/>
        <w:color w:val="FFFFFF" w:themeColor="background1"/>
      </w:rPr>
      <w:tblPr/>
      <w:tcPr>
        <w:tcBorders>
          <w:left w:val="nil"/>
          <w:right w:val="nil"/>
          <w:insideH w:val="nil"/>
          <w:insideV w:val="nil"/>
        </w:tcBorders>
        <w:shd w:val="clear" w:color="auto" w:fill="70AD47"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rFonts w:cs="Times New Roman"/>
        <w:b/>
        <w:bCs/>
      </w:rPr>
    </w:tblStylePr>
    <w:tblStylePr w:type="lastRow">
      <w:rPr>
        <w:rFonts w:cs="Times New Roman"/>
        <w:b/>
        <w:bCs/>
      </w:rPr>
      <w:tblPr/>
      <w:tcPr>
        <w:tcBorders>
          <w:top w:val="single" w:sz="18" w:space="0" w:color="84B3DF"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rFonts w:cs="Times New Roman"/>
        <w:b/>
        <w:bCs/>
      </w:rPr>
    </w:tblStylePr>
    <w:tblStylePr w:type="lastRow">
      <w:rPr>
        <w:rFonts w:cs="Times New Roman"/>
        <w:b/>
        <w:bCs/>
      </w:rPr>
      <w:tblPr/>
      <w:tcPr>
        <w:tcBorders>
          <w:top w:val="single" w:sz="18" w:space="0" w:color="F19D64"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rFonts w:cs="Times New Roman"/>
        <w:b/>
        <w:bCs/>
      </w:rPr>
    </w:tblStylePr>
    <w:tblStylePr w:type="lastRow">
      <w:rPr>
        <w:rFonts w:cs="Times New Roman"/>
        <w:b/>
        <w:bCs/>
      </w:rPr>
      <w:tblPr/>
      <w:tcPr>
        <w:tcBorders>
          <w:top w:val="single" w:sz="18" w:space="0" w:color="BBBBBB"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rFonts w:cs="Times New Roman"/>
        <w:b/>
        <w:bCs/>
      </w:rPr>
    </w:tblStylePr>
    <w:tblStylePr w:type="lastRow">
      <w:rPr>
        <w:rFonts w:cs="Times New Roman"/>
        <w:b/>
        <w:bCs/>
      </w:rPr>
      <w:tblPr/>
      <w:tcPr>
        <w:tcBorders>
          <w:top w:val="single" w:sz="18" w:space="0" w:color="FFCF40"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rFonts w:cs="Times New Roman"/>
        <w:b/>
        <w:bCs/>
      </w:rPr>
    </w:tblStylePr>
    <w:tblStylePr w:type="lastRow">
      <w:rPr>
        <w:rFonts w:cs="Times New Roman"/>
        <w:b/>
        <w:bCs/>
      </w:rPr>
      <w:tblPr/>
      <w:tcPr>
        <w:tcBorders>
          <w:top w:val="single" w:sz="18" w:space="0" w:color="7295D2"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rFonts w:cs="Times New Roman"/>
        <w:b/>
        <w:bCs/>
      </w:rPr>
    </w:tblStylePr>
    <w:tblStylePr w:type="lastRow">
      <w:rPr>
        <w:rFonts w:cs="Times New Roman"/>
        <w:b/>
        <w:bCs/>
      </w:rPr>
      <w:tblPr/>
      <w:tcPr>
        <w:tcBorders>
          <w:top w:val="single" w:sz="18" w:space="0" w:color="93C571"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rFonts w:cs="Times New Roman"/>
        <w:b/>
        <w:bCs/>
        <w:color w:val="000000" w:themeColor="text1"/>
      </w:rPr>
      <w:tblPr/>
      <w:tcPr>
        <w:shd w:val="clear" w:color="auto" w:fill="EEF5FB"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rPr>
        <w:rFonts w:cs="Times New Roman"/>
      </w:rPr>
      <w:tblPr/>
      <w:tcPr>
        <w:shd w:val="clear" w:color="auto" w:fill="ADCCEA" w:themeFill="accent1" w:themeFillTint="7F"/>
      </w:tcPr>
    </w:tblStylePr>
    <w:tblStylePr w:type="band1Horz">
      <w:rPr>
        <w:rFonts w:cs="Times New Roman"/>
      </w:rPr>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rFonts w:cs="Times New Roman"/>
        <w:b/>
        <w:bCs/>
        <w:color w:val="000000" w:themeColor="text1"/>
      </w:rPr>
      <w:tblPr/>
      <w:tcPr>
        <w:shd w:val="clear" w:color="auto" w:fill="FDF2EA"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rPr>
        <w:rFonts w:cs="Times New Roman"/>
      </w:rPr>
      <w:tblPr/>
      <w:tcPr>
        <w:shd w:val="clear" w:color="auto" w:fill="F6BE98" w:themeFill="accent2" w:themeFillTint="7F"/>
      </w:tcPr>
    </w:tblStylePr>
    <w:tblStylePr w:type="band1Horz">
      <w:rPr>
        <w:rFonts w:cs="Times New Roman"/>
      </w:rPr>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rFonts w:cs="Times New Roman"/>
        <w:b/>
        <w:bCs/>
        <w:color w:val="000000" w:themeColor="text1"/>
      </w:rPr>
      <w:tblPr/>
      <w:tcPr>
        <w:shd w:val="clear" w:color="auto" w:fill="F6F6F6"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rPr>
        <w:rFonts w:cs="Times New Roman"/>
      </w:rPr>
      <w:tblPr/>
      <w:tcPr>
        <w:shd w:val="clear" w:color="auto" w:fill="D2D2D2" w:themeFill="accent3" w:themeFillTint="7F"/>
      </w:tcPr>
    </w:tblStylePr>
    <w:tblStylePr w:type="band1Horz">
      <w:rPr>
        <w:rFonts w:cs="Times New Roman"/>
      </w:rPr>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rFonts w:cs="Times New Roman"/>
        <w:b/>
        <w:bCs/>
        <w:color w:val="000000" w:themeColor="text1"/>
      </w:rPr>
      <w:tblPr/>
      <w:tcPr>
        <w:shd w:val="clear" w:color="auto" w:fill="FFF8E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rPr>
        <w:rFonts w:cs="Times New Roman"/>
      </w:rPr>
      <w:tblPr/>
      <w:tcPr>
        <w:shd w:val="clear" w:color="auto" w:fill="FFDF80" w:themeFill="accent4" w:themeFillTint="7F"/>
      </w:tcPr>
    </w:tblStylePr>
    <w:tblStylePr w:type="band1Horz">
      <w:rPr>
        <w:rFonts w:cs="Times New Roman"/>
      </w:rPr>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rFonts w:cs="Times New Roman"/>
        <w:b/>
        <w:bCs/>
        <w:color w:val="000000" w:themeColor="text1"/>
      </w:rPr>
      <w:tblPr/>
      <w:tcPr>
        <w:shd w:val="clear" w:color="auto" w:fill="ECF1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rPr>
        <w:rFonts w:cs="Times New Roman"/>
      </w:rPr>
      <w:tblPr/>
      <w:tcPr>
        <w:shd w:val="clear" w:color="auto" w:fill="A1B8E1" w:themeFill="accent5" w:themeFillTint="7F"/>
      </w:tcPr>
    </w:tblStylePr>
    <w:tblStylePr w:type="band1Horz">
      <w:rPr>
        <w:rFonts w:cs="Times New Roman"/>
      </w:rPr>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rFonts w:cs="Times New Roman"/>
        <w:b/>
        <w:bCs/>
        <w:color w:val="000000" w:themeColor="text1"/>
      </w:rPr>
      <w:tblPr/>
      <w:tcPr>
        <w:shd w:val="clear" w:color="auto" w:fill="F0F7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rPr>
        <w:rFonts w:cs="Times New Roman"/>
      </w:rPr>
      <w:tblPr/>
      <w:tcPr>
        <w:shd w:val="clear" w:color="auto" w:fill="B7D8A0" w:themeFill="accent6" w:themeFillTint="7F"/>
      </w:tcPr>
    </w:tblStylePr>
    <w:tblStylePr w:type="band1Horz">
      <w:rPr>
        <w:rFonts w:cs="Times New Roman"/>
      </w:rPr>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uiPriority w:val="99"/>
    <w:semiHidden/>
    <w:unhideWhenUsed/>
    <w:locked/>
    <w:rsid w:val="00FC2E09"/>
    <w:rPr>
      <w:lang w:eastAsia="de-A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C2E09"/>
    <w:rPr>
      <w:lang w:eastAsia="de-A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C2E09"/>
    <w:rPr>
      <w:lang w:eastAsia="de-A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locked/>
    <w:rsid w:val="00FC2E09"/>
    <w:rPr>
      <w:lang w:eastAsia="de-A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locked/>
    <w:rsid w:val="00FC2E09"/>
    <w:rPr>
      <w:lang w:eastAsia="de-A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C2E09"/>
    <w:rPr>
      <w:lang w:eastAsia="de-A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unhideWhenUsed/>
    <w:locked/>
    <w:rsid w:val="00FC2E09"/>
    <w:rPr>
      <w:lang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C2E09"/>
    <w:rPr>
      <w:color w:val="FFFFFF"/>
      <w:lang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C2E09"/>
    <w:rPr>
      <w:lang w:eastAsia="de-A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C2E09"/>
    <w:rPr>
      <w:lang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C2E09"/>
    <w:rPr>
      <w:color w:val="000080"/>
      <w:lang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C2E09"/>
    <w:rPr>
      <w:lang w:eastAsia="de-A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C2E09"/>
    <w:rPr>
      <w:lang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C2E09"/>
    <w:rPr>
      <w:lang w:eastAsia="de-A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C2E09"/>
    <w:rPr>
      <w:lang w:eastAsia="de-A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C2E09"/>
    <w:rPr>
      <w:lang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ellemithellemGitternetz1">
    <w:name w:val="Tabelle mit hellem Gitternetz1"/>
    <w:basedOn w:val="TableNormal"/>
    <w:uiPriority w:val="40"/>
    <w:locked/>
    <w:rsid w:val="00FC2E09"/>
    <w:rPr>
      <w:lang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C2E09"/>
    <w:rPr>
      <w:lang w:eastAsia="de-A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C2E09"/>
    <w:rPr>
      <w:lang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C2E09"/>
    <w:rPr>
      <w:lang w:eastAsia="de-A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C2E09"/>
    <w:rPr>
      <w:b/>
      <w:bCs/>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C2E09"/>
    <w:rPr>
      <w:lang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locked/>
    <w:rsid w:val="00FC2E09"/>
    <w:rPr>
      <w:b/>
      <w:bCs/>
      <w:lang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C2E09"/>
    <w:rPr>
      <w:b/>
      <w:bCs/>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C2E09"/>
    <w:rPr>
      <w:b/>
      <w:bCs/>
      <w:lang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C2E09"/>
    <w:rPr>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unhideWhenUsed/>
    <w:locked/>
    <w:rsid w:val="00FC2E09"/>
    <w:rPr>
      <w:lang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Subtle1">
    <w:name w:val="Table Subtle 1"/>
    <w:basedOn w:val="TableNormal"/>
    <w:uiPriority w:val="99"/>
    <w:semiHidden/>
    <w:unhideWhenUsed/>
    <w:locked/>
    <w:rsid w:val="00FC2E09"/>
    <w:rPr>
      <w:lang w:eastAsia="de-A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C2E09"/>
    <w:rPr>
      <w:lang w:eastAsia="de-A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locked/>
    <w:rsid w:val="00FC2E09"/>
    <w:rPr>
      <w:lang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C2E09"/>
    <w:rPr>
      <w:lang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C2E09"/>
    <w:rPr>
      <w:lang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C2E09"/>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AbsChar">
    <w:name w:val="51_Abs Char"/>
    <w:locked/>
    <w:rsid w:val="0080155F"/>
    <w:rPr>
      <w:rFonts w:ascii="Times New Roman" w:hAnsi="Times New Roman"/>
      <w:color w:val="000000"/>
      <w:sz w:val="20"/>
      <w:lang w:val="el-GR" w:eastAsia="de-DE"/>
    </w:rPr>
  </w:style>
  <w:style w:type="character" w:customStyle="1" w:styleId="45UeberschrParaChar">
    <w:name w:val="45_UeberschrPara Char"/>
    <w:link w:val="45UeberschrPara"/>
    <w:locked/>
    <w:rsid w:val="0080155F"/>
    <w:rPr>
      <w:b/>
      <w:color w:val="000000"/>
      <w:lang w:val="el-GR" w:eastAsia="de-DE"/>
    </w:rPr>
  </w:style>
  <w:style w:type="paragraph" w:customStyle="1" w:styleId="64FNLinie">
    <w:name w:val="64_FN_Linie"/>
    <w:basedOn w:val="00LegStandard"/>
    <w:next w:val="65FNText"/>
    <w:locked/>
    <w:rsid w:val="00F51847"/>
    <w:pPr>
      <w:pBdr>
        <w:top w:val="single" w:sz="4" w:space="1" w:color="auto"/>
      </w:pBdr>
      <w:spacing w:after="260"/>
      <w:ind w:right="7371"/>
    </w:pPr>
  </w:style>
  <w:style w:type="paragraph" w:styleId="Caption">
    <w:name w:val="caption"/>
    <w:basedOn w:val="Normal"/>
    <w:next w:val="Normal"/>
    <w:uiPriority w:val="35"/>
    <w:qFormat/>
    <w:locked/>
    <w:rsid w:val="00F51847"/>
    <w:pPr>
      <w:spacing w:before="120" w:after="120"/>
    </w:pPr>
    <w:rPr>
      <w:b/>
      <w:bCs/>
      <w:sz w:val="20"/>
    </w:rPr>
  </w:style>
  <w:style w:type="paragraph" w:customStyle="1" w:styleId="06UrheberZitat">
    <w:name w:val="06_UrheberZitat"/>
    <w:basedOn w:val="Normal"/>
    <w:locked/>
    <w:rsid w:val="00F51847"/>
    <w:pPr>
      <w:spacing w:before="120" w:after="120" w:line="180" w:lineRule="exact"/>
      <w:jc w:val="center"/>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98279">
      <w:marLeft w:val="0"/>
      <w:marRight w:val="0"/>
      <w:marTop w:val="0"/>
      <w:marBottom w:val="0"/>
      <w:divBdr>
        <w:top w:val="none" w:sz="0" w:space="0" w:color="auto"/>
        <w:left w:val="none" w:sz="0" w:space="0" w:color="auto"/>
        <w:bottom w:val="none" w:sz="0" w:space="0" w:color="auto"/>
        <w:right w:val="none" w:sz="0" w:space="0" w:color="auto"/>
      </w:divBdr>
    </w:div>
    <w:div w:id="938098280">
      <w:marLeft w:val="0"/>
      <w:marRight w:val="0"/>
      <w:marTop w:val="0"/>
      <w:marBottom w:val="0"/>
      <w:divBdr>
        <w:top w:val="none" w:sz="0" w:space="0" w:color="auto"/>
        <w:left w:val="none" w:sz="0" w:space="0" w:color="auto"/>
        <w:bottom w:val="none" w:sz="0" w:space="0" w:color="auto"/>
        <w:right w:val="none" w:sz="0" w:space="0" w:color="auto"/>
      </w:divBdr>
    </w:div>
    <w:div w:id="938098284">
      <w:marLeft w:val="0"/>
      <w:marRight w:val="0"/>
      <w:marTop w:val="0"/>
      <w:marBottom w:val="0"/>
      <w:divBdr>
        <w:top w:val="none" w:sz="0" w:space="0" w:color="auto"/>
        <w:left w:val="none" w:sz="0" w:space="0" w:color="auto"/>
        <w:bottom w:val="none" w:sz="0" w:space="0" w:color="auto"/>
        <w:right w:val="none" w:sz="0" w:space="0" w:color="auto"/>
      </w:divBdr>
    </w:div>
    <w:div w:id="938098286">
      <w:marLeft w:val="0"/>
      <w:marRight w:val="0"/>
      <w:marTop w:val="0"/>
      <w:marBottom w:val="0"/>
      <w:divBdr>
        <w:top w:val="none" w:sz="0" w:space="0" w:color="auto"/>
        <w:left w:val="none" w:sz="0" w:space="0" w:color="auto"/>
        <w:bottom w:val="none" w:sz="0" w:space="0" w:color="auto"/>
        <w:right w:val="none" w:sz="0" w:space="0" w:color="auto"/>
      </w:divBdr>
    </w:div>
    <w:div w:id="938098289">
      <w:marLeft w:val="0"/>
      <w:marRight w:val="0"/>
      <w:marTop w:val="0"/>
      <w:marBottom w:val="0"/>
      <w:divBdr>
        <w:top w:val="none" w:sz="0" w:space="0" w:color="auto"/>
        <w:left w:val="none" w:sz="0" w:space="0" w:color="auto"/>
        <w:bottom w:val="none" w:sz="0" w:space="0" w:color="auto"/>
        <w:right w:val="none" w:sz="0" w:space="0" w:color="auto"/>
      </w:divBdr>
    </w:div>
    <w:div w:id="938098290">
      <w:marLeft w:val="0"/>
      <w:marRight w:val="0"/>
      <w:marTop w:val="0"/>
      <w:marBottom w:val="0"/>
      <w:divBdr>
        <w:top w:val="none" w:sz="0" w:space="0" w:color="auto"/>
        <w:left w:val="none" w:sz="0" w:space="0" w:color="auto"/>
        <w:bottom w:val="none" w:sz="0" w:space="0" w:color="auto"/>
        <w:right w:val="none" w:sz="0" w:space="0" w:color="auto"/>
      </w:divBdr>
    </w:div>
    <w:div w:id="938098292">
      <w:marLeft w:val="0"/>
      <w:marRight w:val="0"/>
      <w:marTop w:val="0"/>
      <w:marBottom w:val="0"/>
      <w:divBdr>
        <w:top w:val="none" w:sz="0" w:space="0" w:color="auto"/>
        <w:left w:val="none" w:sz="0" w:space="0" w:color="auto"/>
        <w:bottom w:val="none" w:sz="0" w:space="0" w:color="auto"/>
        <w:right w:val="none" w:sz="0" w:space="0" w:color="auto"/>
      </w:divBdr>
    </w:div>
    <w:div w:id="938098293">
      <w:marLeft w:val="0"/>
      <w:marRight w:val="0"/>
      <w:marTop w:val="0"/>
      <w:marBottom w:val="0"/>
      <w:divBdr>
        <w:top w:val="none" w:sz="0" w:space="0" w:color="auto"/>
        <w:left w:val="none" w:sz="0" w:space="0" w:color="auto"/>
        <w:bottom w:val="none" w:sz="0" w:space="0" w:color="auto"/>
        <w:right w:val="none" w:sz="0" w:space="0" w:color="auto"/>
      </w:divBdr>
      <w:divsChild>
        <w:div w:id="938098291">
          <w:marLeft w:val="0"/>
          <w:marRight w:val="0"/>
          <w:marTop w:val="60"/>
          <w:marBottom w:val="60"/>
          <w:divBdr>
            <w:top w:val="none" w:sz="0" w:space="0" w:color="auto"/>
            <w:left w:val="none" w:sz="0" w:space="0" w:color="auto"/>
            <w:bottom w:val="none" w:sz="0" w:space="0" w:color="auto"/>
            <w:right w:val="none" w:sz="0" w:space="0" w:color="auto"/>
          </w:divBdr>
          <w:divsChild>
            <w:div w:id="938098278">
              <w:marLeft w:val="0"/>
              <w:marRight w:val="0"/>
              <w:marTop w:val="372"/>
              <w:marBottom w:val="0"/>
              <w:divBdr>
                <w:top w:val="none" w:sz="0" w:space="0" w:color="auto"/>
                <w:left w:val="none" w:sz="0" w:space="0" w:color="auto"/>
                <w:bottom w:val="none" w:sz="0" w:space="0" w:color="auto"/>
                <w:right w:val="none" w:sz="0" w:space="0" w:color="auto"/>
              </w:divBdr>
              <w:divsChild>
                <w:div w:id="938098277">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94">
                      <w:marLeft w:val="0"/>
                      <w:marRight w:val="0"/>
                      <w:marTop w:val="0"/>
                      <w:marBottom w:val="0"/>
                      <w:divBdr>
                        <w:top w:val="none" w:sz="0" w:space="0" w:color="auto"/>
                        <w:left w:val="none" w:sz="0" w:space="0" w:color="auto"/>
                        <w:bottom w:val="none" w:sz="0" w:space="0" w:color="auto"/>
                        <w:right w:val="none" w:sz="0" w:space="0" w:color="auto"/>
                      </w:divBdr>
                      <w:divsChild>
                        <w:div w:id="938098275">
                          <w:marLeft w:val="0"/>
                          <w:marRight w:val="0"/>
                          <w:marTop w:val="0"/>
                          <w:marBottom w:val="0"/>
                          <w:divBdr>
                            <w:top w:val="none" w:sz="0" w:space="0" w:color="auto"/>
                            <w:left w:val="none" w:sz="0" w:space="0" w:color="auto"/>
                            <w:bottom w:val="none" w:sz="0" w:space="0" w:color="auto"/>
                            <w:right w:val="none" w:sz="0" w:space="0" w:color="auto"/>
                          </w:divBdr>
                          <w:divsChild>
                            <w:div w:id="938098287">
                              <w:marLeft w:val="0"/>
                              <w:marRight w:val="0"/>
                              <w:marTop w:val="0"/>
                              <w:marBottom w:val="0"/>
                              <w:divBdr>
                                <w:top w:val="none" w:sz="0" w:space="0" w:color="auto"/>
                                <w:left w:val="none" w:sz="0" w:space="0" w:color="auto"/>
                                <w:bottom w:val="none" w:sz="0" w:space="0" w:color="auto"/>
                                <w:right w:val="none" w:sz="0" w:space="0" w:color="auto"/>
                              </w:divBdr>
                              <w:divsChild>
                                <w:div w:id="938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7">
      <w:marLeft w:val="0"/>
      <w:marRight w:val="0"/>
      <w:marTop w:val="0"/>
      <w:marBottom w:val="0"/>
      <w:divBdr>
        <w:top w:val="none" w:sz="0" w:space="0" w:color="auto"/>
        <w:left w:val="none" w:sz="0" w:space="0" w:color="auto"/>
        <w:bottom w:val="none" w:sz="0" w:space="0" w:color="auto"/>
        <w:right w:val="none" w:sz="0" w:space="0" w:color="auto"/>
      </w:divBdr>
      <w:divsChild>
        <w:div w:id="938098281">
          <w:marLeft w:val="0"/>
          <w:marRight w:val="0"/>
          <w:marTop w:val="60"/>
          <w:marBottom w:val="60"/>
          <w:divBdr>
            <w:top w:val="none" w:sz="0" w:space="0" w:color="auto"/>
            <w:left w:val="none" w:sz="0" w:space="0" w:color="auto"/>
            <w:bottom w:val="none" w:sz="0" w:space="0" w:color="auto"/>
            <w:right w:val="none" w:sz="0" w:space="0" w:color="auto"/>
          </w:divBdr>
          <w:divsChild>
            <w:div w:id="938098282">
              <w:marLeft w:val="0"/>
              <w:marRight w:val="0"/>
              <w:marTop w:val="372"/>
              <w:marBottom w:val="0"/>
              <w:divBdr>
                <w:top w:val="none" w:sz="0" w:space="0" w:color="auto"/>
                <w:left w:val="none" w:sz="0" w:space="0" w:color="auto"/>
                <w:bottom w:val="none" w:sz="0" w:space="0" w:color="auto"/>
                <w:right w:val="none" w:sz="0" w:space="0" w:color="auto"/>
              </w:divBdr>
              <w:divsChild>
                <w:div w:id="938098276">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83">
                      <w:marLeft w:val="0"/>
                      <w:marRight w:val="0"/>
                      <w:marTop w:val="0"/>
                      <w:marBottom w:val="0"/>
                      <w:divBdr>
                        <w:top w:val="none" w:sz="0" w:space="0" w:color="auto"/>
                        <w:left w:val="none" w:sz="0" w:space="0" w:color="auto"/>
                        <w:bottom w:val="none" w:sz="0" w:space="0" w:color="auto"/>
                        <w:right w:val="none" w:sz="0" w:space="0" w:color="auto"/>
                      </w:divBdr>
                      <w:divsChild>
                        <w:div w:id="938098296">
                          <w:marLeft w:val="0"/>
                          <w:marRight w:val="0"/>
                          <w:marTop w:val="0"/>
                          <w:marBottom w:val="0"/>
                          <w:divBdr>
                            <w:top w:val="none" w:sz="0" w:space="0" w:color="auto"/>
                            <w:left w:val="none" w:sz="0" w:space="0" w:color="auto"/>
                            <w:bottom w:val="none" w:sz="0" w:space="0" w:color="auto"/>
                            <w:right w:val="none" w:sz="0" w:space="0" w:color="auto"/>
                          </w:divBdr>
                          <w:divsChild>
                            <w:div w:id="938098288">
                              <w:marLeft w:val="0"/>
                              <w:marRight w:val="0"/>
                              <w:marTop w:val="0"/>
                              <w:marBottom w:val="0"/>
                              <w:divBdr>
                                <w:top w:val="none" w:sz="0" w:space="0" w:color="auto"/>
                                <w:left w:val="none" w:sz="0" w:space="0" w:color="auto"/>
                                <w:bottom w:val="none" w:sz="0" w:space="0" w:color="auto"/>
                                <w:right w:val="none" w:sz="0" w:space="0" w:color="auto"/>
                              </w:divBdr>
                              <w:divsChild>
                                <w:div w:id="9380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8">
      <w:marLeft w:val="0"/>
      <w:marRight w:val="0"/>
      <w:marTop w:val="0"/>
      <w:marBottom w:val="0"/>
      <w:divBdr>
        <w:top w:val="none" w:sz="0" w:space="0" w:color="auto"/>
        <w:left w:val="none" w:sz="0" w:space="0" w:color="auto"/>
        <w:bottom w:val="none" w:sz="0" w:space="0" w:color="auto"/>
        <w:right w:val="none" w:sz="0" w:space="0" w:color="auto"/>
      </w:divBdr>
    </w:div>
    <w:div w:id="938098299">
      <w:marLeft w:val="0"/>
      <w:marRight w:val="0"/>
      <w:marTop w:val="0"/>
      <w:marBottom w:val="0"/>
      <w:divBdr>
        <w:top w:val="none" w:sz="0" w:space="0" w:color="auto"/>
        <w:left w:val="none" w:sz="0" w:space="0" w:color="auto"/>
        <w:bottom w:val="none" w:sz="0" w:space="0" w:color="auto"/>
        <w:right w:val="none" w:sz="0" w:space="0" w:color="auto"/>
      </w:divBdr>
    </w:div>
    <w:div w:id="938098300">
      <w:marLeft w:val="0"/>
      <w:marRight w:val="0"/>
      <w:marTop w:val="0"/>
      <w:marBottom w:val="0"/>
      <w:divBdr>
        <w:top w:val="none" w:sz="0" w:space="0" w:color="auto"/>
        <w:left w:val="none" w:sz="0" w:space="0" w:color="auto"/>
        <w:bottom w:val="none" w:sz="0" w:space="0" w:color="auto"/>
        <w:right w:val="none" w:sz="0" w:space="0" w:color="auto"/>
      </w:divBdr>
    </w:div>
    <w:div w:id="9380983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7014</Words>
  <Characters>38300</Characters>
  <Application>Microsoft Office Word</Application>
  <DocSecurity>0</DocSecurity>
  <Lines>638</Lines>
  <Paragraphs>304</Paragraphs>
  <ScaleCrop>false</ScaleCrop>
  <HeadingPairs>
    <vt:vector size="4" baseType="variant">
      <vt:variant>
        <vt:lpstr>Titel</vt:lpstr>
      </vt:variant>
      <vt:variant>
        <vt:i4>1</vt:i4>
      </vt:variant>
      <vt:variant>
        <vt:lpstr>Überschriften</vt:lpstr>
      </vt:variant>
      <vt:variant>
        <vt:i4>100</vt:i4>
      </vt:variant>
    </vt:vector>
  </HeadingPairs>
  <TitlesOfParts>
    <vt:vector size="101" baseType="lpstr">
      <vt:lpstr/>
      <vt:lpstr>BUNDESGESETZBLATT</vt:lpstr>
      <vt:lpstr>Artikel 1</vt:lpstr>
      <vt:lpstr>    Änderung des Allgemeinen bürgerlichen Gesetzbuchs</vt:lpstr>
      <vt:lpstr>        1. Nach § 17 wird folgender § 17a samt Überschrift eingefügt:</vt:lpstr>
      <vt:lpstr>        2. § 20 samt Überschrift lautet:</vt:lpstr>
      <vt:lpstr>        3. In § 1328a Abs. 2 wird im zweiten Satz nach der Wortfolge „richtet sich“ die </vt:lpstr>
      <vt:lpstr>        4. In § 1503 wird folgender Abs. 16 angefügt:</vt:lpstr>
      <vt:lpstr>Artikel 2</vt:lpstr>
      <vt:lpstr>    Änderung der Jurisdiktionsnorm</vt:lpstr>
      <vt:lpstr>        1. In § 49 Abs. 2 wird nach der Z 5 folgende Z 6 eingefügt:</vt:lpstr>
      <vt:lpstr>        2. Nach § 59 wird folgender § 59a eingefügt:</vt:lpstr>
      <vt:lpstr>        3. Nach § 122 wird folgender vierter Teil eingefügt:</vt:lpstr>
      <vt:lpstr>„Vierter Teil</vt:lpstr>
      <vt:lpstr>    Inkrafttreten, Schluss- und Übergangsbestimmungen</vt:lpstr>
      <vt:lpstr>Artikel 3</vt:lpstr>
      <vt:lpstr>    Änderung der Zivilprozessordnung</vt:lpstr>
      <vt:lpstr>        1. In § 502 Abs. 5 wird der Punkt am Ende der Z 4 durch einen Strichpunkt ersetz</vt:lpstr>
      <vt:lpstr>        2. Nach § 548 wird folgender zweiter Abschnitt eingefügt:</vt:lpstr>
      <vt:lpstr>„Zweiter Abschnitt</vt:lpstr>
      <vt:lpstr>    Mandatsverfahren</vt:lpstr>
      <vt:lpstr>        3. Die Abschnittsbezeichnung „Zweiter Abschnitt“ vor § 555 entfällt.</vt:lpstr>
      <vt:lpstr>        4. Nach § 618 wird folgender siebenter Teil eingefügt:</vt:lpstr>
      <vt:lpstr>„Siebenter Teil</vt:lpstr>
      <vt:lpstr>    Inkrafttreten, Schluss- und Übergangsbestimmungen</vt:lpstr>
      <vt:lpstr>Artikel 4</vt:lpstr>
      <vt:lpstr>    Änderung der Exekutionsordnung</vt:lpstr>
      <vt:lpstr>        In § 1 Z 2 entfällt die Wortfolge „Mandats- und“ sowie die Wortfolge „sowie im A</vt:lpstr>
      <vt:lpstr>Artikel 5</vt:lpstr>
      <vt:lpstr>    Änderung des Rechtsanwaltstarifgesetzes</vt:lpstr>
      <vt:lpstr>        1. In § 10 Z 6 wird nach dem Wort „nach“ die Wendung „§ 20 und nach“ eingefügt.</vt:lpstr>
      <vt:lpstr>        2. Nach § 10 Z 6 lit. b wird folgender Schlusssatz eingefügt:</vt:lpstr>
      <vt:lpstr>        3. Dem § 26a wird folgender Abs. 3 angefügt:</vt:lpstr>
      <vt:lpstr>        4. In der Tarifpost 2 Abschnitt I Z 1 lit. b wird das Wort „Mandatsklagen“ durch</vt:lpstr>
      <vt:lpstr>        5. In der Tarifpost 2 Abschnitt I Z 1 lit. c erster Halbsatz werden nach dem Wor</vt:lpstr>
      <vt:lpstr>        6. In der Tarifpost 2 Abschnitt I Z 1 lit. c zweiter Halbsatz wird nach dem Wort</vt:lpstr>
      <vt:lpstr>        6. In der Tarifpost 3 A Abschnitt I Z 1 lit. b wird nach dem Wort „Zahlungsauftr</vt:lpstr>
      <vt:lpstr>        7. In der Tarifpost 4 Abschnitt I Z 2 wird nach dem Zitat „33 Abs. 2“ die Wendun</vt:lpstr>
      <vt:lpstr>Artikel 6</vt:lpstr>
      <vt:lpstr>    Änderung des E-Commerce-Gesetzes</vt:lpstr>
      <vt:lpstr>        1. Nach § 18 Abs. 4 wird folgender Abs. 4a eingefügt:</vt:lpstr>
      <vt:lpstr>        2. Dem § 28 wird folgender Abs. 3 angefügt:</vt:lpstr>
      <vt:lpstr>Artikel 7</vt:lpstr>
      <vt:lpstr>    Änderung des Gerichtsgebührengesetzes</vt:lpstr>
      <vt:lpstr>        1. In § 16 Abs. 1 Z 1 wird nach der lit. d folgende lit. e angefügt:</vt:lpstr>
      <vt:lpstr>        2. In der Tarifpost 12 lit. c) wird vor Z 2 folgende Z 1 eingefügt:</vt:lpstr>
      <vt:lpstr>        3. In der Tarifpost 13 lautet die lit. a:</vt:lpstr>
      <vt:lpstr>        4. Dem Art. VI wird folgende Z 71 angefügt:</vt:lpstr>
      <vt:lpstr>Artikel 8</vt:lpstr>
      <vt:lpstr>    Änderung des Strafgesetzbuches</vt:lpstr>
      <vt:lpstr>        1. § 107c samt Überschrift lautet:</vt:lpstr>
      <vt:lpstr>        2. Nach § 120 wird folgender § 120a samt Überschrift eingefügt:</vt:lpstr>
      <vt:lpstr>        3. Im § 283 Abs. 1 Z 1 entfallen vor dem Wort „Behinderung“ die Worte „körperlic</vt:lpstr>
      <vt:lpstr>        4. § 283 Abs. 1 Z 2 lautet:</vt:lpstr>
      <vt:lpstr>Artikel 9</vt:lpstr>
      <vt:lpstr>    Änderung des Mediengesetzes</vt:lpstr>
      <vt:lpstr>        1. Vor § 6 werden folgende Bezeichnung und Überschrift eingefügt:</vt:lpstr>
      <vt:lpstr>„Erster Unterabschnitt</vt:lpstr>
      <vt:lpstr>    Entschädigungstatbestände“</vt:lpstr>
      <vt:lpstr>        2. § 6 Abs. 1 lautet:</vt:lpstr>
      <vt:lpstr>        3. § 7 Abs. 1 lautet:</vt:lpstr>
      <vt:lpstr>        4. § 7a Abs. 1 lautet:</vt:lpstr>
      <vt:lpstr>        5. In § 7a wird nach Abs. 1 folgender Abs. 1a eingefügt:</vt:lpstr>
      <vt:lpstr>        6. In § 7a Abs. 2 lautet Z 1:</vt:lpstr>
      <vt:lpstr>        7. In § 7a Abs. 3 Z 3 wird nach dem Wort „beruht“ ein Beistrich eingefügt.</vt:lpstr>
      <vt:lpstr>        8. § 7b Abs. 1 lautet:</vt:lpstr>
      <vt:lpstr>        9. In § 7c Abs. 1 wird im ersten Satz das Wort „Kränkung“ durch die Wendung „per</vt:lpstr>
      <vt:lpstr>        10. § 8 Abs. 1 und 2 lautet:</vt:lpstr>
      <vt:lpstr>        11. In § 8a Abs. 2 wird nach den Worten „sechs Monaten“ die Wortfolge „ , ist de</vt:lpstr>
      <vt:lpstr>        12. Der bisherige § 8a Abs. 4 wird nach § 8 Abs. 3 eingereiht; dem § 8a wird fol</vt:lpstr>
      <vt:lpstr>        13. Vor § 9 werden folgende Bezeichnung und Überschrift eingefügt:</vt:lpstr>
      <vt:lpstr>„Zweiter Unterabschnitt</vt:lpstr>
      <vt:lpstr>    Gegendarstellung und nachträgliche Mitteilung über den Ausgang eines Strafverfah</vt:lpstr>
      <vt:lpstr>        14. In § 10 Abs. 1 Z 3 wird das Wort „Hauptverfahren“ durch das Wort „Strafverfa</vt:lpstr>
      <vt:lpstr>        15. In § 11 Abs. 1 Z 10 wird die Wortfolge „von der Zurücklegung der Anzeige“ du</vt:lpstr>
      <vt:lpstr>        16. In § 13 Abs. 7 wird das Wort „Einschränkungen“ durch das Wort „Einschaltunge</vt:lpstr>
      <vt:lpstr>        17. In § 14 Abs. 2 wird nach dem Wort „Einzelrichter“ die Wortfolge „des Landesg</vt:lpstr>
      <vt:lpstr>        18. In § 14 Abs. 3 wird am Ende nach den Worten „zulässig ist“ folgende Wendung </vt:lpstr>
      <vt:lpstr>        19. § 15 Abs. 1 lautet:</vt:lpstr>
      <vt:lpstr>        20. In § 15 Abs. 3 wird die Wortfolge „öffentlicher mündlicher Verhandlung“ durc</vt:lpstr>
      <vt:lpstr>        21. In § 16 Abs. 1 wird die Wortfolge „öffentlicher mündlicher Verhandlung“ durc</vt:lpstr>
      <vt:lpstr>        22. In § 20 Abs. 2 wird das Wort „Veröffentlichungsantrag“ durch das Wort „Veröf</vt:lpstr>
      <vt:lpstr>        23. Vor § 22 werden folgende Bezeichnung und Überschrift eingefügt:</vt:lpstr>
      <vt:lpstr>„Dritter Unterabschnitt</vt:lpstr>
      <vt:lpstr>    Bild- und Tonaufnahmen und -übertragungen“</vt:lpstr>
      <vt:lpstr>        24. Vor § 23 werden folgende Bezeichnung und Überschrift eingefügt:</vt:lpstr>
      <vt:lpstr>„Vierter Unterabschnitt</vt:lpstr>
      <vt:lpstr>    Verbotene Einflussnahme auf ein Strafverfahren“</vt:lpstr>
      <vt:lpstr>        25. In § 30 wird das Wort „einer“ durch das Wort „eines“ ersetzt.</vt:lpstr>
      <vt:lpstr>        26. In § 32 zweiter Satz wird nach dem Wort „bedroht“ die Wortfolge „oder wurde </vt:lpstr>
      <vt:lpstr>        27. In § 33 Abs. 2 wird im ersten Satz die Wendung „aus Gründen, die eine Bestra</vt:lpstr>
      <vt:lpstr>        28. § 33 Abs. 3 entfällt.</vt:lpstr>
      <vt:lpstr>        29. Nach § 33 wird folgender § 33a samt Überschrift eingefügt:</vt:lpstr>
      <vt:lpstr>        30. In § 34 Abs. 3 wird im ersten Satz die Wendung „aus Gründen, die eine Bestra</vt:lpstr>
      <vt:lpstr>        31. In § 36 Abs. 1 wird das Zitat „§ 33“ durch das Zitat „§§ 33 oder 33a“ ersetz</vt:lpstr>
      <vt:lpstr>        32. In § 36 Abs. 2 wird nach dem Wort „Medieninhaltsdelikts“ die Wendung „oder n</vt:lpstr>
      <vt:lpstr>        33. Nach § 36a wird folgender § 36b samt Überschrift eingefügt:</vt:lpstr>
      <vt:lpstr>        34. In § 41 Abs. 1 wird im Klammerausdruck nach dem Zitat „33 Abs. 2“ das Zitat </vt:lpstr>
      <vt:lpstr>        35. § 41 Abs. 5 lautet:</vt:lpstr>
      <vt:lpstr>        36. In § 41 erhält der bisherige Abs. 7 erhält die Absatzbezeichnung „(8)“ und w</vt:lpstr>
      <vt:lpstr>        37. In § 41 wird nach Abs. 8 folgender Abs. 9 angefügt:</vt:lpstr>
    </vt:vector>
  </TitlesOfParts>
  <Company/>
  <LinksUpToDate>false</LinksUpToDate>
  <CharactersWithSpaces>45010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dc:description/>
  <cp:lastModifiedBy/>
  <cp:revision>1</cp:revision>
  <dcterms:created xsi:type="dcterms:W3CDTF">2021-12-15T13:41:00Z</dcterms:created>
  <dcterms:modified xsi:type="dcterms:W3CDTF">2021-12-15T13:41:00Z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