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1" w:type="dxa"/>
        <w:tblInd w:w="-72" w:type="dxa"/>
        <w:tblLayout w:type="fixed"/>
        <w:tblCellMar>
          <w:left w:w="70" w:type="dxa"/>
          <w:right w:w="70" w:type="dxa"/>
        </w:tblCellMar>
        <w:tblLook w:val="0000" w:firstRow="0" w:lastRow="0" w:firstColumn="0" w:lastColumn="0" w:noHBand="0" w:noVBand="0"/>
      </w:tblPr>
      <w:tblGrid>
        <w:gridCol w:w="9781"/>
      </w:tblGrid>
      <w:tr w:rsidR="00E57B69" w:rsidRPr="00332032" w14:paraId="0E49789C" w14:textId="77777777" w:rsidTr="00FC7C3F">
        <w:tc>
          <w:tcPr>
            <w:tcW w:w="4660" w:type="dxa"/>
            <w:shd w:val="clear" w:color="auto" w:fill="auto"/>
          </w:tcPr>
          <w:p w14:paraId="05F7CB93" w14:textId="77777777" w:rsidR="00E57B69" w:rsidRPr="00332032" w:rsidRDefault="00E57B69" w:rsidP="00FC7C3F">
            <w:pPr>
              <w:tabs>
                <w:tab w:val="left" w:pos="356"/>
                <w:tab w:val="left" w:pos="2268"/>
              </w:tabs>
              <w:jc w:val="center"/>
              <w:rPr>
                <w:b/>
                <w:sz w:val="22"/>
                <w:rFonts w:ascii="Garamond" w:hAnsi="Garamond"/>
              </w:rPr>
            </w:pPr>
            <w:r>
              <w:rPr>
                <w:b/>
                <w:sz w:val="22"/>
                <w:rFonts w:ascii="Garamond" w:hAnsi="Garamond"/>
              </w:rPr>
              <w:t xml:space="preserve">Reino da Bélgica</w:t>
            </w:r>
          </w:p>
        </w:tc>
      </w:tr>
      <w:tr w:rsidR="00E57B69" w14:paraId="4DB25364" w14:textId="77777777" w:rsidTr="00FC7C3F">
        <w:tc>
          <w:tcPr>
            <w:tcW w:w="4660" w:type="dxa"/>
            <w:shd w:val="clear" w:color="auto" w:fill="auto"/>
          </w:tcPr>
          <w:p w14:paraId="33A4A09C" w14:textId="77777777" w:rsidR="00E57B69" w:rsidRDefault="00E57B69" w:rsidP="00FC7C3F">
            <w:pPr>
              <w:tabs>
                <w:tab w:val="left" w:pos="356"/>
                <w:tab w:val="left" w:pos="2268"/>
              </w:tabs>
              <w:jc w:val="center"/>
              <w:rPr>
                <w:sz w:val="22"/>
                <w:rFonts w:ascii="Garamond" w:hAnsi="Garamond"/>
              </w:rPr>
            </w:pPr>
            <w:r>
              <w:rPr>
                <w:sz w:val="22"/>
                <w:rFonts w:ascii="Garamond" w:hAnsi="Garamond"/>
              </w:rPr>
              <w:t xml:space="preserve">_________</w:t>
            </w:r>
          </w:p>
        </w:tc>
      </w:tr>
      <w:tr w:rsidR="00E57B69" w14:paraId="2E4C091E" w14:textId="77777777" w:rsidTr="00FC7C3F">
        <w:tc>
          <w:tcPr>
            <w:tcW w:w="4660" w:type="dxa"/>
            <w:shd w:val="clear" w:color="auto" w:fill="auto"/>
          </w:tcPr>
          <w:p w14:paraId="4D36118C" w14:textId="77777777" w:rsidR="00E57B69" w:rsidRDefault="00E57B69" w:rsidP="00FC7C3F">
            <w:pPr>
              <w:tabs>
                <w:tab w:val="left" w:pos="356"/>
                <w:tab w:val="left" w:pos="2268"/>
              </w:tabs>
              <w:jc w:val="center"/>
              <w:rPr>
                <w:rFonts w:ascii="Garamond" w:hAnsi="Garamond"/>
                <w:sz w:val="22"/>
              </w:rPr>
            </w:pPr>
          </w:p>
        </w:tc>
      </w:tr>
      <w:tr w:rsidR="00E57B69" w:rsidRPr="00332032" w14:paraId="358AFC98" w14:textId="77777777" w:rsidTr="00FC7C3F">
        <w:tc>
          <w:tcPr>
            <w:tcW w:w="4660" w:type="dxa"/>
            <w:shd w:val="clear" w:color="auto" w:fill="auto"/>
          </w:tcPr>
          <w:p w14:paraId="360694E6" w14:textId="77777777" w:rsidR="00E57B69" w:rsidRPr="00332032" w:rsidRDefault="00E57B69" w:rsidP="00FC7C3F">
            <w:pPr>
              <w:tabs>
                <w:tab w:val="left" w:pos="356"/>
                <w:tab w:val="left" w:pos="2268"/>
              </w:tabs>
              <w:jc w:val="center"/>
              <w:rPr>
                <w:sz w:val="22"/>
                <w:rFonts w:ascii="Garamond" w:hAnsi="Garamond"/>
              </w:rPr>
            </w:pPr>
            <w:r>
              <w:rPr>
                <w:b/>
                <w:sz w:val="22"/>
                <w:rFonts w:ascii="Garamond" w:hAnsi="Garamond"/>
              </w:rPr>
              <w:t xml:space="preserve">O SERVIÇO PÚBLICO FEDERAL DE SAÚDE PÚBLICA, SEGURANÇA DA CADEIA ALIMENTAR E MEIO AMBIENTE</w:t>
            </w:r>
          </w:p>
        </w:tc>
      </w:tr>
      <w:tr w:rsidR="00E57B69" w:rsidRPr="002F1661" w14:paraId="6924005D" w14:textId="77777777" w:rsidTr="00FC7C3F">
        <w:tc>
          <w:tcPr>
            <w:tcW w:w="4660" w:type="dxa"/>
            <w:shd w:val="clear" w:color="auto" w:fill="auto"/>
          </w:tcPr>
          <w:p w14:paraId="3009202C" w14:textId="77777777" w:rsidR="00E57B69" w:rsidRPr="002F1661" w:rsidRDefault="00E57B69" w:rsidP="00FC7C3F">
            <w:pPr>
              <w:tabs>
                <w:tab w:val="left" w:pos="356"/>
                <w:tab w:val="left" w:pos="2268"/>
              </w:tabs>
              <w:jc w:val="center"/>
              <w:rPr>
                <w:b/>
                <w:bCs/>
                <w:sz w:val="22"/>
                <w:rFonts w:ascii="Garamond" w:hAnsi="Garamond"/>
              </w:rPr>
            </w:pPr>
            <w:r>
              <w:rPr>
                <w:sz w:val="22"/>
                <w:rFonts w:ascii="Garamond" w:hAnsi="Garamond"/>
              </w:rPr>
              <w:t xml:space="preserve">________________________</w:t>
            </w:r>
          </w:p>
        </w:tc>
      </w:tr>
      <w:tr w:rsidR="00E57B69" w:rsidRPr="002F1661" w14:paraId="11A5F205" w14:textId="77777777" w:rsidTr="00FC7C3F">
        <w:tc>
          <w:tcPr>
            <w:tcW w:w="4660" w:type="dxa"/>
            <w:shd w:val="clear" w:color="auto" w:fill="auto"/>
          </w:tcPr>
          <w:p w14:paraId="252EDB76" w14:textId="77777777" w:rsidR="00E57B69" w:rsidRPr="002F1661" w:rsidRDefault="00E57B69" w:rsidP="00FC7C3F">
            <w:pPr>
              <w:tabs>
                <w:tab w:val="left" w:pos="356"/>
                <w:tab w:val="left" w:pos="2268"/>
              </w:tabs>
              <w:jc w:val="both"/>
              <w:rPr>
                <w:rFonts w:ascii="Garamond" w:hAnsi="Garamond"/>
                <w:b/>
                <w:bCs/>
                <w:sz w:val="22"/>
                <w:lang w:val="nl-NL"/>
              </w:rPr>
            </w:pPr>
          </w:p>
        </w:tc>
      </w:tr>
      <w:tr w:rsidR="00E57B69" w:rsidRPr="007623AC" w14:paraId="5D6EBBFB" w14:textId="77777777" w:rsidTr="00FC7C3F">
        <w:tc>
          <w:tcPr>
            <w:tcW w:w="4660" w:type="dxa"/>
            <w:shd w:val="clear" w:color="auto" w:fill="auto"/>
          </w:tcPr>
          <w:p w14:paraId="26426D7B" w14:textId="77777777" w:rsidR="00E57B69" w:rsidRPr="007623AC" w:rsidRDefault="00E57B69" w:rsidP="00FC7C3F">
            <w:pPr>
              <w:tabs>
                <w:tab w:val="left" w:pos="356"/>
                <w:tab w:val="left" w:pos="2268"/>
              </w:tabs>
              <w:jc w:val="both"/>
              <w:rPr>
                <w:b/>
                <w:bCs/>
                <w:sz w:val="22"/>
                <w:rFonts w:ascii="Garamond" w:hAnsi="Garamond"/>
              </w:rPr>
            </w:pPr>
            <w:r>
              <w:rPr>
                <w:b/>
                <w:sz w:val="24"/>
              </w:rPr>
              <w:t xml:space="preserve">Decisão ministerial que estabelece os termos e condições de venda e/ou entrega de alimentos para fins médicos ao utilizador final</w:t>
            </w:r>
          </w:p>
        </w:tc>
      </w:tr>
      <w:tr w:rsidR="00E57B69" w:rsidRPr="00E57B69" w14:paraId="1F9051DD" w14:textId="77777777" w:rsidTr="00FC7C3F">
        <w:tc>
          <w:tcPr>
            <w:tcW w:w="4660" w:type="dxa"/>
            <w:shd w:val="clear" w:color="auto" w:fill="auto"/>
          </w:tcPr>
          <w:p w14:paraId="7C2E8424" w14:textId="77777777" w:rsidR="00E57B69" w:rsidRPr="00904C39" w:rsidRDefault="00E57B69" w:rsidP="00FC7C3F">
            <w:pPr>
              <w:tabs>
                <w:tab w:val="left" w:pos="356"/>
                <w:tab w:val="left" w:pos="2268"/>
              </w:tabs>
              <w:jc w:val="both"/>
              <w:rPr>
                <w:rFonts w:ascii="Garamond" w:hAnsi="Garamond"/>
                <w:b/>
                <w:sz w:val="22"/>
                <w:lang w:val="en-US"/>
              </w:rPr>
            </w:pPr>
          </w:p>
        </w:tc>
      </w:tr>
      <w:tr w:rsidR="00E57B69" w:rsidRPr="00633632" w14:paraId="0F91DB3C" w14:textId="77777777" w:rsidTr="00FC7C3F">
        <w:tc>
          <w:tcPr>
            <w:tcW w:w="4660" w:type="dxa"/>
            <w:shd w:val="clear" w:color="auto" w:fill="auto"/>
          </w:tcPr>
          <w:p w14:paraId="7EA15DA1" w14:textId="77777777" w:rsidR="00E57B69" w:rsidRPr="00633632" w:rsidRDefault="00E57B69" w:rsidP="00FC7C3F">
            <w:pPr>
              <w:tabs>
                <w:tab w:val="left" w:pos="356"/>
                <w:tab w:val="left" w:pos="2268"/>
              </w:tabs>
              <w:jc w:val="center"/>
              <w:rPr>
                <w:b/>
                <w:sz w:val="22"/>
                <w:rFonts w:ascii="Garamond" w:hAnsi="Garamond"/>
              </w:rPr>
            </w:pPr>
            <w:r>
              <w:rPr>
                <w:b/>
                <w:sz w:val="22"/>
                <w:rFonts w:ascii="Garamond" w:hAnsi="Garamond"/>
              </w:rPr>
              <w:t xml:space="preserve">O Ministro da Saúde Pública e o Ministro da Agricultura,</w:t>
            </w:r>
            <w:r>
              <w:rPr>
                <w:b/>
                <w:sz w:val="22"/>
                <w:rFonts w:ascii="Garamond" w:hAnsi="Garamond"/>
              </w:rPr>
              <w:t xml:space="preserve">  </w:t>
            </w:r>
          </w:p>
        </w:tc>
      </w:tr>
      <w:tr w:rsidR="00E57B69" w:rsidRPr="00E57B69" w14:paraId="75EBA0B0" w14:textId="77777777" w:rsidTr="00FC7C3F">
        <w:tc>
          <w:tcPr>
            <w:tcW w:w="4660" w:type="dxa"/>
            <w:shd w:val="clear" w:color="auto" w:fill="auto"/>
          </w:tcPr>
          <w:p w14:paraId="69943615" w14:textId="77777777" w:rsidR="00E57B69" w:rsidRPr="00904C39" w:rsidRDefault="00E57B69" w:rsidP="00FC7C3F">
            <w:pPr>
              <w:tabs>
                <w:tab w:val="left" w:pos="356"/>
                <w:tab w:val="left" w:pos="2268"/>
              </w:tabs>
              <w:jc w:val="both"/>
              <w:rPr>
                <w:rFonts w:ascii="Garamond" w:hAnsi="Garamond"/>
                <w:b/>
                <w:sz w:val="22"/>
                <w:lang w:val="en-US"/>
              </w:rPr>
            </w:pPr>
          </w:p>
        </w:tc>
      </w:tr>
      <w:tr w:rsidR="00E57B69" w:rsidRPr="004D3641" w14:paraId="68589C4B" w14:textId="77777777" w:rsidTr="00FC7C3F">
        <w:tc>
          <w:tcPr>
            <w:tcW w:w="4660" w:type="dxa"/>
            <w:shd w:val="clear" w:color="auto" w:fill="auto"/>
          </w:tcPr>
          <w:p w14:paraId="6B8070B4" w14:textId="77777777" w:rsidR="00E57B69" w:rsidRDefault="00E57B69" w:rsidP="00FC7C3F">
            <w:pPr>
              <w:tabs>
                <w:tab w:val="left" w:pos="356"/>
                <w:tab w:val="left" w:pos="2268"/>
              </w:tabs>
              <w:ind w:firstLine="501"/>
              <w:jc w:val="both"/>
              <w:rPr>
                <w:sz w:val="22"/>
                <w:szCs w:val="22"/>
                <w:rFonts w:ascii="Garamond" w:hAnsi="Garamond"/>
              </w:rPr>
            </w:pPr>
            <w:r>
              <w:rPr>
                <w:sz w:val="22"/>
                <w:rFonts w:ascii="Garamond" w:hAnsi="Garamond"/>
              </w:rPr>
              <w:t xml:space="preserve">Tendo em conta a Lei de 24 de janeiro de 1977 relativa à proteção da saúde dos consumidores no que diz respeito aos géneros alimentícios e outros produtos, com a redação que lhe foi dada pela Lei de 22 de março de 1989, nomeadamente o artigo 2.º,</w:t>
            </w:r>
          </w:p>
          <w:p w14:paraId="39709177" w14:textId="77777777" w:rsidR="00E57B69" w:rsidRPr="00904C39" w:rsidRDefault="00E57B69" w:rsidP="00FC7C3F">
            <w:pPr>
              <w:tabs>
                <w:tab w:val="left" w:pos="356"/>
                <w:tab w:val="left" w:pos="2268"/>
              </w:tabs>
              <w:ind w:firstLine="501"/>
              <w:jc w:val="both"/>
              <w:rPr>
                <w:rFonts w:ascii="Garamond" w:hAnsi="Garamond"/>
                <w:sz w:val="22"/>
                <w:szCs w:val="22"/>
                <w:lang w:val="en-US"/>
              </w:rPr>
            </w:pPr>
          </w:p>
          <w:p w14:paraId="2E89679C" w14:textId="77777777" w:rsidR="00E57B69" w:rsidRPr="004D3641" w:rsidRDefault="00E57B69" w:rsidP="00FC7C3F">
            <w:pPr>
              <w:tabs>
                <w:tab w:val="left" w:pos="356"/>
                <w:tab w:val="left" w:pos="2268"/>
              </w:tabs>
              <w:ind w:firstLine="501"/>
              <w:jc w:val="both"/>
              <w:rPr>
                <w:color w:val="FF0000"/>
                <w:sz w:val="22"/>
                <w:szCs w:val="22"/>
                <w:rFonts w:ascii="Garamond" w:hAnsi="Garamond"/>
              </w:rPr>
            </w:pPr>
            <w:r>
              <w:rPr>
                <w:sz w:val="22"/>
                <w:rFonts w:ascii="Garamond" w:hAnsi="Garamond"/>
              </w:rPr>
              <w:t xml:space="preserve">Tendo em conta o Decreto Real de 18 de fevereiro de 1991 relativo aos géneros alimentícios destinados a uma alimentação especial, alterado pelo Decreto Real de 27 de setembro de 1993, 4 de dezembro de 1995, 11 de outubro de 1997, 9 de janeiro de 2000, 26 de junho de 2000, de 12 de fevereiro de 2004, de 27 de setembro de 2006, de 19 de novembro de 2007, de 30 de julho de 2008, de 26 de abril de 2009 e de </w:t>
            </w:r>
            <w:r>
              <w:rPr>
                <w:sz w:val="22"/>
                <w:highlight w:val="yellow"/>
                <w:rFonts w:ascii="Garamond" w:hAnsi="Garamond"/>
              </w:rPr>
              <w:t xml:space="preserve">...</w:t>
            </w:r>
            <w:r>
              <w:rPr>
                <w:sz w:val="22"/>
                <w:highlight w:val="yellow"/>
                <w:rFonts w:ascii="Garamond" w:hAnsi="Garamond"/>
              </w:rPr>
              <w:t xml:space="preserve"> </w:t>
            </w:r>
            <w:r>
              <w:rPr>
                <w:sz w:val="22"/>
                <w:rFonts w:ascii="Garamond" w:hAnsi="Garamond"/>
              </w:rPr>
              <w:t xml:space="preserve">de </w:t>
            </w:r>
            <w:r>
              <w:rPr>
                <w:sz w:val="22"/>
                <w:highlight w:val="yellow"/>
                <w:rFonts w:ascii="Garamond" w:hAnsi="Garamond"/>
              </w:rPr>
              <w:t xml:space="preserve">2021</w:t>
            </w:r>
            <w:r>
              <w:rPr>
                <w:sz w:val="22"/>
                <w:rFonts w:ascii="Garamond" w:hAnsi="Garamond"/>
              </w:rPr>
              <w:t xml:space="preserve">, Artigo 2.º/1,</w:t>
            </w:r>
          </w:p>
        </w:tc>
      </w:tr>
      <w:tr w:rsidR="00E57B69" w:rsidRPr="00E57B69" w14:paraId="4588572D" w14:textId="77777777" w:rsidTr="00FC7C3F">
        <w:tc>
          <w:tcPr>
            <w:tcW w:w="4660" w:type="dxa"/>
            <w:shd w:val="clear" w:color="auto" w:fill="auto"/>
          </w:tcPr>
          <w:p w14:paraId="2A70D42C" w14:textId="77777777" w:rsidR="00E57B69" w:rsidRPr="00904C39" w:rsidRDefault="00E57B69" w:rsidP="00FC7C3F">
            <w:pPr>
              <w:tabs>
                <w:tab w:val="left" w:pos="356"/>
                <w:tab w:val="left" w:pos="2268"/>
              </w:tabs>
              <w:jc w:val="both"/>
              <w:rPr>
                <w:rFonts w:ascii="Garamond" w:hAnsi="Garamond"/>
                <w:b/>
                <w:color w:val="FF0000"/>
                <w:sz w:val="22"/>
                <w:lang w:val="en-US"/>
              </w:rPr>
            </w:pPr>
          </w:p>
        </w:tc>
      </w:tr>
      <w:tr w:rsidR="00E57B69" w:rsidRPr="005C637E" w14:paraId="05E3A944" w14:textId="77777777" w:rsidTr="00FC7C3F">
        <w:tc>
          <w:tcPr>
            <w:tcW w:w="4660" w:type="dxa"/>
            <w:shd w:val="clear" w:color="auto" w:fill="auto"/>
          </w:tcPr>
          <w:p w14:paraId="1A854639" w14:textId="77777777" w:rsidR="00E57B69" w:rsidRPr="005C637E" w:rsidRDefault="00E57B69" w:rsidP="00FC7C3F">
            <w:pPr>
              <w:tabs>
                <w:tab w:val="left" w:pos="356"/>
                <w:tab w:val="left" w:pos="2268"/>
              </w:tabs>
              <w:ind w:firstLine="501"/>
              <w:jc w:val="both"/>
              <w:rPr>
                <w:b/>
                <w:sz w:val="22"/>
                <w:rFonts w:ascii="Garamond" w:hAnsi="Garamond"/>
              </w:rPr>
            </w:pPr>
            <w:r>
              <w:rPr>
                <w:sz w:val="22"/>
                <w:rFonts w:ascii="Garamond" w:hAnsi="Garamond"/>
              </w:rPr>
              <w:t xml:space="preserve">Tendo em conta a Comunicação à Comissão Europeia, intitulada “</w:t>
            </w:r>
            <w:r>
              <w:rPr>
                <w:sz w:val="22"/>
                <w:color w:val="FF0000"/>
                <w:rFonts w:ascii="Garamond" w:hAnsi="Garamond"/>
              </w:rPr>
              <w:t xml:space="preserve">xx de xxxxx de 20xx</w:t>
            </w:r>
            <w:r>
              <w:rPr>
                <w:sz w:val="22"/>
                <w:rFonts w:ascii="Garamond" w:hAnsi="Garamond"/>
              </w:rPr>
              <w:t xml:space="preserve">, que aplica o artigo 5.º, parte 1 da Diretiva (UE) 2015/1535 do Parlamento Europeu e do Conselho, de 9 de setembro de 2015, relativa a um procedimento de informação no domínio das regulamentações técnicas e das regras relativas aos serviços da sociedade da informação,</w:t>
            </w:r>
          </w:p>
        </w:tc>
      </w:tr>
      <w:tr w:rsidR="00E57B69" w:rsidRPr="005C637E" w14:paraId="210C4F0B" w14:textId="77777777" w:rsidTr="00FC7C3F">
        <w:tc>
          <w:tcPr>
            <w:tcW w:w="4660" w:type="dxa"/>
            <w:shd w:val="clear" w:color="auto" w:fill="auto"/>
          </w:tcPr>
          <w:p w14:paraId="09E13DCB" w14:textId="77777777" w:rsidR="00E57B69" w:rsidRPr="00904C39" w:rsidRDefault="00E57B69" w:rsidP="00FC7C3F">
            <w:pPr>
              <w:tabs>
                <w:tab w:val="left" w:pos="356"/>
                <w:tab w:val="left" w:pos="2268"/>
              </w:tabs>
              <w:ind w:firstLine="501"/>
              <w:jc w:val="both"/>
              <w:rPr>
                <w:rFonts w:ascii="Garamond" w:hAnsi="Garamond"/>
                <w:sz w:val="22"/>
                <w:szCs w:val="22"/>
                <w:lang w:val="en-US" w:eastAsia="fr-BE"/>
              </w:rPr>
            </w:pPr>
          </w:p>
        </w:tc>
      </w:tr>
      <w:tr w:rsidR="00E57B69" w:rsidRPr="005C637E" w14:paraId="0C59FAAE" w14:textId="77777777" w:rsidTr="00FC7C3F">
        <w:tc>
          <w:tcPr>
            <w:tcW w:w="4660" w:type="dxa"/>
            <w:shd w:val="clear" w:color="auto" w:fill="auto"/>
          </w:tcPr>
          <w:p w14:paraId="7041189C" w14:textId="77777777" w:rsidR="00E57B69" w:rsidRPr="005C637E" w:rsidRDefault="00E57B69" w:rsidP="00FC7C3F">
            <w:pPr>
              <w:tabs>
                <w:tab w:val="left" w:pos="356"/>
                <w:tab w:val="left" w:pos="2268"/>
              </w:tabs>
              <w:ind w:firstLine="501"/>
              <w:jc w:val="both"/>
              <w:rPr>
                <w:sz w:val="22"/>
                <w:szCs w:val="22"/>
                <w:rFonts w:ascii="Garamond" w:hAnsi="Garamond"/>
              </w:rPr>
            </w:pPr>
            <w:r>
              <w:rPr>
                <w:sz w:val="22"/>
                <w:rFonts w:ascii="Garamond" w:hAnsi="Garamond"/>
              </w:rPr>
              <w:t xml:space="preserve">Tendo em conta o parecer n.º 9371 do Conselho Superior de Saúde Pública adotado em 30 de junho de 2017,</w:t>
            </w:r>
          </w:p>
        </w:tc>
      </w:tr>
      <w:tr w:rsidR="00E57B69" w:rsidRPr="00E57B69" w14:paraId="6336C2CF" w14:textId="77777777" w:rsidTr="00FC7C3F">
        <w:tc>
          <w:tcPr>
            <w:tcW w:w="4660" w:type="dxa"/>
            <w:shd w:val="clear" w:color="auto" w:fill="auto"/>
          </w:tcPr>
          <w:p w14:paraId="72F2AF2A" w14:textId="77777777" w:rsidR="00E57B69" w:rsidRPr="00904C39" w:rsidRDefault="00E57B69" w:rsidP="00FC7C3F">
            <w:pPr>
              <w:tabs>
                <w:tab w:val="left" w:pos="356"/>
                <w:tab w:val="left" w:pos="2268"/>
              </w:tabs>
              <w:jc w:val="both"/>
              <w:rPr>
                <w:rFonts w:ascii="Garamond" w:hAnsi="Garamond"/>
                <w:b/>
                <w:sz w:val="22"/>
                <w:lang w:val="en-US"/>
              </w:rPr>
            </w:pPr>
          </w:p>
        </w:tc>
      </w:tr>
      <w:tr w:rsidR="00E57B69" w:rsidRPr="005C637E" w14:paraId="12B7739D" w14:textId="77777777" w:rsidTr="00FC7C3F">
        <w:tc>
          <w:tcPr>
            <w:tcW w:w="4660" w:type="dxa"/>
            <w:shd w:val="clear" w:color="auto" w:fill="auto"/>
          </w:tcPr>
          <w:p w14:paraId="46DC7669" w14:textId="77777777" w:rsidR="00E57B69" w:rsidRPr="005C637E" w:rsidRDefault="00E57B69" w:rsidP="00FC7C3F">
            <w:pPr>
              <w:tabs>
                <w:tab w:val="left" w:pos="356"/>
                <w:tab w:val="left" w:pos="2268"/>
              </w:tabs>
              <w:jc w:val="both"/>
              <w:rPr>
                <w:b/>
                <w:sz w:val="22"/>
                <w:rFonts w:ascii="Garamond" w:hAnsi="Garamond"/>
              </w:rPr>
            </w:pPr>
            <w:r>
              <w:rPr>
                <w:sz w:val="22"/>
                <w:rFonts w:ascii="Garamond" w:hAnsi="Garamond"/>
              </w:rPr>
              <w:tab/>
            </w:r>
            <w:r>
              <w:rPr>
                <w:sz w:val="22"/>
                <w:rFonts w:ascii="Garamond" w:hAnsi="Garamond"/>
              </w:rPr>
              <w:t xml:space="preserve">Tendo em conta o parecer do Inspetor das Finanças, emitido em </w:t>
            </w:r>
            <w:r>
              <w:rPr>
                <w:sz w:val="22"/>
                <w:color w:val="FF0000"/>
                <w:rFonts w:ascii="Garamond" w:hAnsi="Garamond"/>
              </w:rPr>
              <w:t xml:space="preserve">xxx</w:t>
            </w:r>
            <w:r>
              <w:rPr>
                <w:sz w:val="22"/>
                <w:rFonts w:ascii="Garamond" w:hAnsi="Garamond"/>
              </w:rPr>
              <w:t xml:space="preserve">,</w:t>
            </w:r>
          </w:p>
        </w:tc>
      </w:tr>
      <w:tr w:rsidR="00E57B69" w:rsidRPr="00E57B69" w14:paraId="46239848" w14:textId="77777777" w:rsidTr="00FC7C3F">
        <w:tc>
          <w:tcPr>
            <w:tcW w:w="4660" w:type="dxa"/>
            <w:shd w:val="clear" w:color="auto" w:fill="auto"/>
          </w:tcPr>
          <w:p w14:paraId="22DAFCDE" w14:textId="77777777" w:rsidR="00E57B69" w:rsidRPr="00904C39" w:rsidRDefault="00E57B69" w:rsidP="00FC7C3F">
            <w:pPr>
              <w:tabs>
                <w:tab w:val="left" w:pos="356"/>
                <w:tab w:val="left" w:pos="2268"/>
              </w:tabs>
              <w:jc w:val="both"/>
              <w:rPr>
                <w:rFonts w:ascii="Garamond" w:hAnsi="Garamond"/>
                <w:b/>
                <w:sz w:val="22"/>
                <w:lang w:val="en-US"/>
              </w:rPr>
            </w:pPr>
          </w:p>
        </w:tc>
      </w:tr>
      <w:tr w:rsidR="00E57B69" w:rsidRPr="005C637E" w14:paraId="34202E97" w14:textId="77777777" w:rsidTr="00FC7C3F">
        <w:tc>
          <w:tcPr>
            <w:tcW w:w="4660" w:type="dxa"/>
            <w:shd w:val="clear" w:color="auto" w:fill="auto"/>
          </w:tcPr>
          <w:p w14:paraId="5E95CE82" w14:textId="40281705" w:rsidR="00E57B69" w:rsidRPr="005C637E" w:rsidRDefault="00E57B69" w:rsidP="00FC7C3F">
            <w:pPr>
              <w:tabs>
                <w:tab w:val="left" w:pos="356"/>
                <w:tab w:val="left" w:pos="2268"/>
              </w:tabs>
              <w:jc w:val="both"/>
              <w:rPr>
                <w:b/>
                <w:sz w:val="22"/>
                <w:rFonts w:ascii="Garamond" w:hAnsi="Garamond"/>
              </w:rPr>
            </w:pPr>
            <w:r>
              <w:rPr>
                <w:sz w:val="22"/>
                <w:rFonts w:ascii="Garamond" w:hAnsi="Garamond"/>
              </w:rPr>
              <w:tab/>
            </w:r>
            <w:r>
              <w:rPr>
                <w:sz w:val="22"/>
                <w:rFonts w:ascii="Garamond" w:hAnsi="Garamond"/>
              </w:rPr>
              <w:t xml:space="preserve">Tendo em conta o parecer n.º </w:t>
            </w:r>
            <w:r>
              <w:rPr>
                <w:sz w:val="22"/>
                <w:color w:val="FF0000"/>
                <w:rFonts w:ascii="Garamond" w:hAnsi="Garamond"/>
              </w:rPr>
              <w:t xml:space="preserve">xxx</w:t>
            </w:r>
            <w:r>
              <w:rPr>
                <w:sz w:val="22"/>
                <w:rFonts w:ascii="Garamond" w:hAnsi="Garamond"/>
              </w:rPr>
              <w:t xml:space="preserve"> do Conselho de Estado, emitido em </w:t>
            </w:r>
            <w:r>
              <w:rPr>
                <w:sz w:val="22"/>
                <w:color w:val="FF0000"/>
                <w:rFonts w:ascii="Garamond" w:hAnsi="Garamond"/>
              </w:rPr>
              <w:t xml:space="preserve">xxx</w:t>
            </w:r>
            <w:r>
              <w:rPr>
                <w:sz w:val="22"/>
                <w:rFonts w:ascii="Garamond" w:hAnsi="Garamond"/>
              </w:rPr>
              <w:t xml:space="preserve">, nos termos do artigo 84.º(1), parte 1 e 2 das leis do Conselho de Estado, coordenado em 12 de janeiro de 1973,</w:t>
            </w:r>
          </w:p>
        </w:tc>
      </w:tr>
      <w:tr w:rsidR="00E57B69" w:rsidRPr="00E57B69" w14:paraId="387E5B15" w14:textId="77777777" w:rsidTr="00FC7C3F">
        <w:tc>
          <w:tcPr>
            <w:tcW w:w="4660" w:type="dxa"/>
            <w:shd w:val="clear" w:color="auto" w:fill="auto"/>
          </w:tcPr>
          <w:p w14:paraId="51A816C5" w14:textId="77777777" w:rsidR="00E57B69" w:rsidRPr="00904C39" w:rsidRDefault="00E57B69" w:rsidP="00FC7C3F">
            <w:pPr>
              <w:tabs>
                <w:tab w:val="left" w:pos="356"/>
                <w:tab w:val="left" w:pos="2268"/>
              </w:tabs>
              <w:jc w:val="both"/>
              <w:rPr>
                <w:rFonts w:ascii="Garamond" w:hAnsi="Garamond"/>
                <w:b/>
                <w:sz w:val="22"/>
                <w:lang w:val="en-US"/>
              </w:rPr>
            </w:pPr>
          </w:p>
        </w:tc>
      </w:tr>
      <w:tr w:rsidR="00E57B69" w14:paraId="20189859" w14:textId="77777777" w:rsidTr="00FC7C3F">
        <w:tc>
          <w:tcPr>
            <w:tcW w:w="4660" w:type="dxa"/>
            <w:shd w:val="clear" w:color="auto" w:fill="auto"/>
          </w:tcPr>
          <w:p w14:paraId="62791476" w14:textId="77777777" w:rsidR="00E57B69" w:rsidRDefault="00E57B69" w:rsidP="00FC7C3F">
            <w:pPr>
              <w:tabs>
                <w:tab w:val="left" w:pos="356"/>
                <w:tab w:val="left" w:pos="2268"/>
              </w:tabs>
              <w:jc w:val="center"/>
              <w:rPr>
                <w:sz w:val="22"/>
                <w:rFonts w:ascii="Garamond" w:hAnsi="Garamond"/>
              </w:rPr>
            </w:pPr>
            <w:r>
              <w:rPr>
                <w:sz w:val="22"/>
                <w:rFonts w:ascii="Garamond" w:hAnsi="Garamond"/>
              </w:rPr>
              <w:t xml:space="preserve">PELO PRESENTE, DECRETAM O SEGUINTE:</w:t>
            </w:r>
          </w:p>
          <w:p w14:paraId="5A12D8EB" w14:textId="77777777" w:rsidR="00E57B69" w:rsidRDefault="00E57B69" w:rsidP="00FC7C3F">
            <w:pPr>
              <w:tabs>
                <w:tab w:val="left" w:pos="356"/>
                <w:tab w:val="left" w:pos="2268"/>
              </w:tabs>
              <w:rPr>
                <w:rFonts w:ascii="Garamond" w:hAnsi="Garamond"/>
                <w:b/>
                <w:sz w:val="22"/>
                <w:lang w:val="nl-NL"/>
              </w:rPr>
            </w:pPr>
          </w:p>
        </w:tc>
      </w:tr>
      <w:tr w:rsidR="00E57B69" w:rsidRPr="00DB18B8" w14:paraId="5B93629D" w14:textId="77777777" w:rsidTr="00FC7C3F">
        <w:tc>
          <w:tcPr>
            <w:tcW w:w="4660" w:type="dxa"/>
            <w:shd w:val="clear" w:color="auto" w:fill="auto"/>
          </w:tcPr>
          <w:p w14:paraId="6A99542A" w14:textId="77777777" w:rsidR="00E57B69" w:rsidRPr="00DB18B8" w:rsidRDefault="00E57B69" w:rsidP="00FC7C3F">
            <w:pPr>
              <w:tabs>
                <w:tab w:val="left" w:pos="0"/>
                <w:tab w:val="left" w:pos="709"/>
                <w:tab w:val="left" w:pos="2268"/>
              </w:tabs>
              <w:jc w:val="both"/>
              <w:rPr>
                <w:sz w:val="22"/>
                <w:rFonts w:ascii="Garamond" w:hAnsi="Garamond"/>
              </w:rPr>
            </w:pPr>
            <w:r>
              <w:rPr>
                <w:sz w:val="22"/>
                <w:b/>
                <w:rFonts w:ascii="Garamond" w:hAnsi="Garamond"/>
              </w:rPr>
              <w:t xml:space="preserve">Artigo 1.º</w:t>
            </w:r>
            <w:r>
              <w:rPr>
                <w:sz w:val="22"/>
                <w:b/>
                <w:rFonts w:ascii="Garamond" w:hAnsi="Garamond"/>
              </w:rPr>
              <w:t xml:space="preserve"> </w:t>
            </w:r>
            <w:r>
              <w:rPr>
                <w:sz w:val="22"/>
                <w:rFonts w:ascii="Garamond" w:hAnsi="Garamond"/>
              </w:rPr>
              <w:t xml:space="preserve">Para efeitos do presente decreto, entende-se por:</w:t>
            </w:r>
            <w:r>
              <w:rPr>
                <w:sz w:val="22"/>
                <w:b/>
                <w:rFonts w:ascii="Garamond" w:hAnsi="Garamond"/>
              </w:rPr>
              <w:t xml:space="preserve"> </w:t>
            </w:r>
          </w:p>
          <w:p w14:paraId="173EB430" w14:textId="77777777" w:rsidR="00E57B69" w:rsidRPr="00904C39" w:rsidRDefault="00E57B69" w:rsidP="00FC7C3F">
            <w:pPr>
              <w:tabs>
                <w:tab w:val="left" w:pos="0"/>
                <w:tab w:val="left" w:pos="709"/>
                <w:tab w:val="left" w:pos="2268"/>
              </w:tabs>
              <w:jc w:val="both"/>
              <w:rPr>
                <w:rFonts w:ascii="Garamond" w:hAnsi="Garamond"/>
                <w:sz w:val="22"/>
                <w:lang w:val="en-US"/>
              </w:rPr>
            </w:pPr>
          </w:p>
        </w:tc>
      </w:tr>
      <w:tr w:rsidR="00E57B69" w:rsidRPr="00CD251B" w14:paraId="323B6F19" w14:textId="77777777" w:rsidTr="00FC7C3F">
        <w:tc>
          <w:tcPr>
            <w:tcW w:w="4660" w:type="dxa"/>
            <w:shd w:val="clear" w:color="auto" w:fill="auto"/>
          </w:tcPr>
          <w:p w14:paraId="403AFE52" w14:textId="77777777" w:rsidR="00E57B69" w:rsidRPr="00CD251B" w:rsidRDefault="00E57B69" w:rsidP="00FC7C3F">
            <w:pPr>
              <w:tabs>
                <w:tab w:val="left" w:pos="0"/>
                <w:tab w:val="left" w:pos="709"/>
                <w:tab w:val="left" w:pos="2268"/>
              </w:tabs>
              <w:jc w:val="both"/>
              <w:rPr>
                <w:sz w:val="22"/>
                <w:rFonts w:ascii="Garamond" w:hAnsi="Garamond"/>
              </w:rPr>
            </w:pPr>
            <w:r>
              <w:rPr>
                <w:sz w:val="22"/>
                <w:rFonts w:ascii="Garamond" w:hAnsi="Garamond"/>
              </w:rPr>
              <w:t xml:space="preserve">1.º Serviços não hospitalares: operadores que, no âmbito do tratamento médico de um doente fora de um hospital, instalem, mantenham e/ou removam dispositivos médicos relacionados com a alimentação enteral via sonda no domicílio dos doentes;</w:t>
            </w:r>
          </w:p>
        </w:tc>
      </w:tr>
      <w:tr w:rsidR="00E57B69" w:rsidRPr="00E57B69" w14:paraId="09A98B4E" w14:textId="77777777" w:rsidTr="00FC7C3F">
        <w:tc>
          <w:tcPr>
            <w:tcW w:w="4660" w:type="dxa"/>
            <w:shd w:val="clear" w:color="auto" w:fill="auto"/>
          </w:tcPr>
          <w:p w14:paraId="2D21EDB9" w14:textId="77777777" w:rsidR="00E57B69" w:rsidRPr="00904C39" w:rsidRDefault="00E57B69" w:rsidP="00FC7C3F">
            <w:pPr>
              <w:tabs>
                <w:tab w:val="left" w:pos="0"/>
                <w:tab w:val="left" w:pos="709"/>
                <w:tab w:val="left" w:pos="2268"/>
              </w:tabs>
              <w:jc w:val="both"/>
              <w:rPr>
                <w:rFonts w:ascii="Garamond" w:hAnsi="Garamond"/>
                <w:sz w:val="22"/>
                <w:lang w:val="en-US"/>
              </w:rPr>
            </w:pPr>
          </w:p>
        </w:tc>
      </w:tr>
      <w:tr w:rsidR="00E57B69" w:rsidRPr="00CD251B" w14:paraId="0AD2BC14" w14:textId="77777777" w:rsidTr="00FC7C3F">
        <w:tc>
          <w:tcPr>
            <w:tcW w:w="4660" w:type="dxa"/>
            <w:shd w:val="clear" w:color="auto" w:fill="auto"/>
          </w:tcPr>
          <w:p w14:paraId="4851F28C" w14:textId="77777777" w:rsidR="00E57B69" w:rsidRPr="00CD251B" w:rsidRDefault="00E57B69" w:rsidP="00FC7C3F">
            <w:pPr>
              <w:tabs>
                <w:tab w:val="left" w:pos="0"/>
                <w:tab w:val="left" w:pos="709"/>
                <w:tab w:val="left" w:pos="2268"/>
              </w:tabs>
              <w:jc w:val="both"/>
              <w:rPr>
                <w:sz w:val="22"/>
                <w:rFonts w:ascii="Garamond" w:hAnsi="Garamond"/>
              </w:rPr>
            </w:pPr>
            <w:r>
              <w:rPr>
                <w:sz w:val="22"/>
                <w:rFonts w:ascii="Garamond" w:hAnsi="Garamond"/>
              </w:rPr>
              <w:t xml:space="preserve">2.º Farmacêuticos: qualquer pessoa autorizada a exercer a farmácia e que efetivamente gere um serviço oficialmente à disposição do público ou um funcionário estabelecido nas instalações de cuidados de saúde ou prisionais.</w:t>
            </w:r>
          </w:p>
        </w:tc>
      </w:tr>
      <w:tr w:rsidR="00E57B69" w:rsidRPr="00E57B69" w14:paraId="1F02F43F" w14:textId="77777777" w:rsidTr="00FC7C3F">
        <w:tc>
          <w:tcPr>
            <w:tcW w:w="4660" w:type="dxa"/>
            <w:shd w:val="clear" w:color="auto" w:fill="auto"/>
          </w:tcPr>
          <w:p w14:paraId="51860F3A" w14:textId="77777777" w:rsidR="00E57B69" w:rsidRPr="00904C39" w:rsidRDefault="00E57B69" w:rsidP="00FC7C3F">
            <w:pPr>
              <w:tabs>
                <w:tab w:val="left" w:pos="0"/>
                <w:tab w:val="left" w:pos="709"/>
                <w:tab w:val="left" w:pos="2268"/>
              </w:tabs>
              <w:jc w:val="both"/>
              <w:rPr>
                <w:rFonts w:ascii="Garamond" w:hAnsi="Garamond"/>
                <w:sz w:val="22"/>
                <w:lang w:val="en-US"/>
              </w:rPr>
            </w:pPr>
          </w:p>
        </w:tc>
      </w:tr>
      <w:tr w:rsidR="00E57B69" w:rsidRPr="00CD251B" w14:paraId="5130CEFE" w14:textId="77777777" w:rsidTr="00FC7C3F">
        <w:tc>
          <w:tcPr>
            <w:tcW w:w="4660" w:type="dxa"/>
            <w:shd w:val="clear" w:color="auto" w:fill="auto"/>
          </w:tcPr>
          <w:p w14:paraId="4F60D600" w14:textId="77777777" w:rsidR="00E57B69" w:rsidRDefault="00E57B69" w:rsidP="00FC7C3F">
            <w:pPr>
              <w:tabs>
                <w:tab w:val="left" w:pos="0"/>
                <w:tab w:val="left" w:pos="709"/>
                <w:tab w:val="left" w:pos="2268"/>
              </w:tabs>
              <w:jc w:val="both"/>
              <w:rPr>
                <w:b/>
                <w:sz w:val="22"/>
                <w:rFonts w:ascii="Garamond" w:hAnsi="Garamond"/>
              </w:rPr>
            </w:pPr>
            <w:r>
              <w:rPr>
                <w:b/>
                <w:sz w:val="22"/>
                <w:rFonts w:ascii="Garamond" w:hAnsi="Garamond"/>
              </w:rPr>
              <w:t xml:space="preserve">Artigo 2.º</w:t>
            </w:r>
            <w:r>
              <w:t xml:space="preserve"> </w:t>
            </w:r>
            <w:r>
              <w:rPr>
                <w:sz w:val="22"/>
                <w:rFonts w:ascii="Garamond" w:hAnsi="Garamond"/>
              </w:rPr>
              <w:t xml:space="preserve">A venda e/ou a entrega de alimentos para fins médicos ao utilizador final só pode ser autorizada por:</w:t>
            </w:r>
            <w:r>
              <w:rPr>
                <w:sz w:val="22"/>
                <w:b/>
                <w:rFonts w:ascii="Garamond" w:hAnsi="Garamond"/>
              </w:rPr>
              <w:t xml:space="preserve">  </w:t>
            </w:r>
          </w:p>
          <w:p w14:paraId="50FE91EB" w14:textId="77777777" w:rsidR="00E57B69" w:rsidRPr="00904C39" w:rsidRDefault="00E57B69" w:rsidP="00FC7C3F">
            <w:pPr>
              <w:tabs>
                <w:tab w:val="left" w:pos="0"/>
                <w:tab w:val="left" w:pos="709"/>
                <w:tab w:val="left" w:pos="2268"/>
              </w:tabs>
              <w:jc w:val="both"/>
              <w:rPr>
                <w:rFonts w:ascii="Garamond" w:hAnsi="Garamond"/>
                <w:sz w:val="22"/>
                <w:lang w:val="en-US"/>
              </w:rPr>
            </w:pPr>
          </w:p>
        </w:tc>
      </w:tr>
      <w:tr w:rsidR="00E57B69" w:rsidRPr="00CD251B" w14:paraId="076E6AC9" w14:textId="77777777" w:rsidTr="00FC7C3F">
        <w:tc>
          <w:tcPr>
            <w:tcW w:w="4660" w:type="dxa"/>
            <w:shd w:val="clear" w:color="auto" w:fill="auto"/>
          </w:tcPr>
          <w:p w14:paraId="5881D252" w14:textId="77777777" w:rsidR="00E57B69" w:rsidRPr="00CD251B" w:rsidRDefault="00E57B69" w:rsidP="00FC7C3F">
            <w:pPr>
              <w:tabs>
                <w:tab w:val="left" w:pos="0"/>
                <w:tab w:val="left" w:pos="709"/>
                <w:tab w:val="left" w:pos="2268"/>
              </w:tabs>
              <w:jc w:val="both"/>
              <w:rPr>
                <w:sz w:val="22"/>
                <w:rFonts w:ascii="Garamond" w:hAnsi="Garamond"/>
              </w:rPr>
            </w:pPr>
            <w:bookmarkStart w:id="0" w:name="_Hlk523840403"/>
            <w:r>
              <w:rPr>
                <w:sz w:val="22"/>
                <w:rFonts w:ascii="Garamond" w:hAnsi="Garamond"/>
              </w:rPr>
              <w:t xml:space="preserve">1.º </w:t>
            </w:r>
            <w:bookmarkEnd w:id="0"/>
            <w:r>
              <w:t xml:space="preserve">farmacêuticos</w:t>
            </w:r>
            <w:r>
              <w:rPr>
                <w:sz w:val="22"/>
                <w:rFonts w:ascii="Garamond" w:hAnsi="Garamond"/>
              </w:rPr>
              <w:t xml:space="preserve">;</w:t>
            </w:r>
          </w:p>
        </w:tc>
      </w:tr>
      <w:tr w:rsidR="00E57B69" w:rsidRPr="00CD251B" w14:paraId="4423C570" w14:textId="77777777" w:rsidTr="00FC7C3F">
        <w:tc>
          <w:tcPr>
            <w:tcW w:w="4660" w:type="dxa"/>
            <w:shd w:val="clear" w:color="auto" w:fill="auto"/>
          </w:tcPr>
          <w:p w14:paraId="32035013" w14:textId="77777777" w:rsidR="00E57B69" w:rsidRPr="00CD251B" w:rsidRDefault="00E57B69" w:rsidP="00FC7C3F">
            <w:pPr>
              <w:tabs>
                <w:tab w:val="left" w:pos="0"/>
                <w:tab w:val="left" w:pos="709"/>
                <w:tab w:val="left" w:pos="2268"/>
              </w:tabs>
              <w:jc w:val="both"/>
              <w:rPr>
                <w:rFonts w:ascii="Garamond" w:hAnsi="Garamond"/>
                <w:b/>
                <w:sz w:val="22"/>
                <w:lang w:val="nl-BE"/>
              </w:rPr>
            </w:pPr>
          </w:p>
        </w:tc>
      </w:tr>
      <w:tr w:rsidR="00E57B69" w:rsidRPr="00CD251B" w14:paraId="40579E1E" w14:textId="77777777" w:rsidTr="00FC7C3F">
        <w:tc>
          <w:tcPr>
            <w:tcW w:w="4660" w:type="dxa"/>
            <w:shd w:val="clear" w:color="auto" w:fill="auto"/>
          </w:tcPr>
          <w:p w14:paraId="2B5A400B" w14:textId="77777777" w:rsidR="00E57B69" w:rsidRPr="00CD251B" w:rsidRDefault="00E57B69" w:rsidP="00FC7C3F">
            <w:pPr>
              <w:tabs>
                <w:tab w:val="left" w:pos="0"/>
                <w:tab w:val="left" w:pos="709"/>
                <w:tab w:val="left" w:pos="2268"/>
              </w:tabs>
              <w:jc w:val="both"/>
              <w:rPr>
                <w:b/>
                <w:sz w:val="22"/>
                <w:rFonts w:ascii="Garamond" w:hAnsi="Garamond"/>
              </w:rPr>
            </w:pPr>
            <w:r>
              <w:rPr>
                <w:sz w:val="22"/>
                <w:rFonts w:ascii="Garamond" w:hAnsi="Garamond"/>
              </w:rPr>
              <w:t xml:space="preserve">2.º estabelecimentos de saúde reconhecidos por uma das entidades federadas, desde que a alimentação para fins médicos seja fornecida com base numa receita médica e apenas a pacientes institucionalizados;</w:t>
            </w:r>
          </w:p>
        </w:tc>
      </w:tr>
      <w:tr w:rsidR="00E57B69" w:rsidRPr="00E57B69" w14:paraId="1A3F071A" w14:textId="77777777" w:rsidTr="00FC7C3F">
        <w:tc>
          <w:tcPr>
            <w:tcW w:w="4660" w:type="dxa"/>
            <w:shd w:val="clear" w:color="auto" w:fill="auto"/>
          </w:tcPr>
          <w:p w14:paraId="7C59C09B" w14:textId="77777777" w:rsidR="00E57B69" w:rsidRPr="00904C39" w:rsidRDefault="00E57B69" w:rsidP="00FC7C3F">
            <w:pPr>
              <w:tabs>
                <w:tab w:val="left" w:pos="0"/>
                <w:tab w:val="left" w:pos="709"/>
                <w:tab w:val="left" w:pos="2268"/>
              </w:tabs>
              <w:jc w:val="both"/>
              <w:rPr>
                <w:rFonts w:ascii="Garamond" w:hAnsi="Garamond"/>
                <w:b/>
                <w:sz w:val="22"/>
                <w:lang w:val="en-US"/>
              </w:rPr>
            </w:pPr>
          </w:p>
        </w:tc>
      </w:tr>
      <w:tr w:rsidR="00E57B69" w:rsidRPr="00CD251B" w14:paraId="452F523B" w14:textId="77777777" w:rsidTr="00FC7C3F">
        <w:tc>
          <w:tcPr>
            <w:tcW w:w="4660" w:type="dxa"/>
            <w:shd w:val="clear" w:color="auto" w:fill="auto"/>
          </w:tcPr>
          <w:p w14:paraId="7F002F9B" w14:textId="77777777" w:rsidR="00E57B69" w:rsidRPr="00CD251B" w:rsidRDefault="00E57B69" w:rsidP="00FC7C3F">
            <w:pPr>
              <w:tabs>
                <w:tab w:val="left" w:pos="0"/>
                <w:tab w:val="left" w:pos="709"/>
                <w:tab w:val="left" w:pos="2268"/>
              </w:tabs>
              <w:jc w:val="both"/>
              <w:rPr>
                <w:b/>
                <w:sz w:val="22"/>
                <w:rFonts w:ascii="Garamond" w:hAnsi="Garamond"/>
              </w:rPr>
            </w:pPr>
            <w:r>
              <w:rPr>
                <w:sz w:val="22"/>
                <w:rFonts w:ascii="Garamond" w:hAnsi="Garamond"/>
              </w:rPr>
              <w:t xml:space="preserve">3.º estabelecimentos de saúde aprovados por uma das entidades federadas e apenas a pacientes institucionalizados para alimentação para fins médicos administrada por via oral e destinada a adultos e a satisfazer as necessidades nutricionais no caso de:</w:t>
            </w:r>
          </w:p>
        </w:tc>
      </w:tr>
      <w:tr w:rsidR="00E57B69" w:rsidRPr="007B5716" w14:paraId="1B48EE96" w14:textId="77777777" w:rsidTr="00FC7C3F">
        <w:tc>
          <w:tcPr>
            <w:tcW w:w="4660" w:type="dxa"/>
            <w:shd w:val="clear" w:color="auto" w:fill="auto"/>
          </w:tcPr>
          <w:p w14:paraId="43728444" w14:textId="77777777" w:rsidR="00E57B69" w:rsidRPr="007B5716" w:rsidRDefault="00E57B69" w:rsidP="00E57B69">
            <w:pPr>
              <w:numPr>
                <w:ilvl w:val="0"/>
                <w:numId w:val="1"/>
              </w:numPr>
              <w:tabs>
                <w:tab w:val="left" w:pos="0"/>
                <w:tab w:val="left" w:pos="709"/>
                <w:tab w:val="left" w:pos="2268"/>
              </w:tabs>
              <w:jc w:val="both"/>
              <w:rPr>
                <w:sz w:val="22"/>
                <w:rFonts w:ascii="Garamond" w:hAnsi="Garamond"/>
              </w:rPr>
            </w:pPr>
            <w:r>
              <w:rPr>
                <w:sz w:val="22"/>
                <w:rFonts w:ascii="Garamond" w:hAnsi="Garamond"/>
              </w:rPr>
              <w:t xml:space="preserve">desnutrição ou risco de desnutrição não associado a outras doenças ou condições;</w:t>
            </w:r>
            <w:r>
              <w:rPr>
                <w:sz w:val="22"/>
                <w:rFonts w:ascii="Garamond" w:hAnsi="Garamond"/>
              </w:rPr>
              <w:t xml:space="preserve"> </w:t>
            </w:r>
            <w:r>
              <w:rPr>
                <w:sz w:val="22"/>
                <w:rFonts w:ascii="Garamond" w:hAnsi="Garamond"/>
              </w:rPr>
              <w:t xml:space="preserve">ou</w:t>
            </w:r>
          </w:p>
        </w:tc>
      </w:tr>
      <w:tr w:rsidR="00E57B69" w:rsidRPr="00B239EE" w14:paraId="062FEC4E" w14:textId="77777777" w:rsidTr="00FC7C3F">
        <w:tc>
          <w:tcPr>
            <w:tcW w:w="4660" w:type="dxa"/>
            <w:shd w:val="clear" w:color="auto" w:fill="auto"/>
          </w:tcPr>
          <w:p w14:paraId="57F5A7B7" w14:textId="77777777" w:rsidR="00E57B69" w:rsidRPr="00B239EE" w:rsidRDefault="00E57B69" w:rsidP="00E57B69">
            <w:pPr>
              <w:numPr>
                <w:ilvl w:val="0"/>
                <w:numId w:val="1"/>
              </w:numPr>
              <w:tabs>
                <w:tab w:val="left" w:pos="0"/>
                <w:tab w:val="left" w:pos="709"/>
                <w:tab w:val="left" w:pos="2268"/>
              </w:tabs>
              <w:jc w:val="both"/>
              <w:rPr>
                <w:sz w:val="22"/>
                <w:rFonts w:ascii="Garamond" w:hAnsi="Garamond"/>
              </w:rPr>
            </w:pPr>
            <w:r>
              <w:rPr>
                <w:sz w:val="22"/>
                <w:rFonts w:ascii="Garamond" w:hAnsi="Garamond"/>
              </w:rPr>
              <w:t xml:space="preserve">desidratação ou risco de desidratação;</w:t>
            </w:r>
            <w:r>
              <w:rPr>
                <w:sz w:val="22"/>
                <w:rFonts w:ascii="Garamond" w:hAnsi="Garamond"/>
              </w:rPr>
              <w:t xml:space="preserve"> </w:t>
            </w:r>
            <w:r>
              <w:rPr>
                <w:sz w:val="22"/>
                <w:rFonts w:ascii="Garamond" w:hAnsi="Garamond"/>
              </w:rPr>
              <w:t xml:space="preserve">ou</w:t>
            </w:r>
          </w:p>
        </w:tc>
      </w:tr>
      <w:tr w:rsidR="00E57B69" w:rsidRPr="007B5716" w14:paraId="6062D995" w14:textId="77777777" w:rsidTr="00FC7C3F">
        <w:tc>
          <w:tcPr>
            <w:tcW w:w="4660" w:type="dxa"/>
            <w:shd w:val="clear" w:color="auto" w:fill="auto"/>
          </w:tcPr>
          <w:p w14:paraId="7789111F" w14:textId="77777777" w:rsidR="00E57B69" w:rsidRPr="007B5716" w:rsidRDefault="00E57B69" w:rsidP="00E57B69">
            <w:pPr>
              <w:numPr>
                <w:ilvl w:val="0"/>
                <w:numId w:val="1"/>
              </w:numPr>
              <w:tabs>
                <w:tab w:val="left" w:pos="0"/>
                <w:tab w:val="left" w:pos="709"/>
                <w:tab w:val="left" w:pos="2268"/>
              </w:tabs>
              <w:jc w:val="both"/>
              <w:rPr>
                <w:sz w:val="22"/>
                <w:rFonts w:ascii="Garamond" w:hAnsi="Garamond"/>
              </w:rPr>
            </w:pPr>
            <w:r>
              <w:rPr>
                <w:sz w:val="22"/>
                <w:rFonts w:ascii="Garamond" w:hAnsi="Garamond"/>
              </w:rPr>
              <w:t xml:space="preserve">problemas de deglutição;</w:t>
            </w:r>
          </w:p>
        </w:tc>
      </w:tr>
      <w:tr w:rsidR="00E57B69" w:rsidRPr="007B5716" w14:paraId="3EBDB2AA" w14:textId="77777777" w:rsidTr="00FC7C3F">
        <w:tc>
          <w:tcPr>
            <w:tcW w:w="4660" w:type="dxa"/>
            <w:shd w:val="clear" w:color="auto" w:fill="auto"/>
          </w:tcPr>
          <w:p w14:paraId="4B4204C4" w14:textId="77777777" w:rsidR="00E57B69" w:rsidRPr="007B5716" w:rsidRDefault="00E57B69" w:rsidP="00FC7C3F">
            <w:pPr>
              <w:tabs>
                <w:tab w:val="left" w:pos="0"/>
                <w:tab w:val="left" w:pos="709"/>
                <w:tab w:val="left" w:pos="2268"/>
              </w:tabs>
              <w:jc w:val="both"/>
              <w:rPr>
                <w:rFonts w:ascii="Garamond" w:hAnsi="Garamond"/>
                <w:sz w:val="22"/>
                <w:lang w:val="nl-BE"/>
              </w:rPr>
            </w:pPr>
          </w:p>
        </w:tc>
      </w:tr>
      <w:tr w:rsidR="00E57B69" w:rsidRPr="007623AC" w14:paraId="42588F4F" w14:textId="77777777" w:rsidTr="00FC7C3F">
        <w:tc>
          <w:tcPr>
            <w:tcW w:w="4660" w:type="dxa"/>
            <w:shd w:val="clear" w:color="auto" w:fill="auto"/>
          </w:tcPr>
          <w:p w14:paraId="0E7BE6F9" w14:textId="77777777" w:rsidR="00E57B69" w:rsidRPr="007623AC" w:rsidRDefault="00E57B69" w:rsidP="00FC7C3F">
            <w:pPr>
              <w:tabs>
                <w:tab w:val="left" w:pos="0"/>
                <w:tab w:val="left" w:pos="709"/>
                <w:tab w:val="left" w:pos="2268"/>
              </w:tabs>
              <w:jc w:val="both"/>
              <w:rPr>
                <w:b/>
                <w:sz w:val="22"/>
                <w:rFonts w:ascii="Garamond" w:hAnsi="Garamond"/>
              </w:rPr>
            </w:pPr>
            <w:r>
              <w:rPr>
                <w:sz w:val="22"/>
                <w:rFonts w:ascii="Garamond" w:hAnsi="Garamond"/>
              </w:rPr>
              <w:t xml:space="preserve">4.º serviços fora de um hospital registados em conformidade com o Decreto Real de 15 de novembro de 2017 relativo à notificação de um ponto de contacto de vigilância de dispositivos médicos e ao registo de distribuidores e executantes de dispositivos médicos e sujeitos a receita médica;</w:t>
            </w:r>
          </w:p>
        </w:tc>
      </w:tr>
      <w:tr w:rsidR="00E57B69" w:rsidRPr="00E57B69" w14:paraId="49CD1A5A" w14:textId="77777777" w:rsidTr="00FC7C3F">
        <w:tc>
          <w:tcPr>
            <w:tcW w:w="4660" w:type="dxa"/>
            <w:shd w:val="clear" w:color="auto" w:fill="auto"/>
          </w:tcPr>
          <w:p w14:paraId="5A7EB405" w14:textId="77777777" w:rsidR="00E57B69" w:rsidRPr="00904C39" w:rsidRDefault="00E57B69" w:rsidP="00FC7C3F">
            <w:pPr>
              <w:tabs>
                <w:tab w:val="left" w:pos="0"/>
                <w:tab w:val="left" w:pos="709"/>
                <w:tab w:val="left" w:pos="2268"/>
              </w:tabs>
              <w:jc w:val="both"/>
              <w:rPr>
                <w:rFonts w:ascii="Garamond" w:hAnsi="Garamond"/>
                <w:b/>
                <w:sz w:val="22"/>
                <w:lang w:val="en-US"/>
              </w:rPr>
            </w:pPr>
          </w:p>
        </w:tc>
      </w:tr>
      <w:tr w:rsidR="00E57B69" w:rsidRPr="007623AC" w14:paraId="22BD29E8" w14:textId="77777777" w:rsidTr="00FC7C3F">
        <w:tc>
          <w:tcPr>
            <w:tcW w:w="4660" w:type="dxa"/>
            <w:shd w:val="clear" w:color="auto" w:fill="auto"/>
          </w:tcPr>
          <w:p w14:paraId="5C78D62B" w14:textId="77777777" w:rsidR="00E57B69" w:rsidRPr="007623AC" w:rsidRDefault="00E57B69" w:rsidP="00FC7C3F">
            <w:pPr>
              <w:tabs>
                <w:tab w:val="left" w:pos="0"/>
                <w:tab w:val="left" w:pos="709"/>
                <w:tab w:val="left" w:pos="2268"/>
              </w:tabs>
              <w:jc w:val="both"/>
              <w:rPr>
                <w:sz w:val="22"/>
                <w:rFonts w:ascii="Garamond" w:hAnsi="Garamond"/>
              </w:rPr>
            </w:pPr>
            <w:r>
              <w:rPr>
                <w:sz w:val="22"/>
                <w:rFonts w:ascii="Garamond" w:hAnsi="Garamond"/>
              </w:rPr>
              <w:t xml:space="preserve">5.º comércio a retalho, desde que os alimentos para fins médicos sejam administrados por via oral e destinados a adultos e a satisfazer as necessidades nutricionais em caso de desnutrição ou risco de desnutrição não associado a outras doenças ou condições.</w:t>
            </w:r>
          </w:p>
        </w:tc>
      </w:tr>
      <w:tr w:rsidR="00E57B69" w:rsidRPr="00E57B69" w14:paraId="0E60332F" w14:textId="77777777" w:rsidTr="00FC7C3F">
        <w:tc>
          <w:tcPr>
            <w:tcW w:w="4660" w:type="dxa"/>
            <w:shd w:val="clear" w:color="auto" w:fill="auto"/>
          </w:tcPr>
          <w:p w14:paraId="4DFD6D8A" w14:textId="77777777" w:rsidR="00E57B69" w:rsidRPr="00904C39" w:rsidRDefault="00E57B69" w:rsidP="00FC7C3F">
            <w:pPr>
              <w:tabs>
                <w:tab w:val="left" w:pos="0"/>
                <w:tab w:val="left" w:pos="709"/>
                <w:tab w:val="left" w:pos="2268"/>
              </w:tabs>
              <w:jc w:val="both"/>
              <w:rPr>
                <w:rFonts w:ascii="Garamond" w:hAnsi="Garamond"/>
                <w:sz w:val="22"/>
                <w:lang w:val="en-US"/>
              </w:rPr>
            </w:pPr>
          </w:p>
        </w:tc>
      </w:tr>
      <w:tr w:rsidR="00E57B69" w:rsidRPr="007623AC" w14:paraId="3B43C8CF" w14:textId="77777777" w:rsidTr="00FC7C3F">
        <w:tc>
          <w:tcPr>
            <w:tcW w:w="4660" w:type="dxa"/>
            <w:shd w:val="clear" w:color="auto" w:fill="auto"/>
          </w:tcPr>
          <w:p w14:paraId="1B9842B5" w14:textId="77777777" w:rsidR="00E57B69" w:rsidRPr="007623AC" w:rsidRDefault="00E57B69" w:rsidP="00FC7C3F">
            <w:pPr>
              <w:tabs>
                <w:tab w:val="left" w:pos="0"/>
                <w:tab w:val="left" w:pos="709"/>
                <w:tab w:val="left" w:pos="2268"/>
              </w:tabs>
              <w:jc w:val="both"/>
              <w:rPr>
                <w:b/>
                <w:sz w:val="22"/>
                <w:rFonts w:ascii="Garamond" w:hAnsi="Garamond"/>
              </w:rPr>
            </w:pPr>
            <w:r>
              <w:rPr>
                <w:sz w:val="22"/>
                <w:b/>
                <w:rFonts w:ascii="Garamond" w:hAnsi="Garamond"/>
              </w:rPr>
              <w:t xml:space="preserve">Artigo 3.º</w:t>
            </w:r>
            <w:r>
              <w:rPr>
                <w:sz w:val="22"/>
                <w:rFonts w:ascii="Garamond" w:hAnsi="Garamond"/>
              </w:rPr>
              <w:t xml:space="preserve">.</w:t>
            </w:r>
            <w:r>
              <w:rPr>
                <w:sz w:val="22"/>
                <w:rFonts w:ascii="Garamond" w:hAnsi="Garamond"/>
              </w:rPr>
              <w:t xml:space="preserve"> </w:t>
            </w:r>
            <w:r>
              <w:rPr>
                <w:sz w:val="22"/>
                <w:rFonts w:ascii="Garamond" w:hAnsi="Garamond"/>
              </w:rPr>
              <w:t xml:space="preserve">Uma técnica de comunicação à distância, venda e/ou entrega ao utilizador final de alimentos destinados a fins médicos só é permitida por:</w:t>
            </w:r>
          </w:p>
        </w:tc>
      </w:tr>
      <w:tr w:rsidR="00E57B69" w:rsidRPr="007623AC" w14:paraId="485FD7A6" w14:textId="77777777" w:rsidTr="00FC7C3F">
        <w:tc>
          <w:tcPr>
            <w:tcW w:w="4660" w:type="dxa"/>
            <w:shd w:val="clear" w:color="auto" w:fill="auto"/>
          </w:tcPr>
          <w:p w14:paraId="327B89BD" w14:textId="77777777" w:rsidR="00E57B69" w:rsidRPr="007623AC" w:rsidRDefault="00E57B69" w:rsidP="00FC7C3F">
            <w:pPr>
              <w:tabs>
                <w:tab w:val="left" w:pos="0"/>
                <w:tab w:val="left" w:pos="709"/>
                <w:tab w:val="left" w:pos="2268"/>
              </w:tabs>
              <w:jc w:val="both"/>
              <w:rPr>
                <w:sz w:val="22"/>
                <w:rFonts w:ascii="Garamond" w:hAnsi="Garamond"/>
              </w:rPr>
            </w:pPr>
            <w:r>
              <w:rPr>
                <w:sz w:val="22"/>
                <w:rFonts w:ascii="Garamond" w:hAnsi="Garamond"/>
              </w:rPr>
              <w:t xml:space="preserve">1° farmacêuticos;</w:t>
            </w:r>
          </w:p>
        </w:tc>
      </w:tr>
      <w:tr w:rsidR="00E57B69" w:rsidRPr="007623AC" w14:paraId="100FF619" w14:textId="77777777" w:rsidTr="00FC7C3F">
        <w:tc>
          <w:tcPr>
            <w:tcW w:w="4660" w:type="dxa"/>
            <w:shd w:val="clear" w:color="auto" w:fill="auto"/>
          </w:tcPr>
          <w:p w14:paraId="1FE0D9CB" w14:textId="77777777" w:rsidR="00E57B69" w:rsidRPr="007623AC" w:rsidRDefault="00E57B69" w:rsidP="00FC7C3F">
            <w:pPr>
              <w:tabs>
                <w:tab w:val="left" w:pos="0"/>
                <w:tab w:val="left" w:pos="709"/>
                <w:tab w:val="left" w:pos="2268"/>
              </w:tabs>
              <w:jc w:val="both"/>
              <w:rPr>
                <w:rFonts w:ascii="Garamond" w:hAnsi="Garamond"/>
                <w:sz w:val="22"/>
                <w:lang w:val="nl-BE"/>
              </w:rPr>
            </w:pPr>
          </w:p>
        </w:tc>
      </w:tr>
      <w:tr w:rsidR="00E57B69" w:rsidRPr="007623AC" w14:paraId="5210B9E5" w14:textId="77777777" w:rsidTr="00FC7C3F">
        <w:tc>
          <w:tcPr>
            <w:tcW w:w="4660" w:type="dxa"/>
            <w:shd w:val="clear" w:color="auto" w:fill="auto"/>
          </w:tcPr>
          <w:p w14:paraId="4F60DD25" w14:textId="77777777" w:rsidR="00E57B69" w:rsidRPr="007623AC" w:rsidRDefault="00E57B69" w:rsidP="00FC7C3F">
            <w:pPr>
              <w:tabs>
                <w:tab w:val="left" w:pos="0"/>
                <w:tab w:val="left" w:pos="709"/>
                <w:tab w:val="left" w:pos="2268"/>
              </w:tabs>
              <w:jc w:val="both"/>
              <w:rPr>
                <w:sz w:val="22"/>
                <w:rFonts w:ascii="Garamond" w:hAnsi="Garamond"/>
              </w:rPr>
            </w:pPr>
            <w:r>
              <w:rPr>
                <w:sz w:val="22"/>
                <w:rFonts w:ascii="Garamond" w:hAnsi="Garamond"/>
              </w:rPr>
              <w:t xml:space="preserve">2.º comércio a retalho, conforme descrito no ponto 5 do artigo 2.º.</w:t>
            </w:r>
          </w:p>
        </w:tc>
      </w:tr>
      <w:tr w:rsidR="00E57B69" w:rsidRPr="00E57B69" w14:paraId="49F2A875" w14:textId="77777777" w:rsidTr="00FC7C3F">
        <w:tc>
          <w:tcPr>
            <w:tcW w:w="4660" w:type="dxa"/>
            <w:shd w:val="clear" w:color="auto" w:fill="auto"/>
          </w:tcPr>
          <w:p w14:paraId="66B85DC8" w14:textId="77777777" w:rsidR="00E57B69" w:rsidRPr="00904C39" w:rsidRDefault="00E57B69" w:rsidP="00FC7C3F">
            <w:pPr>
              <w:tabs>
                <w:tab w:val="left" w:pos="0"/>
                <w:tab w:val="left" w:pos="709"/>
                <w:tab w:val="left" w:pos="2268"/>
              </w:tabs>
              <w:jc w:val="both"/>
              <w:rPr>
                <w:rFonts w:ascii="Garamond" w:hAnsi="Garamond"/>
                <w:sz w:val="22"/>
                <w:lang w:val="en-US"/>
              </w:rPr>
            </w:pPr>
          </w:p>
        </w:tc>
      </w:tr>
      <w:tr w:rsidR="00E57B69" w:rsidRPr="00E57B69" w14:paraId="0673F5AD" w14:textId="77777777" w:rsidTr="00FC7C3F">
        <w:tc>
          <w:tcPr>
            <w:tcW w:w="4660" w:type="dxa"/>
          </w:tcPr>
          <w:p w14:paraId="7D35726F" w14:textId="77777777" w:rsidR="00E57B69" w:rsidRPr="00904C39" w:rsidRDefault="00E57B69" w:rsidP="00FC7C3F">
            <w:pPr>
              <w:rPr>
                <w:rFonts w:ascii="Garamond" w:hAnsi="Garamond"/>
                <w:b/>
                <w:sz w:val="22"/>
                <w:lang w:val="en-US"/>
              </w:rPr>
            </w:pPr>
          </w:p>
        </w:tc>
      </w:tr>
      <w:tr w:rsidR="00E57B69" w:rsidRPr="009E37B6" w14:paraId="2E0CA4F6" w14:textId="77777777" w:rsidTr="00FC7C3F">
        <w:trPr>
          <w:trHeight w:val="301"/>
        </w:trPr>
        <w:tc>
          <w:tcPr>
            <w:tcW w:w="4660" w:type="dxa"/>
          </w:tcPr>
          <w:p w14:paraId="29A4B050" w14:textId="77777777" w:rsidR="00E57B69" w:rsidRPr="009E37B6" w:rsidRDefault="00E57B69" w:rsidP="00FC7C3F">
            <w:pPr>
              <w:tabs>
                <w:tab w:val="left" w:pos="0"/>
                <w:tab w:val="left" w:pos="709"/>
                <w:tab w:val="left" w:pos="2268"/>
              </w:tabs>
              <w:jc w:val="both"/>
              <w:rPr>
                <w:b/>
                <w:sz w:val="22"/>
                <w:rFonts w:ascii="Garamond" w:hAnsi="Garamond"/>
              </w:rPr>
            </w:pPr>
            <w:r>
              <w:rPr>
                <w:sz w:val="22"/>
                <w:rFonts w:ascii="Garamond" w:hAnsi="Garamond"/>
              </w:rPr>
              <w:t xml:space="preserve">                 </w:t>
            </w:r>
            <w:r>
              <w:rPr>
                <w:sz w:val="22"/>
                <w:rFonts w:ascii="Garamond" w:hAnsi="Garamond"/>
              </w:rPr>
              <w:t xml:space="preserve">Bruxelas, xxx</w:t>
            </w:r>
          </w:p>
        </w:tc>
      </w:tr>
      <w:tr w:rsidR="00E57B69" w:rsidRPr="009E37B6" w14:paraId="23A47852" w14:textId="77777777" w:rsidTr="00FC7C3F">
        <w:trPr>
          <w:trHeight w:val="301"/>
        </w:trPr>
        <w:tc>
          <w:tcPr>
            <w:tcW w:w="4660" w:type="dxa"/>
          </w:tcPr>
          <w:p w14:paraId="5E70ACDD" w14:textId="77777777" w:rsidR="00E57B69" w:rsidRPr="00E57B69" w:rsidRDefault="00E57B69" w:rsidP="00FC7C3F">
            <w:pPr>
              <w:tabs>
                <w:tab w:val="left" w:pos="0"/>
                <w:tab w:val="left" w:pos="709"/>
                <w:tab w:val="left" w:pos="2268"/>
              </w:tabs>
              <w:jc w:val="both"/>
              <w:rPr>
                <w:rFonts w:ascii="Garamond" w:hAnsi="Garamond"/>
                <w:sz w:val="22"/>
                <w:lang w:val="nl-BE"/>
              </w:rPr>
            </w:pPr>
          </w:p>
        </w:tc>
      </w:tr>
      <w:tr w:rsidR="00E57B69" w:rsidRPr="009E37B6" w14:paraId="722E0BA7" w14:textId="77777777" w:rsidTr="00FC7C3F">
        <w:trPr>
          <w:trHeight w:val="301"/>
        </w:trPr>
        <w:tc>
          <w:tcPr>
            <w:tcW w:w="4660" w:type="dxa"/>
          </w:tcPr>
          <w:p w14:paraId="1EF683E1" w14:textId="64949DE5" w:rsidR="00E57B69" w:rsidRPr="00E57B69" w:rsidRDefault="00E57B69" w:rsidP="00FC7C3F">
            <w:pPr>
              <w:tabs>
                <w:tab w:val="left" w:pos="0"/>
                <w:tab w:val="left" w:pos="709"/>
                <w:tab w:val="left" w:pos="2268"/>
              </w:tabs>
              <w:jc w:val="both"/>
              <w:rPr>
                <w:sz w:val="22"/>
                <w:rFonts w:ascii="Garamond" w:hAnsi="Garamond"/>
              </w:rPr>
            </w:pPr>
            <w:r>
              <w:rPr>
                <w:sz w:val="22"/>
                <w:rFonts w:ascii="Garamond" w:hAnsi="Garamond"/>
              </w:rPr>
              <w:t xml:space="preserve">Frank VANDENBROUCKE</w:t>
            </w:r>
          </w:p>
        </w:tc>
      </w:tr>
      <w:tr w:rsidR="00E57B69" w:rsidRPr="009E37B6" w14:paraId="09B2B84D" w14:textId="77777777" w:rsidTr="00FC7C3F">
        <w:trPr>
          <w:trHeight w:val="301"/>
        </w:trPr>
        <w:tc>
          <w:tcPr>
            <w:tcW w:w="4660" w:type="dxa"/>
          </w:tcPr>
          <w:p w14:paraId="74480347" w14:textId="49B7C5D1" w:rsidR="00E57B69" w:rsidRPr="00E57B69" w:rsidRDefault="00E57B69" w:rsidP="00FC7C3F">
            <w:pPr>
              <w:tabs>
                <w:tab w:val="left" w:pos="0"/>
                <w:tab w:val="left" w:pos="709"/>
                <w:tab w:val="left" w:pos="2268"/>
              </w:tabs>
              <w:jc w:val="both"/>
              <w:rPr>
                <w:sz w:val="22"/>
                <w:rFonts w:ascii="Garamond" w:hAnsi="Garamond"/>
              </w:rPr>
            </w:pPr>
            <w:r>
              <w:rPr>
                <w:sz w:val="22"/>
                <w:rFonts w:ascii="Garamond" w:hAnsi="Garamond"/>
              </w:rPr>
              <w:t xml:space="preserve">David CLARINVAL</w:t>
            </w:r>
          </w:p>
        </w:tc>
      </w:tr>
    </w:tbl>
    <w:p w14:paraId="4FE51EEF" w14:textId="77777777" w:rsidR="00816ED9" w:rsidRDefault="00816ED9"/>
    <w:sectPr w:rsidR="00816ED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E42CF"/>
    <w:multiLevelType w:val="hybridMultilevel"/>
    <w:tmpl w:val="6708F6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B69"/>
    <w:rsid w:val="00816ED9"/>
    <w:rsid w:val="00823C40"/>
    <w:rsid w:val="00904C39"/>
    <w:rsid w:val="00E57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10D76"/>
  <w15:chartTrackingRefBased/>
  <w15:docId w15:val="{5AAA6A78-B538-491E-A2C6-720FEDFF5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B69"/>
    <w:pPr>
      <w:spacing w:after="0" w:line="240" w:lineRule="auto"/>
    </w:pPr>
    <w:rPr>
      <w:rFonts w:ascii="Times New Roman" w:eastAsia="Times New Roman" w:hAnsi="Times New Roman" w:cs="Times New Roman"/>
      <w:sz w:val="20"/>
      <w:szCs w:val="20"/>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569</Words>
  <Characters>3246</Characters>
  <Application>Microsoft Office Word</Application>
  <DocSecurity>0</DocSecurity>
  <Lines>27</Lines>
  <Paragraphs>7</Paragraphs>
  <ScaleCrop>false</ScaleCrop>
  <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Heyvaert Els</dc:creator>
  <cp:keywords/>
  <dc:description/>
  <cp:lastModifiedBy>Dimitris Dimitriadis</cp:lastModifiedBy>
  <cp:revision>3</cp:revision>
  <dcterms:created xsi:type="dcterms:W3CDTF">2021-06-21T16:15:00Z</dcterms:created>
  <dcterms:modified xsi:type="dcterms:W3CDTF">2021-06-24T13:47:00Z</dcterms:modified>
</cp:coreProperties>
</file>