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Βασίλειο του Βελγίου</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ΟΜΟΣΠΟΝΔΙΑΚΗ ΥΠΗΡΕΣΙΑ ΔΗΜΟΣΙΑΣ ΥΓΕΙΑΣ, ΑΣΦΑΛΕΙΑΣ ΤΡΟΦΙΚΗΣ ΑΛΥΣΙΔΑΣ ΚΑΙ ΠΕΡΙΒΑΛΛΟΝΤΟΣ</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Βασιλικό διάταγμα για την τροποποίηση του βασιλικού διατάγματος της 18ης Φεβρουαρίου 1991 σχετικά με τα τρόφιμα που προορίζονται για ειδική διατροφή</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Ο ΦΙΛΙΠΠΟΣ, Βασιλιάς των Βέλγων,</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Χαιρετίζει όλους τους πολίτες, παρόντες και μελλοντικούς.</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έχοντας υπόψη τον κανονισμό (ΕΕ) αριθ. 609/2013 του Ευρωπαϊκού Κοινοβουλίου και του Συμβουλίου, της 12ης Ιουνίου 2013, για τα τρόφιμα τα οποία προορίζονται για βρέφη και μικρά παιδιά και για τα τρόφιμα που προορίζονται για ειδικούς ιατρικούς σκοπούς, και ως υποκατάστατα του συνόλου του διαιτολογίου για τον έλεγχο του σωματικού βάρους και για την κατάργηση της οδηγίας 92/52/ΕΟΚ του Συμβουλίου, των οδηγιών της Επιτροπής 96/8/ΕΚ, 1999/21/ΕΚ, 2006/125/ΕΚ και 2006/141/ΕΚ, της οδηγίας 2009/39/ΕΚ του Ευρωπαϊκού Κοινοβουλίου και του Συμβουλίου και των κανονισμών της Επιτροπής (ΕΚ) αριθ. 41/2009 και (ΕΚ) αριθ. 953/2009,</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έχοντας υπόψη τον </w:t>
            </w:r>
            <w:r>
              <w:rPr>
                <w:rFonts w:ascii="Garamond" w:hAnsi="Garamond"/>
                <w:color w:val="444444"/>
                <w:sz w:val="22"/>
                <w:shd w:val="clear" w:color="auto" w:fill="FFFFFF"/>
              </w:rPr>
              <w:t>κατ' εξουσιοδότηση κανονισμό (ΕΕ) 2016/128 της Επιτροπής, της 25ης Σεπτεμβρίου 2015, για τη συμπλήρωση του κανονισμού (ΕΕ) αριθ. 609/2013 του Ευρωπαϊκού Κοινοβουλίου και του Συμβουλίου όσον αφορά τις ειδικές απαιτήσεις ως προς τη σύνθεση και τις πληροφορίες για τα τρόφιμα που προορίζονται για ειδικούς ιατρικούς σκοπούς,</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έχοντας υπόψη τον νόμο της 24ης Ιανουαρίου 1977 περί προστασίας της υγείας των καταναλωτών από τα τρόφιμα και άλλα προϊόντα, όπως τροποποιήθηκε με τον νόμο της 22ας Μαρτίου 1989, άρθρο 2 που τροποποιήθηκε με τον νόμο της 22ας Μαρτίου 1989,</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έχοντας υπόψη το βασιλικό διάταγμα της 18ης Φεβρουαρίου 1991 για τα τρόφιμα που προορίζονται για ειδική διατροφή,</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έχοντας υπόψη την κοινοποίηση προς την Ευρωπαϊκή Επιτροπή της 21ης Ιουνίου 2021, κατ’ εφαρμογή του άρθρου 5 μέρος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έχοντας υπόψη τη γνωμοδότηση αριθ. 9371 του Ανώτατου Συμβουλίου για τη δημόσια υγεία που θεσπίστηκε στις 30 Ιουνίου 2017·</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έχοντας υπόψη τη γνώμη του Επιθεωρητή Οικονομικών, που εκδόθηκε στις 22 Δεκεμβρίου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έχοντας υπόψη τις γνωμοδοτήσεις αριθ. 71.064/3 και αριθ. 71.065/3 του Συμβουλίου της Επικρατείας, που εκδόθηκε στις 18 Μαρτίου 2022, σύμφωνα με το άρθρο 84 παράγραφος 1 πρώτο εδάφιο σημείο 2 των νόμων του Συμβουλίου της Επικρατείας, που συντονίστηκαν στις 12 Ιανουαρίου 1973,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κατόπιν εισήγησης του υπουργού Υγείας και του υπουργού Γεωργίας,</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Αποφασίζονται τα εξής</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lastRenderedPageBreak/>
              <w:t xml:space="preserve">Άρθρο 1. </w:t>
            </w:r>
            <w:r>
              <w:rPr>
                <w:rFonts w:ascii="Garamond" w:hAnsi="Garamond"/>
                <w:sz w:val="22"/>
              </w:rPr>
              <w:t>Το άρθρο 1 παράγραφος 1 του βασιλικού διατάγματος της 18ης Φεβρουαρίου 1991 για τα τρόφιμα που προορίζονται για ειδική διατροφή, όπως τροποποιήθηκε τελευταία με το βασιλικό διάταγμα της 19ης Νοεμβρίου 2007, συμπληρώνεται από τη διάταξη του 11°, η οποία διατυπώνεται ως εξής:</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t>«11° Εξωνοσοκομειακές υπηρεσίες: οι φορείς εκμετάλλευσης, οι οποίοι, στο πλαίσιο της εξωνοσοκομειακής ιατρικής περίθαλψης ασθενή, εγκαθιστούν, συντηρούν και/ή αφαιρούν ιατροτεχνολογικά προϊόντα που σχετίζονται με την εντερική σίτιση μέσω σωλήνα στην οικία του ασθενή».</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5B367B74"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Άρθρο 2</w:t>
            </w:r>
            <w:r w:rsidR="001734A4">
              <w:rPr>
                <w:rFonts w:ascii="Garamond" w:hAnsi="Garamond"/>
                <w:b/>
                <w:sz w:val="22"/>
                <w:lang w:val="hr-HR"/>
              </w:rPr>
              <w:t>.</w:t>
            </w:r>
            <w:r>
              <w:rPr>
                <w:rFonts w:ascii="Garamond" w:hAnsi="Garamond"/>
                <w:b/>
                <w:sz w:val="22"/>
              </w:rPr>
              <w:t xml:space="preserve"> </w:t>
            </w:r>
            <w:r>
              <w:rPr>
                <w:rFonts w:ascii="Garamond" w:hAnsi="Garamond"/>
                <w:sz w:val="22"/>
              </w:rPr>
              <w:t>Το παράρτημα του ίδιου διατάγματος τροποποιείται σύμφωνα με το παράρτημα του παρόντος διατάγματος.</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Άρθρο 3.</w:t>
            </w:r>
            <w:r>
              <w:rPr>
                <w:rFonts w:ascii="Garamond" w:hAnsi="Garamond"/>
                <w:sz w:val="22"/>
              </w:rPr>
              <w:t xml:space="preserve"> Αρμόδιοι για την εφαρμογή του παρόντος διατάγματος είναι ο υπουργός Δημόσιας Υγείας και ο υπουργός Γεωργίας, καθείς στο πεδίο αρμοδιότητάς του.</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Βρυξέλλες, 1 Σεπτεμβρίου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Εξ ονόματος του Βασιλιά:</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Ο υπουργός Δημόσιας Υγείας,</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Ο υπουργός Γεωργίας,</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Παράρτημα του βασιλικού διατάγματος για την τροποποίηση του βασιλικού διατάγματος της 18ης Φεβρουαρίου 1991 για τα τρόφιμα που προορίζονται για ειδική διατροφή</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Παράρτημα του βασιλικού διατάγματος της 18ης Φεβρουαρίου 1991 για τα τρόφιμα που προορίζονται για ειδική διατροφή»</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Στο παράρτημα του βασιλικού διατάγματος της 18ης Φεβρουαρίου 1991 για τα τρόφιμα που προορίζονται για ειδική διατροφή τροποποιούνται οι ακόλουθες τροποποιήσεις:</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 το κείμενο «τρόφιμα για ειδικούς ιατρικούς σκοπούς» αντικαθίσταται στο μέρος 4 από το κείμενο «τρόφιμα για ειδικούς ιατρικούς σκοπούς»·</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Το σημείο 4.2.4. 2° αντικαθίσταται από το ακόλουθο κείμενο:</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Πωλήσεις και/ή παράδοση</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Η πώληση ή/και η παράδοση στον τελικό χρήστη τροφίμων που προορίζονται για ιατρικούς σκοπούς επιτρέπεται μόνο από: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φαρμακείο λιανικής πώλησης (φαρμακοποιό)·</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μονάδες υγειονομικής περίθαλψης αναγνωρισμένες από έναν από τους ομοσπονδιακούς φορείς, υπό την προϋπόθεση ότι τα τρόφιμα για ιατρικούς σκοπούς παρέχονται βάσει ιατρικής συνταγής και μόνο σε ασθενείς που έχουν νοσηλευτεί·</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μονάδες υγειονομικής περίθαλψης εγκεκριμένα από έναν από τους ομοσπονδιακούς φορείς και μόνο σε ασθενείς, που έχουν νοσηλευτεί, για διατροφή για ιατρικούς σκοπούς η οποία χορηγείται από το στόμα και προορίζεται για ενήλικες καθώς και για την κάλυψη διατροφικών αναγκών σε περίπτωση:</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 xml:space="preserve">υποσιτισμού ή κινδύνου υποσιτισμού που δεν συνδέεται με άλλες ασθένειες ή παθήσεις· εναλλακτικά </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 xml:space="preserve">αφυδάτωσης ή κινδύνου αφυδάτωσης· εναλλακτικά </w:t>
            </w:r>
          </w:p>
          <w:p w14:paraId="1D9C10B3" w14:textId="77777777" w:rsidR="006B677B" w:rsidRDefault="006B677B" w:rsidP="006B677B">
            <w:pPr>
              <w:jc w:val="both"/>
              <w:rPr>
                <w:rFonts w:ascii="Garamond" w:hAnsi="Garamond" w:cs="TimesNewRoman"/>
                <w:sz w:val="22"/>
                <w:szCs w:val="22"/>
              </w:rPr>
            </w:pPr>
            <w:r>
              <w:rPr>
                <w:rFonts w:ascii="Garamond" w:hAnsi="Garamond"/>
                <w:sz w:val="22"/>
              </w:rPr>
              <w:lastRenderedPageBreak/>
              <w:t>προβλημάτων κατάποσης·</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καταχωρισμένες εξωνοσοκομειακές υπηρεσίες σύμφωνα με το βασιλικό διάταγμα της 15ης Νοεμβρίου 2017 σχετικά με το ενδονοσοκομειακό σημείο επαφής υλικοεπαγρύπνησης και την καταχώριση των διανομέων ιατροτεχνολογικών προϊόντων, εφόσον τα τρόφιμα για ιατρικούς σκοπούς και υπόκεινται σε συνταγογράφηση·</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t>5. εμπόρους λιανικής πώλησης, υπό την προϋπόθεση ότι τα τρόφιμα για ιατρικούς σκοπούς χορηγούνται από το στόμα και προορίζονται για ενήλικες και για την κάλυψη διατροφικών αναγκών σε περίπτωση υποσιτισμού ή κινδύνου υποσιτισμού που δεν συνδέεται με άλλες ασθένειες ή παθήσεις.</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Επιτρέπεται η άσκηση της μεθόδου επικοινωνίας εξ αποστάσεως, πώλησης ή/και παράδοσης στον τελικό χρήστη τροφίμων, τα οποία προορίζονται για ιατρικούς σκοπούς, μόνο από:</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φαρμακείο λιανικής πώλησης (φαρμακοποιό)·</w:t>
            </w:r>
          </w:p>
          <w:p w14:paraId="5A24F3C3" w14:textId="77777777" w:rsidR="006B677B" w:rsidRDefault="006B677B" w:rsidP="006B677B">
            <w:pPr>
              <w:jc w:val="both"/>
              <w:rPr>
                <w:rFonts w:ascii="Garamond" w:hAnsi="Garamond" w:cs="TimesNewRoman"/>
                <w:sz w:val="22"/>
                <w:szCs w:val="22"/>
              </w:rPr>
            </w:pPr>
            <w:r>
              <w:rPr>
                <w:rFonts w:ascii="Garamond" w:hAnsi="Garamond"/>
                <w:sz w:val="22"/>
              </w:rPr>
              <w:t>2. εμπόρους λιανικής πώλησης, όπως περιγράφεται στο σημείο 4.2.4.1 του παρόντος παραρτήματος».</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Έχοντας υπόψη την απόφαση της 1ης Σεπτεμβρίου 2022 για την τροποποίηση του βασιλικού διατάγματος της 18ης Φεβρουαρίου 1991 σχετικά με τα τρόφιμα που προορίζονται για ειδική διατροφή.</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Εκ μέρους του Βασιλιά:</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Ο υπουργός Δημόσιας Υγείας,</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Ο υπουργός Γεωργίας,</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9347" w14:textId="77777777" w:rsidR="008173DA" w:rsidRDefault="008173DA" w:rsidP="001734A4">
      <w:r>
        <w:separator/>
      </w:r>
    </w:p>
  </w:endnote>
  <w:endnote w:type="continuationSeparator" w:id="0">
    <w:p w14:paraId="6372F29E" w14:textId="77777777" w:rsidR="008173DA" w:rsidRDefault="008173DA" w:rsidP="0017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FB74" w14:textId="77777777" w:rsidR="001734A4" w:rsidRDefault="0017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9AE0" w14:textId="77777777" w:rsidR="001734A4" w:rsidRDefault="0017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C178" w14:textId="77777777" w:rsidR="001734A4" w:rsidRDefault="0017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2437" w14:textId="77777777" w:rsidR="008173DA" w:rsidRDefault="008173DA" w:rsidP="001734A4">
      <w:r>
        <w:separator/>
      </w:r>
    </w:p>
  </w:footnote>
  <w:footnote w:type="continuationSeparator" w:id="0">
    <w:p w14:paraId="109020F2" w14:textId="77777777" w:rsidR="008173DA" w:rsidRDefault="008173DA" w:rsidP="0017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EEBD" w14:textId="77777777" w:rsidR="001734A4" w:rsidRDefault="0017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4B0E" w14:textId="77777777" w:rsidR="001734A4" w:rsidRDefault="00173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ACF9" w14:textId="77777777" w:rsidR="001734A4" w:rsidRDefault="00173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55687"/>
    <w:rsid w:val="001734A4"/>
    <w:rsid w:val="001F0D48"/>
    <w:rsid w:val="006B677B"/>
    <w:rsid w:val="008173DA"/>
    <w:rsid w:val="00915EC0"/>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el-GR" w:eastAsia="nl-NL"/>
    </w:rPr>
  </w:style>
  <w:style w:type="paragraph" w:styleId="Header">
    <w:name w:val="header"/>
    <w:basedOn w:val="Normal"/>
    <w:link w:val="HeaderChar"/>
    <w:uiPriority w:val="99"/>
    <w:unhideWhenUsed/>
    <w:rsid w:val="001734A4"/>
    <w:pPr>
      <w:tabs>
        <w:tab w:val="center" w:pos="4536"/>
        <w:tab w:val="right" w:pos="9072"/>
      </w:tabs>
    </w:pPr>
  </w:style>
  <w:style w:type="character" w:customStyle="1" w:styleId="HeaderChar">
    <w:name w:val="Header Char"/>
    <w:basedOn w:val="DefaultParagraphFont"/>
    <w:link w:val="Header"/>
    <w:uiPriority w:val="99"/>
    <w:rsid w:val="001734A4"/>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5515</Characters>
  <Application>Microsoft Office Word</Application>
  <DocSecurity>0</DocSecurity>
  <Lines>141</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3</cp:revision>
  <dcterms:created xsi:type="dcterms:W3CDTF">2023-01-16T07:14:00Z</dcterms:created>
  <dcterms:modified xsi:type="dcterms:W3CDTF">2023-01-16T07:25:00Z</dcterms:modified>
</cp:coreProperties>
</file>