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rFonts w:ascii="Garamond" w:eastAsia="Times New Roman" w:hAnsi="Garamond" w:cs="Times New Roman"/>
                <w:b/>
              </w:rPr>
            </w:pPr>
            <w:r>
              <w:rPr>
                <w:rFonts w:ascii="Garamond" w:hAnsi="Garamond"/>
                <w:b/>
              </w:rPr>
              <w:t>Kongeriget Belgien</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rFonts w:ascii="Garamond" w:eastAsia="Times New Roman" w:hAnsi="Garamond" w:cs="Times New Roman"/>
                <w:b/>
                <w:bCs/>
              </w:rPr>
            </w:pPr>
            <w:r>
              <w:rPr>
                <w:rFonts w:ascii="Garamond" w:hAnsi="Garamond"/>
                <w:b/>
              </w:rPr>
              <w:t>DEN FØDERALE OFFENTLIG TJENESTE FOR FOLKESUNDHEDEN, FØDEVAREKÆDENS SIKKERHED OG MILJØET</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rFonts w:ascii="Garamond" w:eastAsia="Times New Roman" w:hAnsi="Garamond" w:cs="Times New Roman"/>
                <w:bCs/>
              </w:rPr>
            </w:pPr>
            <w:r>
              <w:rPr>
                <w:rFonts w:ascii="Garamond" w:hAnsi="Garamond"/>
              </w:rPr>
              <w:t>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rFonts w:ascii="Garamond" w:eastAsia="Times New Roman" w:hAnsi="Garamond" w:cs="Times New Roman"/>
                <w:b/>
                <w:bCs/>
              </w:rPr>
            </w:pPr>
            <w:r>
              <w:rPr>
                <w:rFonts w:ascii="Garamond" w:hAnsi="Garamond"/>
                <w:b/>
                <w:color w:val="000000"/>
              </w:rPr>
              <w:t xml:space="preserve">Kongeligt dekret om forbud mod fremstilling og markedsføring af visse lignende produkter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rFonts w:ascii="Garamond" w:eastAsia="Times New Roman" w:hAnsi="Garamond" w:cs="Times New Roman"/>
                <w:b/>
                <w:bCs/>
              </w:rPr>
            </w:pPr>
            <w:r>
              <w:rPr>
                <w:rFonts w:ascii="Garamond" w:hAnsi="Garamond"/>
                <w:b/>
              </w:rPr>
              <w:t xml:space="preserve">Philippe, belgiernes konge,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Til alle tilstedeværende og kommende.</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Med henvisning til artikel 6, stk. 1, litra a), i lov af 24. januar 1977 om beskyttelse af forbrugernes sundhed i forbindelse med levnedsmidler og andre produkter, som ændret ved lov af 22. marts 1989 og artikel 18, stk. 1, erstattet af lov af 22. marts 1989 og ændret ved lov af 22. december 2003,</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Med henvisning til udtalelse fra finansinspektoratet fremsat den </w:t>
            </w:r>
            <w:r>
              <w:rPr>
                <w:rFonts w:ascii="Garamond" w:hAnsi="Garamond"/>
                <w:highlight w:val="yellow"/>
              </w:rPr>
              <w:t>XXX</w:t>
            </w:r>
            <w:r>
              <w:rPr>
                <w:rFonts w:ascii="Garamond" w:hAnsi="Garamond"/>
              </w:rPr>
              <w:t>,</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Med henvisning til budgetministerens samtykke, udstedt den </w:t>
            </w:r>
            <w:r>
              <w:rPr>
                <w:rFonts w:ascii="Garamond" w:hAnsi="Garamond"/>
                <w:highlight w:val="yellow"/>
              </w:rPr>
              <w:t>XXX</w:t>
            </w:r>
            <w:r>
              <w:rPr>
                <w:rFonts w:ascii="Garamond" w:hAnsi="Garamond"/>
              </w:rPr>
              <w:t>,</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Med henvisning til konsekvensanalysen af forordningen af </w:t>
            </w:r>
            <w:r>
              <w:rPr>
                <w:rFonts w:ascii="Garamond" w:hAnsi="Garamond"/>
                <w:highlight w:val="yellow"/>
              </w:rPr>
              <w:t>XXX</w:t>
            </w:r>
            <w:r>
              <w:rPr>
                <w:rFonts w:ascii="Garamond" w:hAnsi="Garamond"/>
              </w:rPr>
              <w:t>, der er foretaget i henhold til artikel 6 og 7 i lov af 15. december 2013, som indeholder forskellige bestemmelser om administrativ forenkling,</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Med henvisning til meddelelsen til Europa-Kommissionen af </w:t>
            </w:r>
            <w:r>
              <w:rPr>
                <w:rFonts w:ascii="Garamond" w:hAnsi="Garamond"/>
                <w:highlight w:val="yellow"/>
              </w:rPr>
              <w:t>XXX</w:t>
            </w:r>
            <w:r>
              <w:rPr>
                <w:rFonts w:ascii="Garamond" w:hAnsi="Garamond"/>
              </w:rPr>
              <w:t>i henhold til artikel 5, stk. 1, i Europa-Parlamentets og Rådets direktiv (EU) 2015/1535 af 9. september 2015 om en informationsprocedure med hensyn til tekniske forskrifter samt forskrifter for informationssamfundets tjenester,</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[Med henvisning til Europa-Kommissionens bemærkning efter meddelelse... af..............],</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Med henvisning til statsrådets udtalelse </w:t>
            </w:r>
            <w:r>
              <w:rPr>
                <w:rFonts w:ascii="Garamond" w:hAnsi="Garamond"/>
                <w:highlight w:val="yellow"/>
              </w:rPr>
              <w:t>XX</w:t>
            </w:r>
            <w:r>
              <w:rPr>
                <w:rFonts w:ascii="Garamond" w:hAnsi="Garamond"/>
              </w:rPr>
              <w:t xml:space="preserve"> fremsat den </w:t>
            </w:r>
            <w:r>
              <w:rPr>
                <w:rFonts w:ascii="Garamond" w:hAnsi="Garamond"/>
                <w:highlight w:val="yellow"/>
              </w:rPr>
              <w:t>XXX</w:t>
            </w:r>
            <w:r>
              <w:rPr>
                <w:rFonts w:ascii="Garamond" w:hAnsi="Garamond"/>
              </w:rPr>
              <w:t>, i henhold til artikel 84, § 1, stk 1, nr. 2, i retsakterne om statsrådet, konsolideret den 12. januar 1973,</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På forslag af ministeren for folkesundhed,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HAR JEG DEKRETERET OG DEKRETERER HERMED:</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rFonts w:ascii="Garamond" w:eastAsia="Times New Roman" w:hAnsi="Garamond" w:cs="Times New Roman"/>
                <w:b/>
                <w:bCs/>
              </w:rPr>
            </w:pPr>
            <w:r>
              <w:rPr>
                <w:rFonts w:ascii="Garamond" w:hAnsi="Garamond"/>
                <w:b/>
              </w:rPr>
              <w:t>Artikel 1.</w:t>
            </w:r>
            <w:r>
              <w:rPr>
                <w:rFonts w:ascii="Garamond" w:hAnsi="Garamond"/>
              </w:rPr>
              <w:t xml:space="preserve"> </w:t>
            </w:r>
            <w:r>
              <w:rPr>
                <w:rFonts w:ascii="Garamond" w:hAnsi="Garamond"/>
                <w:b/>
              </w:rPr>
              <w:t>Definitioner.</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I dette dekret forstås ved:</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(1) nikotinposer,</w:t>
            </w:r>
            <w:r>
              <w:rPr>
                <w:rFonts w:ascii="Times New Roman" w:hAnsi="Times New Roman"/>
                <w:sz w:val="20"/>
              </w:rPr>
              <w:t xml:space="preserve"> </w:t>
            </w:r>
            <w:r>
              <w:rPr>
                <w:rFonts w:ascii="Garamond" w:hAnsi="Garamond"/>
              </w:rPr>
              <w:t>et tobaksfrit produkt, der anvendes oralt, og som helt eller delvis består af syntetisk eller naturlig nikotin i form af pulver, partikler eller pasta eller i en hvilken som helst kombination af sådanne former, navnlig produkter, der præsenteres i poser eller i porøse poser,</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(2) cannabinoidpose, et produkt til oral brug, der består af eller indeholder et eller flere cannabinoider eller derivater deraf i form af pulver, partikler eller pasta eller i enhver kombination af sådanne former, herunder produkter, der præsenteres i poser eller i porøse poser,</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3) markedsføring, at stille produkter, uanset hvor de er fremstillet, til rådighed for forbrugere i Belgien mod eller uden betaling, herunder ved fjernsalg,</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(4) producent, enhver fysisk eller juridisk person, der fremstiller et produkt eller får et produkt udformet eller fremstillet, og som markedsfører produktet under eget navn eller mærke,</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(5) importøren i Belgien, den ejer eller person, der er berettiget til at råde over de produkter, der føres ind i Belgien,</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(6) </w:t>
            </w:r>
            <w:r>
              <w:rPr>
                <w:rFonts w:ascii="Times New Roman" w:hAnsi="Times New Roman"/>
                <w:sz w:val="20"/>
              </w:rPr>
              <w:t xml:space="preserve"> </w:t>
            </w:r>
            <w:r>
              <w:rPr>
                <w:rFonts w:ascii="Garamond" w:hAnsi="Garamond"/>
              </w:rPr>
              <w:t>forhandler,</w:t>
            </w:r>
            <w:r>
              <w:rPr>
                <w:rFonts w:ascii="Times New Roman" w:hAnsi="Times New Roman"/>
                <w:sz w:val="20"/>
              </w:rPr>
              <w:t xml:space="preserve"> </w:t>
            </w:r>
            <w:r>
              <w:rPr>
                <w:rFonts w:ascii="Garamond" w:hAnsi="Garamond"/>
              </w:rPr>
              <w:t>ethvert salgssted, hvor produkter bringes i omsætning, herunder af en fysisk person.</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Artikel 2.  Forbud</w:t>
            </w:r>
          </w:p>
          <w:p w14:paraId="0FA130E0"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Det er forbudt at markedsføre nikotinposer og cannabinoidposer.</w:t>
            </w:r>
          </w:p>
          <w:p w14:paraId="35DCBB85"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Artikel 3. Strafferetlige sanktioner</w:t>
            </w:r>
          </w:p>
          <w:p w14:paraId="623DB1A4"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1.</w:t>
            </w:r>
            <w:r>
              <w:rPr>
                <w:rFonts w:ascii="Garamond" w:hAnsi="Garamond"/>
                <w:b/>
              </w:rPr>
              <w:t xml:space="preserve"> </w:t>
            </w:r>
            <w:r>
              <w:rPr>
                <w:rFonts w:ascii="Garamond" w:hAnsi="Garamond"/>
              </w:rPr>
              <w:t>De produkter, der er anført i artikel 2 i dette dekret,</w:t>
            </w:r>
            <w:r>
              <w:rPr>
                <w:rFonts w:ascii="Times New Roman" w:hAnsi="Times New Roman"/>
                <w:sz w:val="20"/>
              </w:rPr>
              <w:t xml:space="preserve"> </w:t>
            </w:r>
            <w:r>
              <w:rPr>
                <w:rFonts w:ascii="Garamond" w:hAnsi="Garamond"/>
              </w:rPr>
              <w:t>skal betragtes som skadelige i henhold til artikel 18 i lov af 24. januar 1977 om beskyttelse af forbrugernes sundhed med hensyn til levnedsmidler og andre produkter.</w:t>
            </w:r>
          </w:p>
          <w:p w14:paraId="73D4D5B0"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2. Overtrædelser af dette dekret</w:t>
            </w:r>
            <w:r>
              <w:rPr>
                <w:rFonts w:ascii="Times New Roman" w:hAnsi="Times New Roman"/>
                <w:sz w:val="20"/>
              </w:rPr>
              <w:t xml:space="preserve"> </w:t>
            </w:r>
            <w:r>
              <w:rPr>
                <w:rFonts w:ascii="Garamond" w:hAnsi="Garamond"/>
              </w:rPr>
              <w:t>efterforskes, opdages og retsforfølges i overensstemmelse med bestemmelserne i ovennævnte lov af 24. januar 1977.</w:t>
            </w:r>
          </w:p>
          <w:p w14:paraId="4716BD78"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3. De sanktioner, der er omhandlet i artikel 13 i lov af 24. januar 1977 om beskyttelse af forbrugernes sundhed med hensyn til levnedsmidler og andre produkter, vil bestå i straf, hvis de indebærer overtrædelse af forbuddet i artikel 2 i dette dekret.</w:t>
            </w:r>
          </w:p>
          <w:p w14:paraId="4E6F7A3C"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rPr>
              <w:t>§ 4.</w:t>
            </w:r>
            <w:r>
              <w:rPr>
                <w:rFonts w:ascii="Garamond" w:hAnsi="Garamond"/>
                <w:b/>
              </w:rPr>
              <w:t xml:space="preserve"> </w:t>
            </w:r>
            <w:r>
              <w:rPr>
                <w:rFonts w:ascii="Garamond" w:hAnsi="Garamond"/>
              </w:rPr>
              <w:t>Producenten, importøren i Belgien og detailhandleren kan drages til ansvar for manglende overholdelse af artikel 2 i dette dekret.</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Artikel 4. Ikrafttræden</w:t>
            </w:r>
          </w:p>
          <w:p w14:paraId="07962271"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rPr>
              <w:t>Dette dekret træder i kraft tre måneder efter offentliggørelsen i Monitor Belge, bortset fra detailhandlere, for hvilken denne bekendtgørelse træder i kraft seks måneder efter offentliggørelsen i Monitor Belge.</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 xml:space="preserve">Artikel 5. Afsluttende bestemmelse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Sundhedsministeren er ansvarlig for gennemførelsen af dette dekret.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rFonts w:ascii="Garamond" w:eastAsia="Times New Roman" w:hAnsi="Garamond" w:cs="Times New Roman"/>
                <w:b/>
              </w:rPr>
            </w:pPr>
            <w:r>
              <w:rPr>
                <w:rFonts w:ascii="Garamond" w:hAnsi="Garamond"/>
              </w:rPr>
              <w:t>For Hans Majestæt Kongen:</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rFonts w:ascii="Garamond" w:eastAsia="Times New Roman" w:hAnsi="Garamond" w:cs="Times New Roman"/>
                <w:b/>
              </w:rPr>
            </w:pPr>
            <w:r>
              <w:rPr>
                <w:rFonts w:ascii="Garamond" w:hAnsi="Garamond"/>
                <w:sz w:val="20"/>
              </w:rPr>
              <w:t>Ministeren for offentlig sundhed,</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75026788" w:rsidR="00293B53" w:rsidRPr="00293B53" w:rsidRDefault="00293B53" w:rsidP="00293B53">
            <w:pPr>
              <w:tabs>
                <w:tab w:val="left" w:pos="2410"/>
              </w:tabs>
              <w:spacing w:after="0" w:line="240" w:lineRule="auto"/>
              <w:jc w:val="center"/>
              <w:rPr>
                <w:rFonts w:ascii="Garamond" w:eastAsia="Times New Roman" w:hAnsi="Garamond" w:cs="Times New Roman"/>
                <w:sz w:val="20"/>
                <w:szCs w:val="20"/>
              </w:rPr>
            </w:pPr>
            <w:r>
              <w:rPr>
                <w:rFonts w:ascii="Garamond" w:hAnsi="Garamond"/>
                <w:sz w:val="20"/>
              </w:rPr>
              <w:t>Frank VANDENBROUCKE</w:t>
            </w:r>
            <w:r w:rsidR="00CD2745">
              <w:rPr>
                <w:rFonts w:ascii="Garamond" w:hAnsi="Garamond"/>
                <w:sz w:val="20"/>
              </w:rPr>
              <w:t xml:space="preserve"> </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CD028E"/>
    <w:rsid w:val="00CD27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5</cp:revision>
  <dcterms:created xsi:type="dcterms:W3CDTF">2022-06-15T09:12:00Z</dcterms:created>
  <dcterms:modified xsi:type="dcterms:W3CDTF">2022-06-22T10:29:00Z</dcterms:modified>
</cp:coreProperties>
</file>