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976E0">
      <w:pPr>
        <w:widowControl w:val="0"/>
        <w:autoSpaceDE w:val="0"/>
        <w:autoSpaceDN w:val="0"/>
        <w:adjustRightInd w:val="0"/>
        <w:spacing w:after="0" w:line="240" w:lineRule="auto"/>
        <w:jc w:val="right"/>
        <w:rPr>
          <w:sz w:val="24"/>
          <w:szCs w:val="24"/>
          <w:rFonts w:ascii="Arial" w:hAnsi="Arial" w:cs="Arial"/>
        </w:rPr>
      </w:pPr>
      <w:r>
        <w:rPr>
          <w:sz w:val="24"/>
          <w:rFonts w:ascii="Arial" w:hAnsi="Arial"/>
        </w:rPr>
        <w:t xml:space="preserve">18 octombrie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Jurnalul Oficial al Republicii Franceze nr. 0206 din 5 septembrie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Textul nr. 6</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b/>
          <w:sz w:val="24"/>
          <w:rFonts w:ascii="Arial" w:hAnsi="Arial"/>
        </w:rPr>
        <w:t xml:space="preserve">Decret din 30 august 2019 de modificare a Decretului din 31 octombrie 2017 de stabilire a formei de prezentare a declarației nutriționale recomandate de stat conform articolelor L. 3232-8 și R. 3232-7 din Codul francez al sănătății publice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NOR:</w:t>
      </w:r>
      <w:r>
        <w:rPr>
          <w:sz w:val="24"/>
          <w:rFonts w:ascii="Arial" w:hAnsi="Arial"/>
        </w:rPr>
        <w:t xml:space="preserve"> </w:t>
      </w:r>
      <w:r>
        <w:rPr>
          <w:sz w:val="24"/>
          <w:rFonts w:ascii="Arial" w:hAnsi="Arial"/>
        </w:rPr>
        <w:t xml:space="preserve">SSAP1911495A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ELI: https://www.legifrance.gouv.fr/eli/arrete/2019/8/30/SSAP1911495A/jo/texte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Ministrul Sănătății, ministrul agriculturii și alimentației și secretarul de stat sub auspiciile ministrului economiei și finanțelor,</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și notificarea nr. 2017/159/F adresată Comisiei Europene;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Codul francez al consumatorilor, în special articolul L. 112-13;</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Codul francez al pescuitului rural și maritim, în special articolul L. 230-3 din acesta;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Codul francez al sănătății publice, în special articolele L. 3232-8 și R. 3232-7 din acesta;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Decretul nr. 2016-980 din 19 iulie 2016 privind informarea nutrițională complementară referitoare la produsele alimentare;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Decretul din 31 octombrie 2017 de stabilire a formei suplimentare de prezentare a declarației nutriționale recomandate de stat conform articolelor L. 3232-8 și R. 3232-7 din Codul francez al sănătății publice;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Având în vedere avizul Agenției Naționale pentru Siguranța Sanitară a Alimentelor, Mediului și Muncii din 10 mai 2017 și 12 iunie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Decretează prin prezenta:</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Articolul 1</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Caietul de sarcini anexat la Decretul din 31 octombrie 2017 de stabilire a formei de prezentare complementare declarației nutriționale recomandate de stat conform articolelor L. 3232-8 și R. 3232-7 din Codul francez al sănătății se modifică după cum urmează:</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 – În secțiunea „1a – Caz general”:</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la al patrulea paragraf și în tabelul nr. 1, după cuvântul:</w:t>
      </w:r>
      <w:r>
        <w:rPr>
          <w:sz w:val="24"/>
          <w:rFonts w:ascii="Arial" w:hAnsi="Arial"/>
        </w:rPr>
        <w:t xml:space="preserve"> </w:t>
      </w:r>
      <w:r>
        <w:rPr>
          <w:sz w:val="24"/>
          <w:rFonts w:ascii="Arial" w:hAnsi="Arial"/>
        </w:rPr>
        <w:t xml:space="preserve">„zaharuri”, cuvântul:</w:t>
      </w:r>
      <w:r>
        <w:rPr>
          <w:sz w:val="24"/>
          <w:rFonts w:ascii="Arial" w:hAnsi="Arial"/>
        </w:rPr>
        <w:t xml:space="preserve"> </w:t>
      </w:r>
      <w:r>
        <w:rPr>
          <w:sz w:val="24"/>
          <w:rFonts w:ascii="Arial" w:hAnsi="Arial"/>
        </w:rPr>
        <w:t xml:space="preserve">„simple” se elimină;</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la al șaptelea paragraf, după cuvintele: „în funcție de vitaminele pe care le conțin”, se introduc următoarele cuvinte:</w:t>
      </w:r>
      <w:r>
        <w:rPr>
          <w:sz w:val="24"/>
          <w:rFonts w:ascii="Arial" w:hAnsi="Arial"/>
        </w:rPr>
        <w:t xml:space="preserve"> </w:t>
      </w:r>
      <w:r>
        <w:rPr>
          <w:sz w:val="24"/>
          <w:rFonts w:ascii="Arial" w:hAnsi="Arial"/>
        </w:rPr>
        <w:t xml:space="preserve">„uleiuri din semințe de rapiță, din alune și de măsline (exprimate ca % în produsele alimentare),”;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în tabelul 2, după cuvintele:</w:t>
      </w:r>
      <w:r>
        <w:rPr>
          <w:sz w:val="24"/>
          <w:rFonts w:ascii="Arial" w:hAnsi="Arial"/>
        </w:rPr>
        <w:t xml:space="preserve"> </w:t>
      </w:r>
      <w:r>
        <w:rPr>
          <w:sz w:val="24"/>
          <w:rFonts w:ascii="Arial" w:hAnsi="Arial"/>
        </w:rPr>
        <w:t xml:space="preserve">„fructe și legume și fructe cu coajă lemnoasă”, paranteza „(g/100g)” se elimină și se introduc cuvintele:</w:t>
      </w:r>
      <w:r>
        <w:rPr>
          <w:sz w:val="24"/>
          <w:rFonts w:ascii="Arial" w:hAnsi="Arial"/>
        </w:rPr>
        <w:t xml:space="preserve"> </w:t>
      </w:r>
      <w:r>
        <w:rPr>
          <w:sz w:val="24"/>
          <w:rFonts w:ascii="Arial" w:hAnsi="Arial"/>
        </w:rPr>
        <w:t xml:space="preserve">„uleiuri din semințe de rapiță, din alune și de măsline”.</w:t>
      </w:r>
      <w:r>
        <w:rPr>
          <w:sz w:val="24"/>
          <w:rFonts w:ascii="Arial" w:hAnsi="Arial"/>
        </w:rPr>
        <w:t xml:space="preserve"> </w:t>
      </w:r>
      <w:r>
        <w:rPr>
          <w:sz w:val="24"/>
          <w:rFonts w:ascii="Arial" w:hAnsi="Arial"/>
        </w:rPr>
        <w:t xml:space="preserve">La punctul 5, ultima coloană din tabelul menționat, mențiunea:</w:t>
      </w:r>
      <w:r>
        <w:rPr>
          <w:sz w:val="24"/>
          <w:rFonts w:ascii="Arial" w:hAnsi="Arial"/>
        </w:rPr>
        <w:t xml:space="preserve"> </w:t>
      </w:r>
      <w:r>
        <w:rPr>
          <w:sz w:val="24"/>
          <w:rFonts w:ascii="Arial" w:hAnsi="Arial"/>
        </w:rPr>
        <w:t xml:space="preserve">„&gt; 8,0” se înlocuiește cu următorul text:</w:t>
      </w:r>
      <w:r>
        <w:rPr>
          <w:sz w:val="24"/>
          <w:rFonts w:ascii="Arial" w:hAnsi="Arial"/>
        </w:rPr>
        <w:t xml:space="preserve"> </w:t>
      </w:r>
      <w:r>
        <w:rPr>
          <w:sz w:val="24"/>
          <w:rFonts w:ascii="Arial" w:hAnsi="Arial"/>
        </w:rPr>
        <w:t xml:space="preserve">« &gt; 8 »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în paragraful intitulat:</w:t>
      </w:r>
      <w:r>
        <w:rPr>
          <w:sz w:val="24"/>
          <w:rFonts w:ascii="Arial" w:hAnsi="Arial"/>
        </w:rPr>
        <w:t xml:space="preserve"> </w:t>
      </w:r>
      <w:r>
        <w:rPr>
          <w:sz w:val="24"/>
          <w:rFonts w:ascii="Arial" w:hAnsi="Arial"/>
        </w:rPr>
        <w:t xml:space="preserve">„aplicarea unor reguli specifice”, cele patru subparagrafe se înlocuiesc cu următoarele paragrafe: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„Dacă valoarea totală a componentei N este mai mică de 11 puncte, atunci punctajul nutrițional este egal cu rezultatul scăderii totalului de puncte al componentei N din valoarea totală a componentei P.”</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„Dacă valoarea totală a componentei N este mai mare sau egală cu 11 puncte și”</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„Dacă valoarea obținută pentru «fructe și legume și fructe cu coajă lemnoasă și uleiuri din semințe de rapiță, din alune și de măsline» este egală cu 5, atunci punctajul nutrițional este egal cu rezultatul scăderii totalului de puncte al componentei N din valoarea totală a componentei P.”</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„Dacă valoarea obținută pentru «fructe și legume și fructe cu coajă lemnoasă și uleiuri din semințe de rapiță, din alune și de măsline» este mai mică de 5, atunci punctajul nutrițional este egal cu rezultatul scăderii totalului de puncte al componentei N din suma punctelor pentru «Fibre» și pentru «fructe și legume și fructe cu coajă lemnoasă și uleiuri din semințe de rapiță, din alune și de măsline».</w:t>
      </w:r>
      <w:r>
        <w:rPr>
          <w:sz w:val="24"/>
          <w:rFonts w:ascii="Arial" w:hAnsi="Arial"/>
        </w:rPr>
        <w:t xml:space="preserve"> </w:t>
      </w:r>
      <w:r>
        <w:rPr>
          <w:sz w:val="24"/>
          <w:rFonts w:ascii="Arial" w:hAnsi="Arial"/>
        </w:rPr>
        <w:t xml:space="preserve">În acest caz, conținutul de proteine nu este luat în considerare pentru calcularea punctajului nutrițional.</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În secțiunea „1b – Cazuri speciale”: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în tabelul 4, mențiunea:</w:t>
      </w:r>
      <w:r>
        <w:rPr>
          <w:sz w:val="24"/>
          <w:rFonts w:ascii="Arial" w:hAnsi="Arial"/>
        </w:rPr>
        <w:t xml:space="preserve"> </w:t>
      </w:r>
      <w:r>
        <w:rPr>
          <w:sz w:val="24"/>
          <w:rFonts w:ascii="Arial" w:hAnsi="Arial"/>
        </w:rPr>
        <w:t xml:space="preserve">„energie (Kj)” se înlocuiește cu:</w:t>
      </w:r>
      <w:r>
        <w:rPr>
          <w:sz w:val="24"/>
          <w:rFonts w:ascii="Arial" w:hAnsi="Arial"/>
        </w:rPr>
        <w:t xml:space="preserve"> </w:t>
      </w:r>
      <w:r>
        <w:rPr>
          <w:sz w:val="24"/>
          <w:rFonts w:ascii="Arial" w:hAnsi="Arial"/>
        </w:rPr>
        <w:t xml:space="preserve">„densitate energetică (Kj/100 ml)”, înainte de cuvântul:</w:t>
      </w:r>
      <w:r>
        <w:rPr>
          <w:sz w:val="24"/>
          <w:rFonts w:ascii="Arial" w:hAnsi="Arial"/>
        </w:rPr>
        <w:t xml:space="preserve"> </w:t>
      </w:r>
      <w:r>
        <w:rPr>
          <w:sz w:val="24"/>
          <w:rFonts w:ascii="Arial" w:hAnsi="Arial"/>
        </w:rPr>
        <w:t xml:space="preserve">„zaharuri”, cuvântul:</w:t>
      </w:r>
      <w:r>
        <w:rPr>
          <w:sz w:val="24"/>
          <w:rFonts w:ascii="Arial" w:hAnsi="Arial"/>
        </w:rPr>
        <w:t xml:space="preserve"> </w:t>
      </w:r>
      <w:r>
        <w:rPr>
          <w:sz w:val="24"/>
          <w:rFonts w:ascii="Arial" w:hAnsi="Arial"/>
        </w:rPr>
        <w:t xml:space="preserve">„total” se elimină și după cuvintele:</w:t>
      </w:r>
      <w:r>
        <w:rPr>
          <w:sz w:val="24"/>
          <w:rFonts w:ascii="Arial" w:hAnsi="Arial"/>
        </w:rPr>
        <w:t xml:space="preserve"> </w:t>
      </w:r>
      <w:r>
        <w:rPr>
          <w:sz w:val="24"/>
          <w:rFonts w:ascii="Arial" w:hAnsi="Arial"/>
        </w:rPr>
        <w:t xml:space="preserve">„fructe și legume”, se introduc cuvintele:</w:t>
      </w:r>
      <w:r>
        <w:rPr>
          <w:sz w:val="24"/>
          <w:rFonts w:ascii="Arial" w:hAnsi="Arial"/>
        </w:rPr>
        <w:t xml:space="preserve"> </w:t>
      </w:r>
      <w:r>
        <w:rPr>
          <w:sz w:val="24"/>
          <w:rFonts w:ascii="Arial" w:hAnsi="Arial"/>
        </w:rPr>
        <w:t xml:space="preserve">„legume, fructe cu coajă lemnoasă, uleiuri din semințe de rapiță, din alune și de măsline”;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după tabelul 4 se introduce următoarea teză:</w:t>
      </w:r>
      <w:r>
        <w:rPr>
          <w:sz w:val="24"/>
          <w:rFonts w:ascii="Arial" w:hAnsi="Arial"/>
        </w:rPr>
        <w:t xml:space="preserve"> </w:t>
      </w:r>
      <w:r>
        <w:rPr>
          <w:sz w:val="24"/>
          <w:rFonts w:ascii="Arial" w:hAnsi="Arial"/>
        </w:rPr>
        <w:t xml:space="preserve">„Valorile punctiforme din tabelele 1 și 2 pentru grăsimi saturate, sodiu, fibre și proteine rămân neschimbate.</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În secțiunea „2b – Cazul special al băuturilor”: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în tabel, după cuvântul:</w:t>
      </w:r>
      <w:r>
        <w:rPr>
          <w:sz w:val="24"/>
          <w:rFonts w:ascii="Arial" w:hAnsi="Arial"/>
        </w:rPr>
        <w:t xml:space="preserve"> </w:t>
      </w:r>
      <w:r>
        <w:rPr>
          <w:sz w:val="24"/>
          <w:rFonts w:ascii="Arial" w:hAnsi="Arial"/>
        </w:rPr>
        <w:t xml:space="preserve">„ape”, cuvântul:</w:t>
      </w:r>
      <w:r>
        <w:rPr>
          <w:sz w:val="24"/>
          <w:rFonts w:ascii="Arial" w:hAnsi="Arial"/>
        </w:rPr>
        <w:t xml:space="preserve"> </w:t>
      </w:r>
      <w:r>
        <w:rPr>
          <w:sz w:val="24"/>
          <w:rFonts w:ascii="Arial" w:hAnsi="Arial"/>
        </w:rPr>
        <w:t xml:space="preserve">„mineral” se elimină.</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IV.</w:t>
      </w:r>
      <w:r>
        <w:rPr>
          <w:sz w:val="24"/>
          <w:rFonts w:ascii="Arial" w:hAnsi="Arial"/>
        </w:rPr>
        <w:t xml:space="preserve"> </w:t>
      </w:r>
      <w:r>
        <w:rPr>
          <w:sz w:val="24"/>
          <w:rFonts w:ascii="Arial" w:hAnsi="Arial"/>
        </w:rPr>
        <w:t xml:space="preserve">– În secțiunea „5 Monitorizarea utilizării dispozitivului”:</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după cuvântul:</w:t>
      </w:r>
      <w:r>
        <w:rPr>
          <w:sz w:val="24"/>
          <w:rFonts w:ascii="Arial" w:hAnsi="Arial"/>
        </w:rPr>
        <w:t xml:space="preserve"> </w:t>
      </w:r>
      <w:r>
        <w:rPr>
          <w:sz w:val="24"/>
          <w:rFonts w:ascii="Arial" w:hAnsi="Arial"/>
        </w:rPr>
        <w:t xml:space="preserve">„informează”, cuvintele:</w:t>
      </w:r>
      <w:r>
        <w:rPr>
          <w:sz w:val="24"/>
          <w:rFonts w:ascii="Arial" w:hAnsi="Arial"/>
        </w:rPr>
        <w:t xml:space="preserve"> </w:t>
      </w:r>
      <w:r>
        <w:rPr>
          <w:sz w:val="24"/>
          <w:rFonts w:ascii="Arial" w:hAnsi="Arial"/>
        </w:rPr>
        <w:t xml:space="preserve">„Secția pentru nutriție a” se elimină, cuvintele:</w:t>
      </w:r>
      <w:r>
        <w:rPr>
          <w:sz w:val="24"/>
          <w:rFonts w:ascii="Arial" w:hAnsi="Arial"/>
        </w:rPr>
        <w:t xml:space="preserve"> </w:t>
      </w:r>
      <w:r>
        <w:rPr>
          <w:sz w:val="24"/>
          <w:rFonts w:ascii="Arial" w:hAnsi="Arial"/>
        </w:rPr>
        <w:t xml:space="preserve">„: într-un format stabilit de Oqali" se înlocuiește cu:</w:t>
      </w:r>
      <w:r>
        <w:rPr>
          <w:sz w:val="24"/>
          <w:rFonts w:ascii="Arial" w:hAnsi="Arial"/>
        </w:rPr>
        <w:t xml:space="preserve"> </w:t>
      </w:r>
      <w:r>
        <w:rPr>
          <w:sz w:val="24"/>
          <w:rFonts w:ascii="Arial" w:hAnsi="Arial"/>
        </w:rPr>
        <w:t xml:space="preserve">„într-un format definit de aceasta” și cuvântul:</w:t>
      </w:r>
      <w:r>
        <w:rPr>
          <w:sz w:val="24"/>
          <w:rFonts w:ascii="Arial" w:hAnsi="Arial"/>
        </w:rPr>
        <w:t xml:space="preserve"> </w:t>
      </w:r>
      <w:r>
        <w:rPr>
          <w:sz w:val="24"/>
          <w:rFonts w:ascii="Arial" w:hAnsi="Arial"/>
        </w:rPr>
        <w:t xml:space="preserve">„OQALI” se înlocuiește cu următorul text:</w:t>
      </w:r>
      <w:r>
        <w:rPr>
          <w:sz w:val="24"/>
          <w:rFonts w:ascii="Arial" w:hAnsi="Arial"/>
        </w:rPr>
        <w:t xml:space="preserve"> </w:t>
      </w:r>
      <w:r>
        <w:rPr>
          <w:sz w:val="24"/>
          <w:rFonts w:ascii="Arial" w:hAnsi="Arial"/>
        </w:rPr>
        <w:t xml:space="preserve">„Observatorul alimentar”.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Articolul 2</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Ministrul Sănătății, ministrul agriculturii și alimentației și secretarul de Stat, sub auspiciile ministrului economiei și finanțelor, sunt responsabili, fiecare în sfera sa de competență, pentru punerea în aplicare a prezentului decret, care va fi publicat în Jurnalul Oficial al Republicii Franceze.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Datat 30 august 2019.</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Ministrul Sănătății,</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Agnes Buzyn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Ministrul Agriculturii și Alimentației,</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Didier Guillaume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Ministrul de stat de pe lângă Ministrul Economiei și Finanțelor,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Pannier-Runacher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B976E0" w:rsidRDefault="00B976E0">
      <w:pPr>
        <w:widowControl w:val="0"/>
        <w:autoSpaceDE w:val="0"/>
        <w:autoSpaceDN w:val="0"/>
        <w:adjustRightInd w:val="0"/>
        <w:spacing w:after="0" w:line="240" w:lineRule="auto"/>
        <w:rPr>
          <w:rFonts w:ascii="Arial" w:hAnsi="Arial" w:cs="Arial"/>
          <w:sz w:val="24"/>
          <w:szCs w:val="24"/>
        </w:rPr>
      </w:pPr>
    </w:p>
    <w:sectPr w:rsidR="00B976E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0F"/>
    <w:rsid w:val="00857C0F"/>
    <w:rsid w:val="00B97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F066FF-1E3F-4C0A-9DE7-8DF40F2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2019-10-18T14:55:00Z</dcterms:created>
  <dcterms:modified xsi:type="dcterms:W3CDTF">2019-10-18T14:55:00Z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18 16:54:35 CEST 2019</vt:lpwstr>
  </property>
  <property fmtid="{D5CDD505-2E9C-101B-9397-08002B2CF9AE}" pid="3" name="jforVersion">
    <vt:lpwstr>jfor V0.7.2rc1 - see http://www.jfor.org</vt:lpwstr>
  </property>
</Properties>
</file>