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DCD1A" w14:textId="77777777" w:rsidR="005C3CFF" w:rsidRDefault="005C3CFF">
      <w:pPr>
        <w:jc w:val="both"/>
      </w:pPr>
    </w:p>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5C3CFF" w14:paraId="43E82AEA" w14:textId="77777777">
        <w:trPr>
          <w:cantSplit/>
        </w:trPr>
        <w:tc>
          <w:tcPr>
            <w:tcW w:w="3982" w:type="dxa"/>
            <w:gridSpan w:val="3"/>
            <w:shd w:val="clear" w:color="auto" w:fill="auto"/>
          </w:tcPr>
          <w:p w14:paraId="13126638" w14:textId="77777777" w:rsidR="005C3CFF" w:rsidRDefault="00B8106B">
            <w:pPr>
              <w:pStyle w:val="SNREPUBLIQUE"/>
            </w:pPr>
            <w:r>
              <w:t>RÉPUBLIQUE FRANÇAISE</w:t>
            </w:r>
          </w:p>
        </w:tc>
      </w:tr>
      <w:tr w:rsidR="005C3CFF" w14:paraId="0E0BE23D" w14:textId="77777777">
        <w:trPr>
          <w:cantSplit/>
          <w:trHeight w:hRule="exact" w:val="113"/>
        </w:trPr>
        <w:tc>
          <w:tcPr>
            <w:tcW w:w="1527" w:type="dxa"/>
            <w:shd w:val="clear" w:color="auto" w:fill="auto"/>
          </w:tcPr>
          <w:p w14:paraId="3CC3322B" w14:textId="77777777" w:rsidR="005C3CFF" w:rsidRDefault="005C3CFF"/>
        </w:tc>
        <w:tc>
          <w:tcPr>
            <w:tcW w:w="968" w:type="dxa"/>
            <w:tcBorders>
              <w:top w:val="single" w:sz="2" w:space="0" w:color="000001"/>
              <w:bottom w:val="single" w:sz="2" w:space="0" w:color="000001"/>
            </w:tcBorders>
            <w:shd w:val="clear" w:color="auto" w:fill="auto"/>
          </w:tcPr>
          <w:p w14:paraId="27686953" w14:textId="77777777" w:rsidR="005C3CFF" w:rsidRDefault="005C3CFF"/>
        </w:tc>
        <w:tc>
          <w:tcPr>
            <w:tcW w:w="1487" w:type="dxa"/>
            <w:shd w:val="clear" w:color="auto" w:fill="auto"/>
          </w:tcPr>
          <w:p w14:paraId="6B9D567D" w14:textId="77777777" w:rsidR="005C3CFF" w:rsidRDefault="005C3CFF"/>
        </w:tc>
      </w:tr>
      <w:tr w:rsidR="005C3CFF" w14:paraId="1BD94421" w14:textId="77777777">
        <w:trPr>
          <w:cantSplit/>
        </w:trPr>
        <w:tc>
          <w:tcPr>
            <w:tcW w:w="3982" w:type="dxa"/>
            <w:gridSpan w:val="3"/>
            <w:shd w:val="clear" w:color="auto" w:fill="auto"/>
          </w:tcPr>
          <w:p w14:paraId="78F2F621" w14:textId="4260BF53" w:rsidR="005C3CFF" w:rsidRDefault="00B8106B">
            <w:pPr>
              <w:pStyle w:val="SNTimbre"/>
            </w:pPr>
            <w:r>
              <w:t>Ministère de la transition écologique</w:t>
            </w:r>
            <w:r w:rsidR="00A40310">
              <w:t xml:space="preserve"> et de la cohésion des territoires</w:t>
            </w:r>
            <w:r>
              <w:t xml:space="preserve"> </w:t>
            </w:r>
          </w:p>
        </w:tc>
      </w:tr>
      <w:tr w:rsidR="005C3CFF" w14:paraId="5E196B70" w14:textId="77777777">
        <w:trPr>
          <w:cantSplit/>
          <w:trHeight w:hRule="exact" w:val="227"/>
        </w:trPr>
        <w:tc>
          <w:tcPr>
            <w:tcW w:w="1527" w:type="dxa"/>
            <w:shd w:val="clear" w:color="auto" w:fill="auto"/>
          </w:tcPr>
          <w:p w14:paraId="79176E71" w14:textId="77777777" w:rsidR="005C3CFF" w:rsidRDefault="005C3CFF"/>
        </w:tc>
        <w:tc>
          <w:tcPr>
            <w:tcW w:w="968" w:type="dxa"/>
            <w:tcBorders>
              <w:top w:val="single" w:sz="2" w:space="0" w:color="000001"/>
              <w:bottom w:val="single" w:sz="2" w:space="0" w:color="000001"/>
            </w:tcBorders>
            <w:shd w:val="clear" w:color="auto" w:fill="auto"/>
          </w:tcPr>
          <w:p w14:paraId="12F4D7B2" w14:textId="77777777" w:rsidR="005C3CFF" w:rsidRDefault="005C3CFF"/>
        </w:tc>
        <w:tc>
          <w:tcPr>
            <w:tcW w:w="1487" w:type="dxa"/>
            <w:shd w:val="clear" w:color="auto" w:fill="auto"/>
          </w:tcPr>
          <w:p w14:paraId="560377D8" w14:textId="77777777" w:rsidR="005C3CFF" w:rsidRDefault="005C3CFF"/>
        </w:tc>
      </w:tr>
      <w:tr w:rsidR="005C3CFF" w14:paraId="71E7E572" w14:textId="77777777">
        <w:trPr>
          <w:cantSplit/>
          <w:trHeight w:hRule="exact" w:val="227"/>
        </w:trPr>
        <w:tc>
          <w:tcPr>
            <w:tcW w:w="1527" w:type="dxa"/>
            <w:shd w:val="clear" w:color="auto" w:fill="auto"/>
          </w:tcPr>
          <w:p w14:paraId="103B9CF4" w14:textId="77777777" w:rsidR="005C3CFF" w:rsidRDefault="005C3CFF"/>
        </w:tc>
        <w:tc>
          <w:tcPr>
            <w:tcW w:w="968" w:type="dxa"/>
            <w:shd w:val="clear" w:color="auto" w:fill="auto"/>
          </w:tcPr>
          <w:p w14:paraId="5A00FA61" w14:textId="77777777" w:rsidR="005C3CFF" w:rsidRDefault="005C3CFF"/>
        </w:tc>
        <w:tc>
          <w:tcPr>
            <w:tcW w:w="1487" w:type="dxa"/>
            <w:shd w:val="clear" w:color="auto" w:fill="auto"/>
          </w:tcPr>
          <w:p w14:paraId="72924EDA" w14:textId="77777777" w:rsidR="005C3CFF" w:rsidRDefault="005C3CFF"/>
        </w:tc>
      </w:tr>
    </w:tbl>
    <w:p w14:paraId="685A481D" w14:textId="77777777" w:rsidR="005C3CFF" w:rsidRPr="00176A22" w:rsidRDefault="00F92020">
      <w:pPr>
        <w:pStyle w:val="SNNature"/>
      </w:pPr>
      <w:r>
        <w:t xml:space="preserve">Arrêté </w:t>
      </w:r>
      <w:r w:rsidR="00B8106B" w:rsidRPr="00176A22">
        <w:t>du</w:t>
      </w:r>
    </w:p>
    <w:p w14:paraId="6A8D6A8E" w14:textId="77777777" w:rsidR="005C3CFF" w:rsidRDefault="001F42AC">
      <w:pPr>
        <w:pStyle w:val="SNtitre"/>
      </w:pPr>
      <w:proofErr w:type="gramStart"/>
      <w:r>
        <w:t>r</w:t>
      </w:r>
      <w:r w:rsidR="00B8106B">
        <w:t>elatif</w:t>
      </w:r>
      <w:proofErr w:type="gramEnd"/>
      <w:r w:rsidR="005B044B">
        <w:t xml:space="preserve"> </w:t>
      </w:r>
      <w:r w:rsidR="00B8106B">
        <w:t>à l’identification des substances dangereuses dans les produits générateurs de déchets</w:t>
      </w:r>
    </w:p>
    <w:p w14:paraId="4E3DCA9D" w14:textId="77777777" w:rsidR="005C3CFF" w:rsidRPr="00176A22" w:rsidRDefault="00B8106B">
      <w:pPr>
        <w:pStyle w:val="SNNORCentr"/>
      </w:pPr>
      <w:r w:rsidRPr="00176A22">
        <w:t xml:space="preserve">NOR : </w:t>
      </w:r>
      <w:r w:rsidR="00F92020" w:rsidRPr="00F92020">
        <w:rPr>
          <w:bCs w:val="0"/>
          <w:szCs w:val="24"/>
          <w:highlight w:val="yellow"/>
        </w:rPr>
        <w:t>XXXXXXXXXX</w:t>
      </w:r>
    </w:p>
    <w:p w14:paraId="3392BAA2" w14:textId="4CEEA351" w:rsidR="005C3CFF" w:rsidRPr="00DF11E0" w:rsidRDefault="00B8106B">
      <w:pPr>
        <w:spacing w:before="720" w:after="120"/>
        <w:ind w:firstLine="720"/>
        <w:jc w:val="both"/>
        <w:rPr>
          <w:rFonts w:ascii="Times New Roman" w:hAnsi="Times New Roman" w:cs="Times New Roman"/>
          <w:i/>
          <w:iCs/>
          <w:sz w:val="24"/>
          <w:szCs w:val="24"/>
        </w:rPr>
      </w:pPr>
      <w:r w:rsidRPr="00DF11E0">
        <w:rPr>
          <w:rFonts w:ascii="Times New Roman" w:hAnsi="Times New Roman" w:cs="Times New Roman"/>
          <w:b/>
          <w:bCs/>
          <w:i/>
          <w:iCs/>
          <w:sz w:val="24"/>
          <w:szCs w:val="24"/>
        </w:rPr>
        <w:t>Publics concernés :</w:t>
      </w:r>
      <w:r w:rsidR="00176A22">
        <w:rPr>
          <w:rFonts w:ascii="Times New Roman" w:hAnsi="Times New Roman" w:cs="Times New Roman"/>
          <w:b/>
          <w:bCs/>
          <w:i/>
          <w:iCs/>
          <w:sz w:val="24"/>
          <w:szCs w:val="24"/>
        </w:rPr>
        <w:t xml:space="preserve"> </w:t>
      </w:r>
      <w:r w:rsidR="005E6ACB">
        <w:rPr>
          <w:rFonts w:ascii="Times New Roman" w:hAnsi="Times New Roman" w:cs="Times New Roman"/>
          <w:i/>
          <w:iCs/>
          <w:sz w:val="24"/>
          <w:szCs w:val="24"/>
        </w:rPr>
        <w:t>T</w:t>
      </w:r>
      <w:r w:rsidR="00BF1741">
        <w:rPr>
          <w:rFonts w:ascii="Times New Roman" w:hAnsi="Times New Roman" w:cs="Times New Roman"/>
          <w:i/>
          <w:iCs/>
          <w:sz w:val="24"/>
          <w:szCs w:val="24"/>
        </w:rPr>
        <w:t>ou</w:t>
      </w:r>
      <w:r w:rsidR="004374AB">
        <w:rPr>
          <w:rFonts w:ascii="Times New Roman" w:hAnsi="Times New Roman" w:cs="Times New Roman"/>
          <w:i/>
          <w:iCs/>
          <w:sz w:val="24"/>
          <w:szCs w:val="24"/>
        </w:rPr>
        <w:t>t</w:t>
      </w:r>
      <w:r w:rsidR="00BF1741" w:rsidRPr="007C2486">
        <w:rPr>
          <w:rFonts w:ascii="Times New Roman" w:hAnsi="Times New Roman" w:cs="Times New Roman"/>
          <w:i/>
          <w:iCs/>
          <w:sz w:val="24"/>
          <w:szCs w:val="24"/>
        </w:rPr>
        <w:t xml:space="preserve"> producteur, importateur ou metteur sur le marché </w:t>
      </w:r>
      <w:r w:rsidR="00351A7D">
        <w:rPr>
          <w:rFonts w:ascii="Times New Roman" w:hAnsi="Times New Roman" w:cs="Times New Roman"/>
          <w:i/>
          <w:iCs/>
          <w:sz w:val="24"/>
          <w:szCs w:val="24"/>
        </w:rPr>
        <w:t>de</w:t>
      </w:r>
      <w:r w:rsidR="00BF1741" w:rsidRPr="007C2486">
        <w:rPr>
          <w:rFonts w:ascii="Times New Roman" w:hAnsi="Times New Roman" w:cs="Times New Roman"/>
          <w:i/>
          <w:iCs/>
          <w:sz w:val="24"/>
          <w:szCs w:val="24"/>
        </w:rPr>
        <w:t xml:space="preserve"> produits </w:t>
      </w:r>
      <w:r w:rsidR="00351A7D">
        <w:rPr>
          <w:rFonts w:ascii="Times New Roman" w:hAnsi="Times New Roman" w:cs="Times New Roman"/>
          <w:i/>
          <w:iCs/>
          <w:sz w:val="24"/>
          <w:szCs w:val="24"/>
        </w:rPr>
        <w:t xml:space="preserve">générateurs de déchets, </w:t>
      </w:r>
      <w:r w:rsidR="00BF1741" w:rsidRPr="007C2486">
        <w:rPr>
          <w:rFonts w:ascii="Times New Roman" w:hAnsi="Times New Roman" w:cs="Times New Roman"/>
          <w:i/>
          <w:iCs/>
          <w:sz w:val="24"/>
          <w:szCs w:val="24"/>
        </w:rPr>
        <w:t>mentionnés à l'article R. 541-</w:t>
      </w:r>
      <w:r w:rsidR="00C22C67" w:rsidRPr="007C2486">
        <w:rPr>
          <w:rFonts w:ascii="Times New Roman" w:hAnsi="Times New Roman" w:cs="Times New Roman"/>
          <w:i/>
          <w:iCs/>
          <w:sz w:val="24"/>
          <w:szCs w:val="24"/>
        </w:rPr>
        <w:t>22</w:t>
      </w:r>
      <w:r w:rsidR="00C22C67">
        <w:rPr>
          <w:rFonts w:ascii="Times New Roman" w:hAnsi="Times New Roman" w:cs="Times New Roman"/>
          <w:i/>
          <w:iCs/>
          <w:sz w:val="24"/>
          <w:szCs w:val="24"/>
        </w:rPr>
        <w:t>0</w:t>
      </w:r>
      <w:r w:rsidR="00351A7D">
        <w:rPr>
          <w:rFonts w:ascii="Times New Roman" w:hAnsi="Times New Roman" w:cs="Times New Roman"/>
          <w:i/>
          <w:iCs/>
          <w:sz w:val="24"/>
          <w:szCs w:val="24"/>
        </w:rPr>
        <w:t xml:space="preserve"> du code de l’environnement</w:t>
      </w:r>
      <w:r w:rsidR="00BF1741">
        <w:rPr>
          <w:rFonts w:ascii="Times New Roman" w:hAnsi="Times New Roman" w:cs="Times New Roman"/>
          <w:i/>
          <w:iCs/>
          <w:sz w:val="24"/>
          <w:szCs w:val="24"/>
        </w:rPr>
        <w:t xml:space="preserve">. </w:t>
      </w:r>
      <w:r w:rsidR="003B1197">
        <w:rPr>
          <w:rFonts w:ascii="Times New Roman" w:hAnsi="Times New Roman" w:cs="Times New Roman"/>
          <w:i/>
          <w:iCs/>
          <w:sz w:val="24"/>
          <w:szCs w:val="24"/>
        </w:rPr>
        <w:t>Pour la qualité environnementale « substances dangereuses », le terme</w:t>
      </w:r>
      <w:r w:rsidR="004374AB">
        <w:rPr>
          <w:rFonts w:ascii="Times New Roman" w:hAnsi="Times New Roman" w:cs="Times New Roman"/>
          <w:i/>
          <w:iCs/>
          <w:sz w:val="24"/>
          <w:szCs w:val="24"/>
        </w:rPr>
        <w:t xml:space="preserve"> produit générateur de déchets s’entend</w:t>
      </w:r>
      <w:r w:rsidRPr="00DF11E0">
        <w:rPr>
          <w:rFonts w:ascii="Times New Roman" w:hAnsi="Times New Roman" w:cs="Times New Roman"/>
          <w:i/>
          <w:iCs/>
          <w:sz w:val="24"/>
          <w:szCs w:val="24"/>
        </w:rPr>
        <w:t xml:space="preserve"> comme </w:t>
      </w:r>
      <w:r w:rsidR="004374AB">
        <w:rPr>
          <w:rFonts w:ascii="Times New Roman" w:hAnsi="Times New Roman" w:cs="Times New Roman"/>
          <w:i/>
          <w:iCs/>
          <w:sz w:val="24"/>
          <w:szCs w:val="24"/>
        </w:rPr>
        <w:t>un</w:t>
      </w:r>
      <w:r w:rsidR="004374AB" w:rsidRPr="00DF11E0">
        <w:rPr>
          <w:rFonts w:ascii="Times New Roman" w:hAnsi="Times New Roman" w:cs="Times New Roman"/>
          <w:i/>
          <w:iCs/>
          <w:sz w:val="24"/>
          <w:szCs w:val="24"/>
        </w:rPr>
        <w:t xml:space="preserve"> </w:t>
      </w:r>
      <w:r w:rsidRPr="00DF11E0">
        <w:rPr>
          <w:rFonts w:ascii="Times New Roman" w:hAnsi="Times New Roman" w:cs="Times New Roman"/>
          <w:i/>
          <w:iCs/>
          <w:sz w:val="24"/>
          <w:szCs w:val="24"/>
        </w:rPr>
        <w:t>article</w:t>
      </w:r>
      <w:r w:rsidR="00093D84">
        <w:rPr>
          <w:rFonts w:ascii="Times New Roman" w:hAnsi="Times New Roman" w:cs="Times New Roman"/>
          <w:i/>
          <w:iCs/>
          <w:sz w:val="24"/>
          <w:szCs w:val="24"/>
        </w:rPr>
        <w:t xml:space="preserve">, </w:t>
      </w:r>
      <w:r w:rsidR="004374AB">
        <w:rPr>
          <w:rFonts w:ascii="Times New Roman" w:hAnsi="Times New Roman" w:cs="Times New Roman"/>
          <w:i/>
          <w:iCs/>
          <w:sz w:val="24"/>
          <w:szCs w:val="24"/>
        </w:rPr>
        <w:t>un</w:t>
      </w:r>
      <w:r w:rsidR="004374AB" w:rsidRPr="00DF11E0">
        <w:rPr>
          <w:rFonts w:ascii="Times New Roman" w:hAnsi="Times New Roman" w:cs="Times New Roman"/>
          <w:i/>
          <w:iCs/>
          <w:sz w:val="24"/>
          <w:szCs w:val="24"/>
        </w:rPr>
        <w:t xml:space="preserve"> </w:t>
      </w:r>
      <w:r w:rsidRPr="00DF11E0">
        <w:rPr>
          <w:rFonts w:ascii="Times New Roman" w:hAnsi="Times New Roman" w:cs="Times New Roman"/>
          <w:i/>
          <w:iCs/>
          <w:sz w:val="24"/>
          <w:szCs w:val="24"/>
        </w:rPr>
        <w:t xml:space="preserve">mélange </w:t>
      </w:r>
      <w:r w:rsidR="00093D84">
        <w:rPr>
          <w:rFonts w:ascii="Times New Roman" w:hAnsi="Times New Roman" w:cs="Times New Roman"/>
          <w:i/>
          <w:iCs/>
          <w:sz w:val="24"/>
          <w:szCs w:val="24"/>
        </w:rPr>
        <w:t xml:space="preserve">ou </w:t>
      </w:r>
      <w:r w:rsidR="004374AB">
        <w:rPr>
          <w:rFonts w:ascii="Times New Roman" w:hAnsi="Times New Roman" w:cs="Times New Roman"/>
          <w:i/>
          <w:iCs/>
          <w:sz w:val="24"/>
          <w:szCs w:val="24"/>
        </w:rPr>
        <w:t xml:space="preserve">une </w:t>
      </w:r>
      <w:r w:rsidR="00093D84">
        <w:rPr>
          <w:rFonts w:ascii="Times New Roman" w:hAnsi="Times New Roman" w:cs="Times New Roman"/>
          <w:i/>
          <w:iCs/>
          <w:sz w:val="24"/>
          <w:szCs w:val="24"/>
        </w:rPr>
        <w:t xml:space="preserve">substance </w:t>
      </w:r>
      <w:r w:rsidRPr="00DF11E0">
        <w:rPr>
          <w:rFonts w:ascii="Times New Roman" w:hAnsi="Times New Roman" w:cs="Times New Roman"/>
          <w:i/>
          <w:iCs/>
          <w:sz w:val="24"/>
          <w:szCs w:val="24"/>
        </w:rPr>
        <w:t>au sens de l’article 3 du règlement (CE) n° 1907/2006.</w:t>
      </w:r>
    </w:p>
    <w:p w14:paraId="1F0EAB46" w14:textId="77777777" w:rsidR="005C3CFF" w:rsidRPr="00DF11E0" w:rsidRDefault="00B8106B">
      <w:pPr>
        <w:spacing w:before="120"/>
        <w:ind w:firstLine="720"/>
        <w:jc w:val="both"/>
        <w:rPr>
          <w:rFonts w:ascii="Times New Roman" w:hAnsi="Times New Roman" w:cs="Times New Roman"/>
          <w:i/>
          <w:iCs/>
          <w:sz w:val="24"/>
          <w:szCs w:val="24"/>
        </w:rPr>
      </w:pPr>
      <w:r w:rsidRPr="00DF11E0">
        <w:rPr>
          <w:rFonts w:ascii="Times New Roman" w:hAnsi="Times New Roman" w:cs="Times New Roman"/>
          <w:b/>
          <w:bCs/>
          <w:i/>
          <w:iCs/>
          <w:sz w:val="24"/>
          <w:szCs w:val="24"/>
        </w:rPr>
        <w:t>Objet :</w:t>
      </w:r>
      <w:r w:rsidR="00176A22">
        <w:rPr>
          <w:rFonts w:ascii="Times New Roman" w:hAnsi="Times New Roman" w:cs="Times New Roman"/>
          <w:b/>
          <w:bCs/>
          <w:i/>
          <w:iCs/>
          <w:sz w:val="24"/>
          <w:szCs w:val="24"/>
        </w:rPr>
        <w:t xml:space="preserve"> </w:t>
      </w:r>
      <w:r w:rsidR="00DF00AF">
        <w:rPr>
          <w:rFonts w:ascii="Times New Roman" w:hAnsi="Times New Roman" w:cs="Times New Roman"/>
          <w:i/>
          <w:iCs/>
          <w:sz w:val="24"/>
          <w:szCs w:val="24"/>
        </w:rPr>
        <w:t>Cet arrêté établit la liste des</w:t>
      </w:r>
      <w:r w:rsidRPr="00DF11E0">
        <w:rPr>
          <w:rFonts w:ascii="Times New Roman" w:hAnsi="Times New Roman" w:cs="Times New Roman"/>
          <w:i/>
          <w:iCs/>
          <w:sz w:val="24"/>
          <w:szCs w:val="24"/>
        </w:rPr>
        <w:t xml:space="preserve"> substances dangereuses au sens de l’article L. 541-9-1 du code de l’environnement</w:t>
      </w:r>
      <w:r w:rsidR="005D1350">
        <w:rPr>
          <w:rFonts w:ascii="Times New Roman" w:hAnsi="Times New Roman" w:cs="Times New Roman"/>
          <w:i/>
          <w:iCs/>
          <w:sz w:val="24"/>
          <w:szCs w:val="24"/>
        </w:rPr>
        <w:t xml:space="preserve"> </w:t>
      </w:r>
      <w:r w:rsidR="00093D84" w:rsidRPr="00093D84">
        <w:rPr>
          <w:rFonts w:ascii="Times New Roman" w:hAnsi="Times New Roman" w:cs="Times New Roman"/>
          <w:i/>
          <w:iCs/>
          <w:sz w:val="24"/>
          <w:szCs w:val="24"/>
        </w:rPr>
        <w:t xml:space="preserve">dont </w:t>
      </w:r>
      <w:r w:rsidR="00DF00AF">
        <w:rPr>
          <w:rFonts w:ascii="Times New Roman" w:hAnsi="Times New Roman" w:cs="Times New Roman"/>
          <w:i/>
          <w:iCs/>
          <w:sz w:val="24"/>
          <w:szCs w:val="24"/>
        </w:rPr>
        <w:t xml:space="preserve">le </w:t>
      </w:r>
      <w:r w:rsidR="00DF00AF" w:rsidRPr="00DF00AF">
        <w:rPr>
          <w:rFonts w:ascii="Times New Roman" w:hAnsi="Times New Roman" w:cs="Times New Roman"/>
          <w:i/>
          <w:iCs/>
          <w:sz w:val="24"/>
          <w:szCs w:val="24"/>
        </w:rPr>
        <w:t xml:space="preserve">niveau de préoccupation </w:t>
      </w:r>
      <w:r w:rsidR="00DF00AF">
        <w:rPr>
          <w:rFonts w:ascii="Times New Roman" w:hAnsi="Times New Roman" w:cs="Times New Roman"/>
          <w:i/>
          <w:iCs/>
          <w:sz w:val="24"/>
          <w:szCs w:val="24"/>
        </w:rPr>
        <w:t xml:space="preserve">est </w:t>
      </w:r>
      <w:r w:rsidR="00DF00AF" w:rsidRPr="00DF00AF">
        <w:rPr>
          <w:rFonts w:ascii="Times New Roman" w:hAnsi="Times New Roman" w:cs="Times New Roman"/>
          <w:i/>
          <w:iCs/>
          <w:sz w:val="24"/>
          <w:szCs w:val="24"/>
        </w:rPr>
        <w:t xml:space="preserve">comparable aux substances extrêmement préoccupantes </w:t>
      </w:r>
      <w:r w:rsidR="00DF00AF">
        <w:rPr>
          <w:rFonts w:ascii="Times New Roman" w:hAnsi="Times New Roman" w:cs="Times New Roman"/>
          <w:i/>
          <w:iCs/>
          <w:sz w:val="24"/>
          <w:szCs w:val="24"/>
        </w:rPr>
        <w:t xml:space="preserve">et </w:t>
      </w:r>
      <w:r w:rsidR="00DF00AF" w:rsidRPr="00DF00AF">
        <w:rPr>
          <w:rFonts w:ascii="Times New Roman" w:hAnsi="Times New Roman" w:cs="Times New Roman"/>
          <w:i/>
          <w:iCs/>
          <w:sz w:val="24"/>
          <w:szCs w:val="24"/>
        </w:rPr>
        <w:t xml:space="preserve">qui ne sont pas </w:t>
      </w:r>
      <w:r w:rsidR="00ED414C">
        <w:rPr>
          <w:rFonts w:ascii="Times New Roman" w:hAnsi="Times New Roman" w:cs="Times New Roman"/>
          <w:i/>
          <w:iCs/>
          <w:sz w:val="24"/>
          <w:szCs w:val="24"/>
        </w:rPr>
        <w:t xml:space="preserve">publiées </w:t>
      </w:r>
      <w:r w:rsidR="00DF00AF" w:rsidRPr="00DF00AF">
        <w:rPr>
          <w:rFonts w:ascii="Times New Roman" w:hAnsi="Times New Roman" w:cs="Times New Roman"/>
          <w:i/>
          <w:iCs/>
          <w:sz w:val="24"/>
          <w:szCs w:val="24"/>
        </w:rPr>
        <w:t>sur la liste mentionnée à l'article 59 paragraphe 1</w:t>
      </w:r>
      <w:r w:rsidR="00ED414C">
        <w:rPr>
          <w:rFonts w:ascii="Times New Roman" w:hAnsi="Times New Roman" w:cs="Times New Roman"/>
          <w:i/>
          <w:iCs/>
          <w:sz w:val="24"/>
          <w:szCs w:val="24"/>
        </w:rPr>
        <w:t>0</w:t>
      </w:r>
      <w:r w:rsidR="00DF00AF" w:rsidRPr="00DF00AF">
        <w:rPr>
          <w:rFonts w:ascii="Times New Roman" w:hAnsi="Times New Roman" w:cs="Times New Roman"/>
          <w:i/>
          <w:iCs/>
          <w:sz w:val="24"/>
          <w:szCs w:val="24"/>
        </w:rPr>
        <w:t xml:space="preserve"> du règlement (CE) n° 1907/2006</w:t>
      </w:r>
      <w:r w:rsidR="00DF00AF">
        <w:rPr>
          <w:rFonts w:ascii="Times New Roman" w:hAnsi="Times New Roman" w:cs="Times New Roman"/>
          <w:i/>
          <w:iCs/>
          <w:sz w:val="24"/>
          <w:szCs w:val="24"/>
        </w:rPr>
        <w:t>.</w:t>
      </w:r>
      <w:r w:rsidRPr="00DF11E0">
        <w:rPr>
          <w:rFonts w:ascii="Times New Roman" w:hAnsi="Times New Roman" w:cs="Times New Roman"/>
          <w:i/>
          <w:iCs/>
          <w:sz w:val="24"/>
          <w:szCs w:val="24"/>
        </w:rPr>
        <w:t xml:space="preserve"> </w:t>
      </w:r>
    </w:p>
    <w:p w14:paraId="10CD6EC7" w14:textId="1D28A958" w:rsidR="005C3CFF" w:rsidRPr="00DF11E0" w:rsidRDefault="00B8106B">
      <w:pPr>
        <w:spacing w:before="120" w:after="120"/>
        <w:ind w:firstLine="720"/>
        <w:jc w:val="both"/>
        <w:rPr>
          <w:rFonts w:ascii="Times New Roman" w:hAnsi="Times New Roman" w:cs="Times New Roman"/>
          <w:i/>
          <w:iCs/>
          <w:sz w:val="24"/>
          <w:szCs w:val="24"/>
        </w:rPr>
      </w:pPr>
      <w:r w:rsidRPr="00DF11E0">
        <w:rPr>
          <w:rFonts w:ascii="Times New Roman" w:hAnsi="Times New Roman" w:cs="Times New Roman"/>
          <w:b/>
          <w:bCs/>
          <w:i/>
          <w:iCs/>
          <w:sz w:val="24"/>
          <w:szCs w:val="24"/>
        </w:rPr>
        <w:t>Entrée en vigueur :</w:t>
      </w:r>
      <w:r w:rsidR="00176A22">
        <w:rPr>
          <w:rFonts w:ascii="Times New Roman" w:hAnsi="Times New Roman" w:cs="Times New Roman"/>
          <w:b/>
          <w:bCs/>
          <w:i/>
          <w:iCs/>
          <w:sz w:val="24"/>
          <w:szCs w:val="24"/>
        </w:rPr>
        <w:t xml:space="preserve"> </w:t>
      </w:r>
      <w:r w:rsidR="005E6ACB">
        <w:rPr>
          <w:rFonts w:ascii="Times New Roman" w:hAnsi="Times New Roman" w:cs="Times New Roman"/>
          <w:bCs/>
          <w:i/>
          <w:iCs/>
          <w:sz w:val="24"/>
          <w:szCs w:val="24"/>
        </w:rPr>
        <w:t>L</w:t>
      </w:r>
      <w:r w:rsidR="00351A7D" w:rsidRPr="002E09DC">
        <w:rPr>
          <w:rFonts w:ascii="Times New Roman" w:hAnsi="Times New Roman" w:cs="Times New Roman"/>
          <w:bCs/>
          <w:i/>
          <w:iCs/>
          <w:sz w:val="24"/>
          <w:szCs w:val="24"/>
        </w:rPr>
        <w:t>e lendemain</w:t>
      </w:r>
      <w:r w:rsidR="00351A7D">
        <w:rPr>
          <w:rFonts w:ascii="Times New Roman" w:hAnsi="Times New Roman" w:cs="Times New Roman"/>
          <w:b/>
          <w:bCs/>
          <w:i/>
          <w:iCs/>
          <w:sz w:val="24"/>
          <w:szCs w:val="24"/>
        </w:rPr>
        <w:t xml:space="preserve"> </w:t>
      </w:r>
      <w:r w:rsidR="00351A7D">
        <w:rPr>
          <w:rFonts w:ascii="Times New Roman" w:hAnsi="Times New Roman" w:cs="Times New Roman"/>
          <w:i/>
          <w:iCs/>
          <w:sz w:val="24"/>
          <w:szCs w:val="24"/>
        </w:rPr>
        <w:t>de</w:t>
      </w:r>
      <w:r w:rsidRPr="00DF11E0">
        <w:rPr>
          <w:rFonts w:ascii="Times New Roman" w:hAnsi="Times New Roman" w:cs="Times New Roman"/>
          <w:i/>
          <w:iCs/>
          <w:sz w:val="24"/>
          <w:szCs w:val="24"/>
        </w:rPr>
        <w:t xml:space="preserve"> la publicatio</w:t>
      </w:r>
      <w:r w:rsidR="00F92020">
        <w:rPr>
          <w:rFonts w:ascii="Times New Roman" w:hAnsi="Times New Roman" w:cs="Times New Roman"/>
          <w:i/>
          <w:iCs/>
          <w:sz w:val="24"/>
          <w:szCs w:val="24"/>
        </w:rPr>
        <w:t xml:space="preserve">n de l’arrêté </w:t>
      </w:r>
      <w:r w:rsidRPr="00DF11E0">
        <w:rPr>
          <w:rFonts w:ascii="Times New Roman" w:hAnsi="Times New Roman" w:cs="Times New Roman"/>
          <w:i/>
          <w:iCs/>
          <w:sz w:val="24"/>
          <w:szCs w:val="24"/>
        </w:rPr>
        <w:t>au Journal Officiel.</w:t>
      </w:r>
    </w:p>
    <w:p w14:paraId="341F93AC" w14:textId="54221708" w:rsidR="005C3CFF" w:rsidRPr="00DF11E0" w:rsidRDefault="00B8106B">
      <w:pPr>
        <w:spacing w:after="120"/>
        <w:ind w:firstLine="720"/>
        <w:jc w:val="both"/>
        <w:rPr>
          <w:rFonts w:ascii="Times New Roman" w:hAnsi="Times New Roman" w:cs="Times New Roman"/>
          <w:i/>
          <w:iCs/>
          <w:sz w:val="24"/>
          <w:szCs w:val="24"/>
        </w:rPr>
      </w:pPr>
      <w:r w:rsidRPr="00DF11E0">
        <w:rPr>
          <w:rFonts w:ascii="Times New Roman" w:hAnsi="Times New Roman" w:cs="Times New Roman"/>
          <w:b/>
          <w:bCs/>
          <w:i/>
          <w:iCs/>
          <w:sz w:val="24"/>
          <w:szCs w:val="24"/>
        </w:rPr>
        <w:t>Notice</w:t>
      </w:r>
      <w:r w:rsidR="00F6703C" w:rsidRPr="00DF11E0">
        <w:rPr>
          <w:rFonts w:ascii="Times New Roman" w:hAnsi="Times New Roman" w:cs="Times New Roman"/>
          <w:b/>
          <w:bCs/>
          <w:i/>
          <w:iCs/>
          <w:sz w:val="24"/>
          <w:szCs w:val="24"/>
        </w:rPr>
        <w:t> </w:t>
      </w:r>
      <w:r w:rsidRPr="00DF11E0">
        <w:rPr>
          <w:rFonts w:ascii="Times New Roman" w:hAnsi="Times New Roman" w:cs="Times New Roman"/>
          <w:b/>
          <w:bCs/>
          <w:i/>
          <w:iCs/>
          <w:sz w:val="24"/>
          <w:szCs w:val="24"/>
        </w:rPr>
        <w:t>:</w:t>
      </w:r>
      <w:r w:rsidR="00176A22">
        <w:rPr>
          <w:rFonts w:ascii="Times New Roman" w:hAnsi="Times New Roman" w:cs="Times New Roman"/>
          <w:b/>
          <w:bCs/>
          <w:i/>
          <w:iCs/>
          <w:sz w:val="24"/>
          <w:szCs w:val="24"/>
        </w:rPr>
        <w:t xml:space="preserve"> </w:t>
      </w:r>
      <w:r w:rsidRPr="00DF11E0">
        <w:rPr>
          <w:rFonts w:ascii="Times New Roman" w:hAnsi="Times New Roman" w:cs="Times New Roman"/>
          <w:i/>
          <w:iCs/>
          <w:sz w:val="24"/>
          <w:szCs w:val="24"/>
        </w:rPr>
        <w:t xml:space="preserve">Le règlement (CE) n° 1907/2006 </w:t>
      </w:r>
      <w:r w:rsidR="0089763F">
        <w:rPr>
          <w:rFonts w:ascii="Times New Roman" w:hAnsi="Times New Roman" w:cs="Times New Roman"/>
          <w:i/>
          <w:iCs/>
          <w:sz w:val="24"/>
          <w:szCs w:val="24"/>
        </w:rPr>
        <w:t xml:space="preserve">(« REACH ») </w:t>
      </w:r>
      <w:r w:rsidRPr="00DF11E0">
        <w:rPr>
          <w:rFonts w:ascii="Times New Roman" w:hAnsi="Times New Roman" w:cs="Times New Roman"/>
          <w:i/>
          <w:iCs/>
          <w:sz w:val="24"/>
          <w:szCs w:val="24"/>
        </w:rPr>
        <w:t>prévoit dans son article 33 que tout consommateur peut demander à un fournisseur d’articles de l’informer sur la présence de substances extrêmement préoccupantes, avec une concentration supérieure à 0,1% masse/masse.</w:t>
      </w:r>
      <w:r w:rsidR="005D1350">
        <w:rPr>
          <w:rFonts w:ascii="Times New Roman" w:hAnsi="Times New Roman" w:cs="Times New Roman"/>
          <w:i/>
          <w:iCs/>
          <w:sz w:val="24"/>
          <w:szCs w:val="24"/>
        </w:rPr>
        <w:t xml:space="preserve"> </w:t>
      </w:r>
      <w:r w:rsidRPr="00DF11E0">
        <w:rPr>
          <w:rFonts w:ascii="Times New Roman" w:hAnsi="Times New Roman" w:cs="Times New Roman"/>
          <w:i/>
          <w:iCs/>
          <w:sz w:val="24"/>
          <w:szCs w:val="24"/>
        </w:rPr>
        <w:t xml:space="preserve">La liste des substances extrêmement préoccupantes évolue tous les six mois ; au </w:t>
      </w:r>
      <w:r w:rsidR="0014128A">
        <w:rPr>
          <w:rFonts w:ascii="Times New Roman" w:hAnsi="Times New Roman" w:cs="Times New Roman"/>
          <w:i/>
          <w:iCs/>
          <w:sz w:val="24"/>
          <w:szCs w:val="24"/>
        </w:rPr>
        <w:t>17 janvier</w:t>
      </w:r>
      <w:r w:rsidR="00EB6569">
        <w:rPr>
          <w:rFonts w:ascii="Times New Roman" w:hAnsi="Times New Roman" w:cs="Times New Roman"/>
          <w:i/>
          <w:iCs/>
          <w:sz w:val="24"/>
          <w:szCs w:val="24"/>
        </w:rPr>
        <w:t xml:space="preserve"> </w:t>
      </w:r>
      <w:r w:rsidR="00A40310">
        <w:rPr>
          <w:rFonts w:ascii="Times New Roman" w:hAnsi="Times New Roman" w:cs="Times New Roman"/>
          <w:i/>
          <w:iCs/>
          <w:sz w:val="24"/>
          <w:szCs w:val="24"/>
        </w:rPr>
        <w:t>2022</w:t>
      </w:r>
      <w:r w:rsidRPr="00DF11E0">
        <w:rPr>
          <w:rFonts w:ascii="Times New Roman" w:hAnsi="Times New Roman" w:cs="Times New Roman"/>
          <w:i/>
          <w:iCs/>
          <w:sz w:val="24"/>
          <w:szCs w:val="24"/>
        </w:rPr>
        <w:t xml:space="preserve">, elle listait </w:t>
      </w:r>
      <w:r w:rsidR="0014128A">
        <w:rPr>
          <w:rFonts w:ascii="Times New Roman" w:hAnsi="Times New Roman" w:cs="Times New Roman"/>
          <w:i/>
          <w:iCs/>
          <w:sz w:val="24"/>
          <w:szCs w:val="24"/>
        </w:rPr>
        <w:t xml:space="preserve">233 </w:t>
      </w:r>
      <w:r w:rsidRPr="00DF11E0">
        <w:rPr>
          <w:rFonts w:ascii="Times New Roman" w:hAnsi="Times New Roman" w:cs="Times New Roman"/>
          <w:i/>
          <w:iCs/>
          <w:sz w:val="24"/>
          <w:szCs w:val="24"/>
        </w:rPr>
        <w:t xml:space="preserve">substances. Ces </w:t>
      </w:r>
      <w:r w:rsidR="0014128A">
        <w:rPr>
          <w:rFonts w:ascii="Times New Roman" w:hAnsi="Times New Roman" w:cs="Times New Roman"/>
          <w:i/>
          <w:iCs/>
          <w:sz w:val="24"/>
          <w:szCs w:val="24"/>
        </w:rPr>
        <w:t xml:space="preserve">233 </w:t>
      </w:r>
      <w:r w:rsidRPr="00DF11E0">
        <w:rPr>
          <w:rFonts w:ascii="Times New Roman" w:hAnsi="Times New Roman" w:cs="Times New Roman"/>
          <w:i/>
          <w:iCs/>
          <w:sz w:val="24"/>
          <w:szCs w:val="24"/>
        </w:rPr>
        <w:t xml:space="preserve">substances sont considérées comme prioritaires au niveau européen pour la substitution. Le règlement (UE) n° 1272/2008 </w:t>
      </w:r>
      <w:r w:rsidR="0089763F">
        <w:rPr>
          <w:rFonts w:ascii="Times New Roman" w:hAnsi="Times New Roman" w:cs="Times New Roman"/>
          <w:i/>
          <w:iCs/>
          <w:sz w:val="24"/>
          <w:szCs w:val="24"/>
        </w:rPr>
        <w:t xml:space="preserve">(« CLP ») </w:t>
      </w:r>
      <w:r w:rsidRPr="00DF11E0">
        <w:rPr>
          <w:rFonts w:ascii="Times New Roman" w:hAnsi="Times New Roman" w:cs="Times New Roman"/>
          <w:i/>
          <w:iCs/>
          <w:sz w:val="24"/>
          <w:szCs w:val="24"/>
        </w:rPr>
        <w:t>dispose d</w:t>
      </w:r>
      <w:r w:rsidR="00BC4BCE">
        <w:rPr>
          <w:rFonts w:ascii="Times New Roman" w:hAnsi="Times New Roman" w:cs="Times New Roman"/>
          <w:i/>
          <w:iCs/>
          <w:sz w:val="24"/>
          <w:szCs w:val="24"/>
        </w:rPr>
        <w:t>’</w:t>
      </w:r>
      <w:r w:rsidRPr="00DF11E0">
        <w:rPr>
          <w:rFonts w:ascii="Times New Roman" w:hAnsi="Times New Roman" w:cs="Times New Roman"/>
          <w:i/>
          <w:iCs/>
          <w:sz w:val="24"/>
          <w:szCs w:val="24"/>
        </w:rPr>
        <w:t xml:space="preserve">obligations relatives à la classification, à l’étiquetage et à l’emballage des substances et mélanges chimiques, l’étiquetage étant le principal vecteur d’information vers les consommateurs. </w:t>
      </w:r>
      <w:r w:rsidR="00BC4BCE">
        <w:rPr>
          <w:rFonts w:ascii="Times New Roman" w:hAnsi="Times New Roman" w:cs="Times New Roman"/>
          <w:i/>
          <w:iCs/>
          <w:sz w:val="24"/>
          <w:szCs w:val="24"/>
        </w:rPr>
        <w:t>Ces</w:t>
      </w:r>
      <w:r w:rsidRPr="00DF11E0">
        <w:rPr>
          <w:rFonts w:ascii="Times New Roman" w:hAnsi="Times New Roman" w:cs="Times New Roman"/>
          <w:i/>
          <w:iCs/>
          <w:sz w:val="24"/>
          <w:szCs w:val="24"/>
        </w:rPr>
        <w:t xml:space="preserve"> réglementations visent à assurer un haut niveau de protection de la santé humaine et de l'environnement</w:t>
      </w:r>
      <w:r w:rsidR="00BC4BCE">
        <w:rPr>
          <w:rFonts w:ascii="Times New Roman" w:hAnsi="Times New Roman" w:cs="Times New Roman"/>
          <w:i/>
          <w:iCs/>
          <w:sz w:val="24"/>
          <w:szCs w:val="24"/>
        </w:rPr>
        <w:t xml:space="preserve"> au bénéfice du consommateur</w:t>
      </w:r>
      <w:r w:rsidRPr="00DF11E0">
        <w:rPr>
          <w:rFonts w:ascii="Times New Roman" w:hAnsi="Times New Roman" w:cs="Times New Roman"/>
          <w:i/>
          <w:iCs/>
          <w:sz w:val="24"/>
          <w:szCs w:val="24"/>
        </w:rPr>
        <w:t xml:space="preserve">, </w:t>
      </w:r>
      <w:r w:rsidR="00BC4BCE">
        <w:rPr>
          <w:rFonts w:ascii="Times New Roman" w:hAnsi="Times New Roman" w:cs="Times New Roman"/>
          <w:i/>
          <w:iCs/>
          <w:sz w:val="24"/>
          <w:szCs w:val="24"/>
        </w:rPr>
        <w:t xml:space="preserve">en l’informant </w:t>
      </w:r>
      <w:r w:rsidRPr="00DF11E0">
        <w:rPr>
          <w:rFonts w:ascii="Times New Roman" w:hAnsi="Times New Roman" w:cs="Times New Roman"/>
          <w:i/>
          <w:iCs/>
          <w:sz w:val="24"/>
          <w:szCs w:val="24"/>
        </w:rPr>
        <w:t>notamment sur la présence de substances extrêmement préoccupantes dans les articles et les dangers présentés par les mélanges</w:t>
      </w:r>
      <w:r w:rsidR="00BC4BCE">
        <w:rPr>
          <w:rFonts w:ascii="Times New Roman" w:hAnsi="Times New Roman" w:cs="Times New Roman"/>
          <w:i/>
          <w:iCs/>
          <w:sz w:val="24"/>
          <w:szCs w:val="24"/>
        </w:rPr>
        <w:t xml:space="preserve"> et les substances</w:t>
      </w:r>
      <w:r w:rsidRPr="00DF11E0">
        <w:rPr>
          <w:rFonts w:ascii="Times New Roman" w:hAnsi="Times New Roman" w:cs="Times New Roman"/>
          <w:i/>
          <w:iCs/>
          <w:sz w:val="24"/>
          <w:szCs w:val="24"/>
        </w:rPr>
        <w:t xml:space="preserve">. </w:t>
      </w:r>
      <w:r w:rsidR="00EA1CD5">
        <w:rPr>
          <w:rFonts w:ascii="Times New Roman" w:hAnsi="Times New Roman" w:cs="Times New Roman"/>
          <w:i/>
          <w:iCs/>
          <w:sz w:val="24"/>
          <w:szCs w:val="24"/>
        </w:rPr>
        <w:t>L’article L. 541-9-1 du code de l’environnement, créé par l</w:t>
      </w:r>
      <w:r w:rsidRPr="00DF11E0">
        <w:rPr>
          <w:rFonts w:ascii="Times New Roman" w:hAnsi="Times New Roman" w:cs="Times New Roman"/>
          <w:i/>
          <w:iCs/>
          <w:sz w:val="24"/>
          <w:szCs w:val="24"/>
        </w:rPr>
        <w:t>a loi n° 2020-105 du 10 février 2020 relative à la lutte contre le gaspillage et à l'économie circulaire</w:t>
      </w:r>
      <w:r w:rsidR="00EA1CD5">
        <w:rPr>
          <w:rFonts w:ascii="Times New Roman" w:hAnsi="Times New Roman" w:cs="Times New Roman"/>
          <w:i/>
          <w:iCs/>
          <w:sz w:val="24"/>
          <w:szCs w:val="24"/>
        </w:rPr>
        <w:t>,</w:t>
      </w:r>
      <w:r w:rsidRPr="00DF11E0">
        <w:rPr>
          <w:rFonts w:ascii="Times New Roman" w:hAnsi="Times New Roman" w:cs="Times New Roman"/>
          <w:i/>
          <w:iCs/>
          <w:sz w:val="24"/>
          <w:szCs w:val="24"/>
        </w:rPr>
        <w:t xml:space="preserve"> prévoit la possibilité d’élargir et de renforce</w:t>
      </w:r>
      <w:r w:rsidR="00EB6569">
        <w:rPr>
          <w:rFonts w:ascii="Times New Roman" w:hAnsi="Times New Roman" w:cs="Times New Roman"/>
          <w:i/>
          <w:iCs/>
          <w:sz w:val="24"/>
          <w:szCs w:val="24"/>
        </w:rPr>
        <w:t>r ces obligations d’information</w:t>
      </w:r>
      <w:r w:rsidR="00BF1741">
        <w:rPr>
          <w:rFonts w:ascii="Times New Roman" w:hAnsi="Times New Roman" w:cs="Times New Roman"/>
          <w:i/>
          <w:iCs/>
          <w:sz w:val="24"/>
          <w:szCs w:val="24"/>
        </w:rPr>
        <w:t xml:space="preserve"> pour les produits générateurs de déchets</w:t>
      </w:r>
      <w:r w:rsidR="00EB6569">
        <w:rPr>
          <w:rFonts w:ascii="Times New Roman" w:hAnsi="Times New Roman" w:cs="Times New Roman"/>
          <w:i/>
          <w:iCs/>
          <w:sz w:val="24"/>
          <w:szCs w:val="24"/>
        </w:rPr>
        <w:t>, notamment sous un format dématérialisé.</w:t>
      </w:r>
      <w:r w:rsidR="00BF1741">
        <w:rPr>
          <w:rFonts w:ascii="Times New Roman" w:hAnsi="Times New Roman" w:cs="Times New Roman"/>
          <w:i/>
          <w:iCs/>
          <w:sz w:val="24"/>
          <w:szCs w:val="24"/>
        </w:rPr>
        <w:t xml:space="preserve"> C</w:t>
      </w:r>
      <w:r w:rsidR="00BF1741" w:rsidRPr="00DF11E0">
        <w:rPr>
          <w:rFonts w:ascii="Times New Roman" w:hAnsi="Times New Roman" w:cs="Times New Roman"/>
          <w:i/>
          <w:iCs/>
          <w:sz w:val="24"/>
          <w:szCs w:val="24"/>
        </w:rPr>
        <w:t xml:space="preserve">es produits </w:t>
      </w:r>
      <w:r w:rsidR="00BF1741">
        <w:rPr>
          <w:rFonts w:ascii="Times New Roman" w:hAnsi="Times New Roman" w:cs="Times New Roman"/>
          <w:i/>
          <w:iCs/>
          <w:sz w:val="24"/>
          <w:szCs w:val="24"/>
        </w:rPr>
        <w:t>s’entendent</w:t>
      </w:r>
      <w:r w:rsidR="00BF1741" w:rsidRPr="00DF11E0">
        <w:rPr>
          <w:rFonts w:ascii="Times New Roman" w:hAnsi="Times New Roman" w:cs="Times New Roman"/>
          <w:i/>
          <w:iCs/>
          <w:sz w:val="24"/>
          <w:szCs w:val="24"/>
        </w:rPr>
        <w:t xml:space="preserve"> comme des articles</w:t>
      </w:r>
      <w:r w:rsidR="00BF1741">
        <w:rPr>
          <w:rFonts w:ascii="Times New Roman" w:hAnsi="Times New Roman" w:cs="Times New Roman"/>
          <w:i/>
          <w:iCs/>
          <w:sz w:val="24"/>
          <w:szCs w:val="24"/>
        </w:rPr>
        <w:t xml:space="preserve">, </w:t>
      </w:r>
      <w:r w:rsidR="00BF1741" w:rsidRPr="00DF11E0">
        <w:rPr>
          <w:rFonts w:ascii="Times New Roman" w:hAnsi="Times New Roman" w:cs="Times New Roman"/>
          <w:i/>
          <w:iCs/>
          <w:sz w:val="24"/>
          <w:szCs w:val="24"/>
        </w:rPr>
        <w:t xml:space="preserve">des mélanges </w:t>
      </w:r>
      <w:r w:rsidR="00BF1741">
        <w:rPr>
          <w:rFonts w:ascii="Times New Roman" w:hAnsi="Times New Roman" w:cs="Times New Roman"/>
          <w:i/>
          <w:iCs/>
          <w:sz w:val="24"/>
          <w:szCs w:val="24"/>
        </w:rPr>
        <w:t xml:space="preserve">ou des substances </w:t>
      </w:r>
      <w:r w:rsidR="00BF1741" w:rsidRPr="00DF11E0">
        <w:rPr>
          <w:rFonts w:ascii="Times New Roman" w:hAnsi="Times New Roman" w:cs="Times New Roman"/>
          <w:i/>
          <w:iCs/>
          <w:sz w:val="24"/>
          <w:szCs w:val="24"/>
        </w:rPr>
        <w:t>au sens de l’article 3 du règlement (CE) n° 1907/2006</w:t>
      </w:r>
      <w:r w:rsidR="003B1197">
        <w:rPr>
          <w:rFonts w:ascii="Times New Roman" w:hAnsi="Times New Roman" w:cs="Times New Roman"/>
          <w:i/>
          <w:iCs/>
          <w:sz w:val="24"/>
          <w:szCs w:val="24"/>
        </w:rPr>
        <w:t>.</w:t>
      </w:r>
      <w:r w:rsidR="00DF00AF">
        <w:rPr>
          <w:rFonts w:ascii="Times New Roman" w:hAnsi="Times New Roman" w:cs="Times New Roman"/>
          <w:i/>
          <w:iCs/>
          <w:sz w:val="24"/>
          <w:szCs w:val="24"/>
        </w:rPr>
        <w:t xml:space="preserve"> </w:t>
      </w:r>
      <w:r w:rsidR="00DF00AF" w:rsidRPr="00646164">
        <w:rPr>
          <w:rFonts w:ascii="Times New Roman" w:hAnsi="Times New Roman" w:cs="Times New Roman"/>
          <w:i/>
          <w:iCs/>
          <w:sz w:val="24"/>
          <w:szCs w:val="24"/>
        </w:rPr>
        <w:t xml:space="preserve">Le décret </w:t>
      </w:r>
      <w:r w:rsidR="00EA1CD5" w:rsidRPr="00646164">
        <w:rPr>
          <w:rFonts w:ascii="Times New Roman" w:hAnsi="Times New Roman" w:cs="Times New Roman"/>
          <w:i/>
          <w:iCs/>
          <w:sz w:val="24"/>
          <w:szCs w:val="24"/>
        </w:rPr>
        <w:t>n° 2021-1285 du 1</w:t>
      </w:r>
      <w:r w:rsidR="00EA1CD5" w:rsidRPr="00646164">
        <w:rPr>
          <w:rFonts w:ascii="Times New Roman" w:hAnsi="Times New Roman" w:cs="Times New Roman"/>
          <w:i/>
          <w:iCs/>
          <w:sz w:val="24"/>
          <w:szCs w:val="24"/>
          <w:vertAlign w:val="superscript"/>
        </w:rPr>
        <w:t>er</w:t>
      </w:r>
      <w:r w:rsidR="00EA1CD5" w:rsidRPr="00646164">
        <w:rPr>
          <w:rFonts w:ascii="Times New Roman" w:hAnsi="Times New Roman" w:cs="Times New Roman"/>
          <w:i/>
          <w:iCs/>
          <w:sz w:val="24"/>
          <w:szCs w:val="24"/>
        </w:rPr>
        <w:t xml:space="preserve"> octobre </w:t>
      </w:r>
      <w:r w:rsidR="00EA1CD5" w:rsidRPr="00646164">
        <w:rPr>
          <w:rFonts w:ascii="Times New Roman" w:hAnsi="Times New Roman" w:cs="Times New Roman"/>
          <w:i/>
          <w:iCs/>
          <w:sz w:val="24"/>
          <w:szCs w:val="24"/>
        </w:rPr>
        <w:lastRenderedPageBreak/>
        <w:t xml:space="preserve">2021 </w:t>
      </w:r>
      <w:r w:rsidR="00DF00AF" w:rsidRPr="00646164">
        <w:rPr>
          <w:rFonts w:ascii="Times New Roman" w:hAnsi="Times New Roman" w:cs="Times New Roman"/>
          <w:i/>
          <w:iCs/>
          <w:sz w:val="24"/>
          <w:szCs w:val="24"/>
        </w:rPr>
        <w:t>relatif à l’identification des substances dangereuses dans les produits générateurs de déchets</w:t>
      </w:r>
      <w:r w:rsidR="00ED414C" w:rsidRPr="00646164">
        <w:rPr>
          <w:rFonts w:ascii="Times New Roman" w:hAnsi="Times New Roman" w:cs="Times New Roman"/>
          <w:i/>
          <w:iCs/>
          <w:sz w:val="24"/>
          <w:szCs w:val="24"/>
        </w:rPr>
        <w:t xml:space="preserve"> définit que la liste de ces substances est constituée de la liste des substances extrêmement préoccupantes additionnée de la liste des substances dont le niveau de préoccupation est comparable, cette seconde liste étant fixée après avis de l'agence nationale de sécurité sanitaire de l'alimentation, de l'environnement et du travail.</w:t>
      </w:r>
      <w:r w:rsidR="00C02043">
        <w:rPr>
          <w:rFonts w:ascii="Times New Roman" w:hAnsi="Times New Roman" w:cs="Times New Roman"/>
          <w:i/>
          <w:iCs/>
          <w:sz w:val="24"/>
          <w:szCs w:val="24"/>
        </w:rPr>
        <w:t xml:space="preserve"> Le présent arrêté établit une</w:t>
      </w:r>
      <w:r w:rsidR="00482DA4">
        <w:rPr>
          <w:rFonts w:ascii="Times New Roman" w:hAnsi="Times New Roman" w:cs="Times New Roman"/>
          <w:i/>
          <w:iCs/>
          <w:sz w:val="24"/>
          <w:szCs w:val="24"/>
        </w:rPr>
        <w:t xml:space="preserve"> première</w:t>
      </w:r>
      <w:r w:rsidR="00C02043">
        <w:rPr>
          <w:rFonts w:ascii="Times New Roman" w:hAnsi="Times New Roman" w:cs="Times New Roman"/>
          <w:i/>
          <w:iCs/>
          <w:sz w:val="24"/>
          <w:szCs w:val="24"/>
        </w:rPr>
        <w:t xml:space="preserve"> liste de substances </w:t>
      </w:r>
      <w:r w:rsidR="00C02043" w:rsidRPr="00646164">
        <w:rPr>
          <w:rFonts w:ascii="Times New Roman" w:hAnsi="Times New Roman" w:cs="Times New Roman"/>
          <w:i/>
          <w:iCs/>
          <w:sz w:val="24"/>
          <w:szCs w:val="24"/>
        </w:rPr>
        <w:t>dont le niveau de préoccupation est comparable</w:t>
      </w:r>
      <w:r w:rsidR="00C02043">
        <w:rPr>
          <w:rFonts w:ascii="Times New Roman" w:hAnsi="Times New Roman" w:cs="Times New Roman"/>
          <w:i/>
          <w:iCs/>
          <w:sz w:val="24"/>
          <w:szCs w:val="24"/>
        </w:rPr>
        <w:t xml:space="preserve"> aux substances extrêmement préoccupantes</w:t>
      </w:r>
      <w:r w:rsidR="003B1197">
        <w:rPr>
          <w:rFonts w:ascii="Times New Roman" w:hAnsi="Times New Roman" w:cs="Times New Roman"/>
          <w:i/>
          <w:iCs/>
          <w:sz w:val="24"/>
          <w:szCs w:val="24"/>
        </w:rPr>
        <w:t>, conformément aux recommandations de l’Anses dans son avis du 25 mars 2021.</w:t>
      </w:r>
    </w:p>
    <w:p w14:paraId="3A70FCFC" w14:textId="7D42E421" w:rsidR="005C3CFF" w:rsidRPr="007C2FA5" w:rsidRDefault="00F92020">
      <w:pPr>
        <w:spacing w:before="720" w:after="240"/>
        <w:ind w:firstLine="720"/>
        <w:rPr>
          <w:rFonts w:ascii="Times New Roman" w:hAnsi="Times New Roman" w:cs="Times New Roman"/>
          <w:b/>
          <w:bCs/>
          <w:sz w:val="24"/>
          <w:szCs w:val="24"/>
        </w:rPr>
      </w:pPr>
      <w:r>
        <w:rPr>
          <w:rFonts w:ascii="Times New Roman" w:hAnsi="Times New Roman" w:cs="Times New Roman"/>
          <w:b/>
          <w:bCs/>
          <w:sz w:val="24"/>
          <w:szCs w:val="24"/>
        </w:rPr>
        <w:t>L</w:t>
      </w:r>
      <w:r w:rsidR="00D60460">
        <w:rPr>
          <w:rFonts w:ascii="Times New Roman" w:hAnsi="Times New Roman" w:cs="Times New Roman"/>
          <w:b/>
          <w:bCs/>
          <w:sz w:val="24"/>
          <w:szCs w:val="24"/>
        </w:rPr>
        <w:t>e</w:t>
      </w:r>
      <w:r>
        <w:rPr>
          <w:rFonts w:ascii="Times New Roman" w:hAnsi="Times New Roman" w:cs="Times New Roman"/>
          <w:b/>
          <w:bCs/>
          <w:sz w:val="24"/>
          <w:szCs w:val="24"/>
        </w:rPr>
        <w:t xml:space="preserve"> Ministre de la transition écologique</w:t>
      </w:r>
      <w:r w:rsidR="00D60460">
        <w:rPr>
          <w:rFonts w:ascii="Times New Roman" w:hAnsi="Times New Roman" w:cs="Times New Roman"/>
          <w:b/>
          <w:bCs/>
          <w:sz w:val="24"/>
          <w:szCs w:val="24"/>
        </w:rPr>
        <w:t xml:space="preserve"> et de la cohésion des territoires</w:t>
      </w:r>
      <w:r w:rsidR="00B8106B" w:rsidRPr="007C2FA5">
        <w:rPr>
          <w:rFonts w:ascii="Times New Roman" w:hAnsi="Times New Roman" w:cs="Times New Roman"/>
          <w:b/>
          <w:bCs/>
          <w:sz w:val="24"/>
          <w:szCs w:val="24"/>
        </w:rPr>
        <w:t>,</w:t>
      </w:r>
    </w:p>
    <w:p w14:paraId="1BA61EAC" w14:textId="77777777" w:rsidR="00BC4BCE" w:rsidRDefault="00B8106B" w:rsidP="0068723C">
      <w:pPr>
        <w:pStyle w:val="SNRapport"/>
        <w:jc w:val="both"/>
      </w:pPr>
      <w:r w:rsidRPr="00093D84">
        <w:t xml:space="preserve">Sur le rapport </w:t>
      </w:r>
      <w:r w:rsidR="00F92020">
        <w:t>du directeur général de la prévention des risques</w:t>
      </w:r>
      <w:r w:rsidR="00BC4BCE">
        <w:t> ;</w:t>
      </w:r>
    </w:p>
    <w:p w14:paraId="4EF37F21" w14:textId="77777777" w:rsidR="00FA067A" w:rsidRDefault="00FA067A" w:rsidP="00FA067A">
      <w:pPr>
        <w:pStyle w:val="SNVisa"/>
        <w:rPr>
          <w:bCs/>
        </w:rPr>
      </w:pPr>
      <w:r w:rsidRPr="00043460">
        <w:rPr>
          <w:bCs/>
        </w:rPr>
        <w:t xml:space="preserve">Vu le Règlement (CE) 1907/2006 </w:t>
      </w:r>
      <w:r w:rsidRPr="00716136">
        <w:rPr>
          <w:bCs/>
        </w:rPr>
        <w:t>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 793/93 du Conseil et le règlement (CE) n° 1488/94 de la Commission ainsi que la directive</w:t>
      </w:r>
      <w:r w:rsidRPr="00FA067A">
        <w:rPr>
          <w:bCs/>
        </w:rPr>
        <w:t xml:space="preserve"> 76/769/CEE du Conseil et les directives 91/155/CEE, 93/67/CEE, 93/105/CE et 2000/21/CE de la Commission ;</w:t>
      </w:r>
    </w:p>
    <w:p w14:paraId="19B9958A" w14:textId="065AAC06" w:rsidR="00FA067A" w:rsidRPr="00AC5C8E" w:rsidRDefault="00FA067A" w:rsidP="00FA067A">
      <w:pPr>
        <w:pStyle w:val="SNVisa"/>
        <w:rPr>
          <w:shd w:val="clear" w:color="auto" w:fill="FFFFFF"/>
        </w:rPr>
      </w:pPr>
      <w:r w:rsidRPr="00AC5C8E">
        <w:rPr>
          <w:bCs/>
        </w:rPr>
        <w:t xml:space="preserve">Vu la Directive (UE) 2015/1535 </w:t>
      </w:r>
      <w:r w:rsidRPr="00AC5C8E">
        <w:t xml:space="preserve">du Parlement européen et du Conseil </w:t>
      </w:r>
      <w:r w:rsidRPr="00AC5C8E">
        <w:rPr>
          <w:shd w:val="clear" w:color="auto" w:fill="FFFFFF"/>
        </w:rPr>
        <w:t>du 9 septembre 2015 prévoyant une procédure d'information dans le domaine des réglementations techniques et des règles relatives aux services de la société de l'information</w:t>
      </w:r>
      <w:r w:rsidR="00ED414C">
        <w:rPr>
          <w:shd w:val="clear" w:color="auto" w:fill="FFFFFF"/>
        </w:rPr>
        <w:t xml:space="preserve"> </w:t>
      </w:r>
      <w:r w:rsidR="00ED414C" w:rsidRPr="00FC27A9">
        <w:t xml:space="preserve">et notamment la notification n° </w:t>
      </w:r>
      <w:r w:rsidR="00ED414C" w:rsidRPr="00F92020">
        <w:rPr>
          <w:highlight w:val="yellow"/>
        </w:rPr>
        <w:t>202</w:t>
      </w:r>
      <w:r w:rsidR="005E6ACB">
        <w:rPr>
          <w:highlight w:val="yellow"/>
        </w:rPr>
        <w:t>3</w:t>
      </w:r>
      <w:r w:rsidR="00ED414C" w:rsidRPr="00F92020">
        <w:rPr>
          <w:highlight w:val="yellow"/>
        </w:rPr>
        <w:t>/XXX/F</w:t>
      </w:r>
      <w:r>
        <w:rPr>
          <w:shd w:val="clear" w:color="auto" w:fill="FFFFFF"/>
        </w:rPr>
        <w:t> ;</w:t>
      </w:r>
    </w:p>
    <w:p w14:paraId="7FAA9FD4" w14:textId="77777777" w:rsidR="00FA067A" w:rsidRDefault="00FA067A" w:rsidP="00FA067A">
      <w:pPr>
        <w:pStyle w:val="SNVisa"/>
        <w:rPr>
          <w:bCs/>
        </w:rPr>
      </w:pPr>
      <w:r w:rsidRPr="00093D84">
        <w:rPr>
          <w:bCs/>
        </w:rPr>
        <w:t xml:space="preserve">Vu la Directive (UE) 2018/851 </w:t>
      </w:r>
      <w:r w:rsidRPr="00093D84">
        <w:t xml:space="preserve">du Parlement européen et du Conseil </w:t>
      </w:r>
      <w:r w:rsidRPr="00093D84">
        <w:rPr>
          <w:bCs/>
        </w:rPr>
        <w:t>du 30 Mai 2018 modifiant la directive 2008/98/CE relative aux déchets</w:t>
      </w:r>
      <w:r>
        <w:rPr>
          <w:bCs/>
        </w:rPr>
        <w:t> ;</w:t>
      </w:r>
    </w:p>
    <w:p w14:paraId="4FC279E8" w14:textId="7E3F171B" w:rsidR="00FA067A" w:rsidRDefault="00FA067A" w:rsidP="00FA067A">
      <w:pPr>
        <w:pStyle w:val="SNVisa"/>
        <w:rPr>
          <w:bCs/>
        </w:rPr>
      </w:pPr>
      <w:r w:rsidRPr="00646164">
        <w:rPr>
          <w:bCs/>
        </w:rPr>
        <w:t xml:space="preserve">Vu le code de l’environnement, notamment </w:t>
      </w:r>
      <w:r w:rsidR="00F92020" w:rsidRPr="00646164">
        <w:rPr>
          <w:bCs/>
        </w:rPr>
        <w:t>son</w:t>
      </w:r>
      <w:r w:rsidRPr="00646164">
        <w:rPr>
          <w:bCs/>
        </w:rPr>
        <w:t xml:space="preserve"> article L. 541-9-1</w:t>
      </w:r>
      <w:r w:rsidR="00F92020" w:rsidRPr="00646164">
        <w:rPr>
          <w:bCs/>
        </w:rPr>
        <w:t xml:space="preserve"> </w:t>
      </w:r>
      <w:r w:rsidRPr="00646164">
        <w:rPr>
          <w:bCs/>
        </w:rPr>
        <w:t>;</w:t>
      </w:r>
    </w:p>
    <w:p w14:paraId="16EBB9A6" w14:textId="32017DAD" w:rsidR="009D219E" w:rsidRPr="00646164" w:rsidRDefault="009D219E" w:rsidP="00FA067A">
      <w:pPr>
        <w:pStyle w:val="SNVisa"/>
        <w:rPr>
          <w:bCs/>
        </w:rPr>
      </w:pPr>
      <w:r>
        <w:rPr>
          <w:bCs/>
        </w:rPr>
        <w:t>Vu le code de l’environnement, notamment son article R. 541-221 ;</w:t>
      </w:r>
    </w:p>
    <w:p w14:paraId="291EB9A3" w14:textId="6247425E" w:rsidR="001509DC" w:rsidRDefault="00F92020" w:rsidP="001509DC">
      <w:pPr>
        <w:pStyle w:val="SNVisa"/>
        <w:rPr>
          <w:bCs/>
        </w:rPr>
      </w:pPr>
      <w:r w:rsidRPr="00646164">
        <w:rPr>
          <w:bCs/>
        </w:rPr>
        <w:t xml:space="preserve">Vu le </w:t>
      </w:r>
      <w:r w:rsidR="004635A2" w:rsidRPr="00646164">
        <w:rPr>
          <w:bCs/>
        </w:rPr>
        <w:t xml:space="preserve">décret </w:t>
      </w:r>
      <w:r w:rsidRPr="00646164">
        <w:rPr>
          <w:bCs/>
        </w:rPr>
        <w:t>n° 2021-1285 du 1</w:t>
      </w:r>
      <w:r w:rsidRPr="00646164">
        <w:rPr>
          <w:bCs/>
          <w:vertAlign w:val="superscript"/>
        </w:rPr>
        <w:t>er</w:t>
      </w:r>
      <w:r w:rsidRPr="00646164">
        <w:rPr>
          <w:bCs/>
        </w:rPr>
        <w:t xml:space="preserve"> octobre 2021 relatif à l'identification des substances dangereuses dans les produits générateurs de déchets</w:t>
      </w:r>
      <w:r w:rsidR="004635A2" w:rsidRPr="00646164">
        <w:rPr>
          <w:bCs/>
        </w:rPr>
        <w:t xml:space="preserve"> pris en application de l’article L. 541-9-1 du code de l’environnement ;</w:t>
      </w:r>
    </w:p>
    <w:p w14:paraId="62C9F107" w14:textId="671C1C40" w:rsidR="00351A7D" w:rsidRDefault="00351A7D" w:rsidP="001509DC">
      <w:pPr>
        <w:pStyle w:val="SNVisa"/>
        <w:rPr>
          <w:bCs/>
        </w:rPr>
      </w:pPr>
      <w:r>
        <w:rPr>
          <w:bCs/>
        </w:rPr>
        <w:t xml:space="preserve">Vu le décret </w:t>
      </w:r>
      <w:r w:rsidRPr="00351A7D">
        <w:rPr>
          <w:bCs/>
        </w:rPr>
        <w:t>n° 2022-748 du 29 avril 2022 relatif à l'information du consommateur sur les qualités et caractéristiques environnementales des produits générateurs de déchets</w:t>
      </w:r>
      <w:r>
        <w:rPr>
          <w:bCs/>
        </w:rPr>
        <w:t> ;</w:t>
      </w:r>
    </w:p>
    <w:p w14:paraId="4F9A831F" w14:textId="77777777" w:rsidR="001509DC" w:rsidRDefault="001509DC" w:rsidP="00ED414C">
      <w:pPr>
        <w:pStyle w:val="SNVisa"/>
        <w:rPr>
          <w:bCs/>
        </w:rPr>
      </w:pPr>
      <w:r w:rsidRPr="00646164">
        <w:rPr>
          <w:bCs/>
        </w:rPr>
        <w:t>Vu la liste de substances publiée par l’Agence européenne des produits chimiques sur son site internet, au 10 juin 2022, conformément aux dispositions de l'article 59 du règlement (CE) n° 1907/2006 ;</w:t>
      </w:r>
    </w:p>
    <w:p w14:paraId="0761D7BB" w14:textId="21EE575E" w:rsidR="00093D84" w:rsidRDefault="00CD2D5F" w:rsidP="00ED414C">
      <w:pPr>
        <w:pStyle w:val="SNVisa"/>
        <w:rPr>
          <w:bCs/>
        </w:rPr>
      </w:pPr>
      <w:r w:rsidRPr="00646164">
        <w:rPr>
          <w:bCs/>
        </w:rPr>
        <w:t>Vu l</w:t>
      </w:r>
      <w:r w:rsidR="006B6B73" w:rsidRPr="00646164">
        <w:rPr>
          <w:bCs/>
        </w:rPr>
        <w:t>’</w:t>
      </w:r>
      <w:r w:rsidRPr="00646164">
        <w:rPr>
          <w:bCs/>
        </w:rPr>
        <w:t xml:space="preserve">avis de l’agence nationale de sécurité sanitaire de l’alimentation, de l’environnement et du travail rendu le </w:t>
      </w:r>
      <w:r w:rsidR="00B1037F" w:rsidRPr="00646164">
        <w:rPr>
          <w:bCs/>
        </w:rPr>
        <w:t>25</w:t>
      </w:r>
      <w:r w:rsidR="00F817B6" w:rsidRPr="00646164">
        <w:rPr>
          <w:bCs/>
        </w:rPr>
        <w:t xml:space="preserve"> </w:t>
      </w:r>
      <w:r w:rsidR="00B1037F" w:rsidRPr="00646164">
        <w:rPr>
          <w:bCs/>
        </w:rPr>
        <w:t>mars</w:t>
      </w:r>
      <w:r w:rsidR="005D1350" w:rsidRPr="00646164">
        <w:rPr>
          <w:bCs/>
        </w:rPr>
        <w:t xml:space="preserve"> </w:t>
      </w:r>
      <w:r w:rsidR="00B1037F" w:rsidRPr="00646164">
        <w:rPr>
          <w:bCs/>
        </w:rPr>
        <w:t>2021</w:t>
      </w:r>
      <w:r w:rsidR="004968C7">
        <w:rPr>
          <w:bCs/>
        </w:rPr>
        <w:t xml:space="preserve"> suite à la saisine du 26 août 2020 par le directeur général de la prévention des risques et le directeur général de la santé</w:t>
      </w:r>
      <w:r w:rsidR="00B1037F" w:rsidRPr="00646164">
        <w:rPr>
          <w:bCs/>
        </w:rPr>
        <w:t> ;</w:t>
      </w:r>
    </w:p>
    <w:p w14:paraId="515AAA36" w14:textId="38651439" w:rsidR="00C57297" w:rsidRPr="00646164" w:rsidRDefault="00C57297" w:rsidP="00C57297">
      <w:pPr>
        <w:pStyle w:val="SNVisa"/>
        <w:rPr>
          <w:bCs/>
        </w:rPr>
      </w:pPr>
      <w:r w:rsidRPr="00646164">
        <w:rPr>
          <w:bCs/>
        </w:rPr>
        <w:t>Considérant que le bisphénol B est une substance qui a été incluse à la liste des substances préoccupantes le 8 juillet 2021 en raison de ses propriétés de perturbation endocrinienne pour l’environnement et pour la santé humaine ;</w:t>
      </w:r>
    </w:p>
    <w:p w14:paraId="339681F1" w14:textId="7AE8D5B0" w:rsidR="00B1037F" w:rsidRPr="00646164" w:rsidRDefault="00B1037F" w:rsidP="00ED414C">
      <w:pPr>
        <w:pStyle w:val="SNVisa"/>
        <w:rPr>
          <w:bCs/>
        </w:rPr>
      </w:pPr>
      <w:r w:rsidRPr="00646164">
        <w:rPr>
          <w:bCs/>
        </w:rPr>
        <w:lastRenderedPageBreak/>
        <w:t xml:space="preserve">Considérant </w:t>
      </w:r>
      <w:r w:rsidR="00E95D8C" w:rsidRPr="00646164">
        <w:rPr>
          <w:bCs/>
        </w:rPr>
        <w:t xml:space="preserve">que le </w:t>
      </w:r>
      <w:proofErr w:type="spellStart"/>
      <w:r w:rsidRPr="00646164">
        <w:rPr>
          <w:bCs/>
        </w:rPr>
        <w:t>phtalate</w:t>
      </w:r>
      <w:proofErr w:type="spellEnd"/>
      <w:r w:rsidRPr="00646164">
        <w:rPr>
          <w:bCs/>
        </w:rPr>
        <w:t xml:space="preserve"> de </w:t>
      </w:r>
      <w:proofErr w:type="spellStart"/>
      <w:r w:rsidRPr="00646164">
        <w:rPr>
          <w:bCs/>
        </w:rPr>
        <w:t>diisooctyle</w:t>
      </w:r>
      <w:proofErr w:type="spellEnd"/>
      <w:r w:rsidR="00E95D8C" w:rsidRPr="00646164">
        <w:rPr>
          <w:bCs/>
        </w:rPr>
        <w:t xml:space="preserve"> est une substance classée </w:t>
      </w:r>
      <w:proofErr w:type="spellStart"/>
      <w:r w:rsidR="00E95D8C" w:rsidRPr="00646164">
        <w:rPr>
          <w:bCs/>
        </w:rPr>
        <w:t>reprotoxique</w:t>
      </w:r>
      <w:proofErr w:type="spellEnd"/>
      <w:r w:rsidR="00E95D8C" w:rsidRPr="00646164">
        <w:rPr>
          <w:bCs/>
        </w:rPr>
        <w:t xml:space="preserve"> de catégorie 1B remplissant les critères d’identification comme substance extrêmement préoccupante ;</w:t>
      </w:r>
    </w:p>
    <w:p w14:paraId="6E61F2A2" w14:textId="02557EE0" w:rsidR="00E95D8C" w:rsidRPr="00646164" w:rsidRDefault="00E95D8C" w:rsidP="00ED414C">
      <w:pPr>
        <w:pStyle w:val="SNVisa"/>
        <w:rPr>
          <w:bCs/>
        </w:rPr>
      </w:pPr>
      <w:r w:rsidRPr="00646164">
        <w:rPr>
          <w:bCs/>
        </w:rPr>
        <w:t xml:space="preserve">Considérant que le résorcinol est une substance dont les propriétés de perturbation endocrinienne </w:t>
      </w:r>
      <w:r w:rsidR="0025560A" w:rsidRPr="00646164">
        <w:rPr>
          <w:bCs/>
        </w:rPr>
        <w:t xml:space="preserve">pour l’Homme </w:t>
      </w:r>
      <w:r w:rsidRPr="00646164">
        <w:rPr>
          <w:bCs/>
        </w:rPr>
        <w:t xml:space="preserve">ont été reconnues à la fois par l’agence nationale de sécurité sanitaire de l'alimentation, de l'environnement et du travail </w:t>
      </w:r>
      <w:r w:rsidR="0025560A" w:rsidRPr="00646164">
        <w:rPr>
          <w:bCs/>
        </w:rPr>
        <w:t xml:space="preserve">(ANSES) </w:t>
      </w:r>
      <w:r w:rsidRPr="00646164">
        <w:rPr>
          <w:bCs/>
        </w:rPr>
        <w:t xml:space="preserve">dans son avis du 9 mars 2020 et par le Comité des États-membres le </w:t>
      </w:r>
      <w:r w:rsidR="003C100A" w:rsidRPr="00646164">
        <w:rPr>
          <w:bCs/>
        </w:rPr>
        <w:t xml:space="preserve">12 </w:t>
      </w:r>
      <w:r w:rsidRPr="00646164">
        <w:rPr>
          <w:bCs/>
        </w:rPr>
        <w:t>juin 2020 et que cette substance remplit les critères pour son identification comme substance extrêmement préoccupante</w:t>
      </w:r>
      <w:r w:rsidR="0025560A" w:rsidRPr="00646164">
        <w:rPr>
          <w:bCs/>
        </w:rPr>
        <w:t xml:space="preserve"> </w:t>
      </w:r>
      <w:r w:rsidR="00D21849" w:rsidRPr="00646164">
        <w:rPr>
          <w:bCs/>
        </w:rPr>
        <w:t>selon</w:t>
      </w:r>
      <w:r w:rsidR="0025560A" w:rsidRPr="00646164">
        <w:rPr>
          <w:bCs/>
        </w:rPr>
        <w:t xml:space="preserve"> l’ANSES</w:t>
      </w:r>
      <w:r w:rsidRPr="00646164">
        <w:rPr>
          <w:bCs/>
        </w:rPr>
        <w:t> ;</w:t>
      </w:r>
    </w:p>
    <w:p w14:paraId="6E47FDEA" w14:textId="23EF0599" w:rsidR="00C57297" w:rsidRDefault="00C57297" w:rsidP="00ED414C">
      <w:pPr>
        <w:pStyle w:val="SNVisa"/>
        <w:rPr>
          <w:bCs/>
        </w:rPr>
      </w:pPr>
      <w:r w:rsidRPr="00646164">
        <w:rPr>
          <w:bCs/>
        </w:rPr>
        <w:t xml:space="preserve">Considérant qu’il y </w:t>
      </w:r>
      <w:r w:rsidR="00D60460" w:rsidRPr="00646164">
        <w:rPr>
          <w:bCs/>
        </w:rPr>
        <w:t xml:space="preserve">a </w:t>
      </w:r>
      <w:r w:rsidRPr="00646164">
        <w:rPr>
          <w:bCs/>
        </w:rPr>
        <w:t>lieu</w:t>
      </w:r>
      <w:r w:rsidR="004968C7">
        <w:rPr>
          <w:bCs/>
        </w:rPr>
        <w:t>, par ces motifs,</w:t>
      </w:r>
      <w:r w:rsidRPr="00646164">
        <w:rPr>
          <w:bCs/>
        </w:rPr>
        <w:t xml:space="preserve"> d’identifier le </w:t>
      </w:r>
      <w:proofErr w:type="spellStart"/>
      <w:r w:rsidRPr="00646164">
        <w:rPr>
          <w:bCs/>
        </w:rPr>
        <w:t>phtalate</w:t>
      </w:r>
      <w:proofErr w:type="spellEnd"/>
      <w:r w:rsidRPr="00646164">
        <w:rPr>
          <w:bCs/>
        </w:rPr>
        <w:t xml:space="preserve"> de </w:t>
      </w:r>
      <w:proofErr w:type="spellStart"/>
      <w:r w:rsidRPr="00646164">
        <w:rPr>
          <w:bCs/>
        </w:rPr>
        <w:t>diisooctyle</w:t>
      </w:r>
      <w:proofErr w:type="spellEnd"/>
      <w:r w:rsidRPr="00646164">
        <w:rPr>
          <w:bCs/>
        </w:rPr>
        <w:t xml:space="preserve"> et le résorcinol comme des substances dangereuses au sens </w:t>
      </w:r>
      <w:r w:rsidR="00906AE2" w:rsidRPr="00906AE2">
        <w:rPr>
          <w:bCs/>
        </w:rPr>
        <w:t>au sens du décret n° 2021-1285 du 1</w:t>
      </w:r>
      <w:r w:rsidR="00906AE2" w:rsidRPr="00906AE2">
        <w:rPr>
          <w:bCs/>
          <w:vertAlign w:val="superscript"/>
        </w:rPr>
        <w:t>er</w:t>
      </w:r>
      <w:r w:rsidR="00906AE2" w:rsidRPr="00906AE2">
        <w:rPr>
          <w:bCs/>
        </w:rPr>
        <w:t xml:space="preserve"> octobre 2021 relatif à l'identification des substances dangereuses dans les produits générateurs de déchets pris en application de l’article L. 541-9-1 du code de l’environnement</w:t>
      </w:r>
      <w:r w:rsidRPr="00646164">
        <w:rPr>
          <w:bCs/>
        </w:rPr>
        <w:t> ;</w:t>
      </w:r>
    </w:p>
    <w:p w14:paraId="4F9DCE1D" w14:textId="77777777" w:rsidR="005C3CFF" w:rsidRDefault="005C3CFF">
      <w:pPr>
        <w:pStyle w:val="SNVisa"/>
        <w:rPr>
          <w:bCs/>
        </w:rPr>
      </w:pPr>
    </w:p>
    <w:p w14:paraId="73F91CAD" w14:textId="77777777" w:rsidR="005C3CFF" w:rsidRPr="007C2FA5" w:rsidRDefault="00F92020" w:rsidP="007C2FA5">
      <w:pPr>
        <w:pStyle w:val="SNActe"/>
      </w:pPr>
      <w:r>
        <w:t>Arrête</w:t>
      </w:r>
      <w:r w:rsidR="00B8106B" w:rsidRPr="007C2FA5">
        <w:t xml:space="preserve"> :</w:t>
      </w:r>
    </w:p>
    <w:p w14:paraId="36CE1980" w14:textId="77777777" w:rsidR="005C3CFF" w:rsidRPr="007C2FA5" w:rsidRDefault="00B8106B" w:rsidP="007C2FA5">
      <w:pPr>
        <w:pStyle w:val="SNArticle"/>
      </w:pPr>
      <w:r w:rsidRPr="007C2FA5">
        <w:t>Article 1</w:t>
      </w:r>
      <w:r w:rsidRPr="007C2FA5">
        <w:rPr>
          <w:vertAlign w:val="superscript"/>
        </w:rPr>
        <w:t>er</w:t>
      </w:r>
    </w:p>
    <w:p w14:paraId="1BB518B2" w14:textId="17DC1A4D" w:rsidR="004635A2" w:rsidRDefault="004635A2">
      <w:pPr>
        <w:pStyle w:val="Corpsdetexte"/>
        <w:spacing w:after="0"/>
        <w:ind w:firstLine="708"/>
      </w:pPr>
      <w:r>
        <w:t xml:space="preserve">Les substances présentant </w:t>
      </w:r>
      <w:r w:rsidRPr="004635A2">
        <w:t xml:space="preserve">un niveau de préoccupation comparable aux substances extrêmement préoccupantes </w:t>
      </w:r>
      <w:r w:rsidR="00B1037F">
        <w:t>listées sur le site internet de l’Agence européenne des produits chimiques en application de</w:t>
      </w:r>
      <w:r w:rsidRPr="004635A2">
        <w:t xml:space="preserve"> l'article 59 paragraphe 1</w:t>
      </w:r>
      <w:r w:rsidR="00ED414C">
        <w:t>0</w:t>
      </w:r>
      <w:r w:rsidRPr="004635A2">
        <w:t xml:space="preserve"> du règlement (CE) n° 1907/2006</w:t>
      </w:r>
      <w:r>
        <w:t xml:space="preserve"> sont listées en annexe avec la date de leur inclusion </w:t>
      </w:r>
      <w:r w:rsidR="00ED414C">
        <w:t>dans l’annexe.</w:t>
      </w:r>
    </w:p>
    <w:p w14:paraId="0D812C4D" w14:textId="77777777" w:rsidR="005C3CFF" w:rsidRDefault="005C3CFF">
      <w:pPr>
        <w:pStyle w:val="Corpsdetexte"/>
        <w:spacing w:after="0"/>
      </w:pPr>
    </w:p>
    <w:p w14:paraId="2F8D2BF6" w14:textId="77777777" w:rsidR="005C3CFF" w:rsidRDefault="005C3CFF">
      <w:pPr>
        <w:pStyle w:val="Corpsdetexte"/>
        <w:spacing w:after="0"/>
        <w:jc w:val="center"/>
        <w:rPr>
          <w:b/>
          <w:bCs/>
        </w:rPr>
      </w:pPr>
    </w:p>
    <w:p w14:paraId="55DC59BA" w14:textId="77777777" w:rsidR="005C3CFF" w:rsidRDefault="00B8106B">
      <w:pPr>
        <w:pStyle w:val="Corpsdetexte"/>
        <w:spacing w:after="0"/>
        <w:jc w:val="center"/>
        <w:rPr>
          <w:b/>
          <w:bCs/>
        </w:rPr>
      </w:pPr>
      <w:r>
        <w:rPr>
          <w:b/>
          <w:bCs/>
        </w:rPr>
        <w:t>Article 2</w:t>
      </w:r>
    </w:p>
    <w:p w14:paraId="016B1ADA" w14:textId="77777777" w:rsidR="005C3CFF" w:rsidRDefault="005C3CFF">
      <w:pPr>
        <w:spacing w:after="0"/>
      </w:pPr>
    </w:p>
    <w:p w14:paraId="04F1CE5A" w14:textId="3952A7E9" w:rsidR="005C3CFF" w:rsidRPr="00646164" w:rsidRDefault="00B8106B">
      <w:pPr>
        <w:suppressAutoHyphens/>
        <w:spacing w:after="0" w:line="240" w:lineRule="auto"/>
        <w:ind w:firstLine="709"/>
        <w:jc w:val="both"/>
        <w:rPr>
          <w:rFonts w:ascii="Times" w:hAnsi="Times" w:cs="Times"/>
          <w:sz w:val="24"/>
          <w:lang w:eastAsia="zh-CN"/>
        </w:rPr>
      </w:pPr>
      <w:r w:rsidRPr="00646164">
        <w:rPr>
          <w:rStyle w:val="Accentuationforte"/>
          <w:rFonts w:ascii="Times New Roman" w:hAnsi="Times New Roman"/>
          <w:b w:val="0"/>
          <w:sz w:val="24"/>
          <w:szCs w:val="24"/>
        </w:rPr>
        <w:t>L</w:t>
      </w:r>
      <w:r w:rsidR="00A40310" w:rsidRPr="00646164">
        <w:rPr>
          <w:rStyle w:val="Accentuationforte"/>
          <w:rFonts w:ascii="Times New Roman" w:hAnsi="Times New Roman"/>
          <w:b w:val="0"/>
          <w:sz w:val="24"/>
          <w:szCs w:val="24"/>
        </w:rPr>
        <w:t>e</w:t>
      </w:r>
      <w:r w:rsidRPr="00646164">
        <w:rPr>
          <w:rStyle w:val="Accentuationforte"/>
          <w:rFonts w:ascii="Times New Roman" w:hAnsi="Times New Roman"/>
          <w:b w:val="0"/>
          <w:sz w:val="24"/>
          <w:szCs w:val="24"/>
        </w:rPr>
        <w:t xml:space="preserve"> ministre de la transition écologique</w:t>
      </w:r>
      <w:r w:rsidR="00A40310" w:rsidRPr="00646164">
        <w:rPr>
          <w:rStyle w:val="Accentuationforte"/>
          <w:rFonts w:ascii="Times New Roman" w:hAnsi="Times New Roman"/>
          <w:b w:val="0"/>
          <w:sz w:val="24"/>
          <w:szCs w:val="24"/>
        </w:rPr>
        <w:t xml:space="preserve"> et de la cohésion des territoires</w:t>
      </w:r>
      <w:r w:rsidRPr="00646164">
        <w:rPr>
          <w:rStyle w:val="Accentuationforte"/>
          <w:rFonts w:ascii="Times New Roman" w:hAnsi="Times New Roman"/>
          <w:b w:val="0"/>
          <w:sz w:val="24"/>
          <w:szCs w:val="24"/>
        </w:rPr>
        <w:t xml:space="preserve"> est chargé de l’exécution du présent </w:t>
      </w:r>
      <w:r w:rsidR="009E20D5">
        <w:rPr>
          <w:rStyle w:val="Accentuationforte"/>
          <w:rFonts w:ascii="Times New Roman" w:hAnsi="Times New Roman"/>
          <w:b w:val="0"/>
          <w:sz w:val="24"/>
          <w:szCs w:val="24"/>
        </w:rPr>
        <w:t>arrêté</w:t>
      </w:r>
      <w:r w:rsidR="009E20D5" w:rsidRPr="00646164">
        <w:rPr>
          <w:rStyle w:val="Accentuationforte"/>
          <w:rFonts w:ascii="Times New Roman" w:hAnsi="Times New Roman"/>
          <w:b w:val="0"/>
          <w:sz w:val="24"/>
          <w:szCs w:val="24"/>
        </w:rPr>
        <w:t xml:space="preserve"> </w:t>
      </w:r>
      <w:r w:rsidRPr="00646164">
        <w:rPr>
          <w:rFonts w:ascii="Times" w:hAnsi="Times" w:cs="Times"/>
          <w:sz w:val="24"/>
          <w:lang w:eastAsia="zh-CN"/>
        </w:rPr>
        <w:t xml:space="preserve">qui sera publié au </w:t>
      </w:r>
      <w:r w:rsidRPr="00646164">
        <w:rPr>
          <w:rFonts w:ascii="Times" w:hAnsi="Times" w:cs="Times"/>
          <w:i/>
          <w:sz w:val="24"/>
          <w:lang w:eastAsia="zh-CN"/>
        </w:rPr>
        <w:t>Journal officiel</w:t>
      </w:r>
      <w:r w:rsidRPr="00646164">
        <w:rPr>
          <w:rFonts w:ascii="Times" w:hAnsi="Times" w:cs="Times"/>
          <w:sz w:val="24"/>
          <w:lang w:eastAsia="zh-CN"/>
        </w:rPr>
        <w:t xml:space="preserve"> de la République française.</w:t>
      </w:r>
    </w:p>
    <w:p w14:paraId="4B860C2B" w14:textId="77777777" w:rsidR="005C3CFF" w:rsidRPr="00646164" w:rsidRDefault="005C3CFF">
      <w:pPr>
        <w:suppressAutoHyphens/>
        <w:spacing w:after="0" w:line="240" w:lineRule="auto"/>
        <w:ind w:firstLine="709"/>
        <w:jc w:val="both"/>
        <w:rPr>
          <w:rStyle w:val="Accentuationforte"/>
          <w:rFonts w:ascii="Times New Roman" w:hAnsi="Times New Roman"/>
          <w:b w:val="0"/>
          <w:bCs w:val="0"/>
          <w:sz w:val="24"/>
          <w:szCs w:val="24"/>
        </w:rPr>
      </w:pPr>
    </w:p>
    <w:p w14:paraId="708D98CE" w14:textId="77777777" w:rsidR="005C3CFF" w:rsidRPr="00646164" w:rsidRDefault="005C3CFF">
      <w:pPr>
        <w:pStyle w:val="Corpsdetexte"/>
      </w:pPr>
    </w:p>
    <w:p w14:paraId="032C06DC" w14:textId="77777777" w:rsidR="007E33DE" w:rsidRDefault="00B8106B" w:rsidP="00646164">
      <w:pPr>
        <w:pStyle w:val="SNDate"/>
      </w:pPr>
      <w:r w:rsidRPr="007508FC">
        <w:t>Fait le</w:t>
      </w:r>
    </w:p>
    <w:p w14:paraId="4B0FC850" w14:textId="355E66B0" w:rsidR="005C3CFF" w:rsidRDefault="00E865E1" w:rsidP="00646164">
      <w:pPr>
        <w:pStyle w:val="SNDate"/>
      </w:pPr>
      <w:r>
        <w:t xml:space="preserve">Pour </w:t>
      </w:r>
      <w:r w:rsidR="00631556">
        <w:t>l</w:t>
      </w:r>
      <w:r w:rsidR="00A40310">
        <w:t>e</w:t>
      </w:r>
      <w:r w:rsidR="00631556">
        <w:t xml:space="preserve"> ministre de la transition écologique </w:t>
      </w:r>
      <w:r w:rsidR="00A40310">
        <w:t xml:space="preserve">et de la cohésion des territoires </w:t>
      </w:r>
      <w:r w:rsidR="00B8106B">
        <w:t>:</w:t>
      </w:r>
    </w:p>
    <w:p w14:paraId="37848D37" w14:textId="7C15FCEE" w:rsidR="005C3CFF" w:rsidRDefault="00B8106B" w:rsidP="00646164">
      <w:pPr>
        <w:pStyle w:val="SNDate"/>
        <w:rPr>
          <w:highlight w:val="yellow"/>
        </w:rPr>
      </w:pPr>
      <w:r>
        <w:t>L</w:t>
      </w:r>
      <w:r w:rsidR="00A40310">
        <w:t>e</w:t>
      </w:r>
      <w:r>
        <w:t xml:space="preserve"> </w:t>
      </w:r>
      <w:r w:rsidR="00E865E1">
        <w:t>directeur général de la prévention des risques</w:t>
      </w:r>
      <w:r>
        <w:t>,</w:t>
      </w:r>
    </w:p>
    <w:p w14:paraId="732A53E4" w14:textId="729526ED" w:rsidR="005C3CFF" w:rsidRDefault="00E865E1" w:rsidP="007C2FA5">
      <w:pPr>
        <w:pStyle w:val="SNSignatureGauche"/>
      </w:pPr>
      <w:r>
        <w:lastRenderedPageBreak/>
        <w:t>Cédric BOURILLET</w:t>
      </w:r>
    </w:p>
    <w:p w14:paraId="2DF0F575" w14:textId="10055DF4" w:rsidR="00B1037F" w:rsidRDefault="00B1037F">
      <w:pPr>
        <w:spacing w:after="0" w:line="240" w:lineRule="auto"/>
        <w:rPr>
          <w:rFonts w:ascii="Times New Roman" w:hAnsi="Times New Roman" w:cs="Times New Roman"/>
          <w:color w:val="00000A"/>
          <w:sz w:val="24"/>
          <w:szCs w:val="24"/>
        </w:rPr>
      </w:pPr>
      <w:r>
        <w:br w:type="page"/>
      </w:r>
    </w:p>
    <w:p w14:paraId="38F201F4" w14:textId="61944257" w:rsidR="00B1037F" w:rsidRDefault="00B1037F" w:rsidP="00B1037F">
      <w:pPr>
        <w:pStyle w:val="Corpsdetexte"/>
        <w:spacing w:after="0"/>
        <w:ind w:firstLine="708"/>
      </w:pPr>
      <w:r>
        <w:lastRenderedPageBreak/>
        <w:t>Annexe</w:t>
      </w:r>
    </w:p>
    <w:p w14:paraId="0FC1DC2D" w14:textId="59D0157F" w:rsidR="00B1037F" w:rsidRDefault="00B1037F" w:rsidP="00B1037F">
      <w:pPr>
        <w:pStyle w:val="Corpsdetexte"/>
        <w:spacing w:after="0"/>
        <w:ind w:firstLine="708"/>
      </w:pPr>
    </w:p>
    <w:p w14:paraId="1ED581EE" w14:textId="4F742EB5" w:rsidR="00A40310" w:rsidRDefault="00A40310" w:rsidP="00B1037F">
      <w:pPr>
        <w:pStyle w:val="Corpsdetexte"/>
        <w:spacing w:after="0"/>
        <w:ind w:firstLine="708"/>
      </w:pPr>
      <w:r>
        <w:t>Liste complémentaire de substances dangereuses</w:t>
      </w:r>
      <w:r w:rsidR="00B80A07">
        <w:t xml:space="preserve"> au sens de l’article L. 541-9</w:t>
      </w:r>
      <w:r w:rsidR="00C17BBA">
        <w:t>-1</w:t>
      </w:r>
      <w:r w:rsidR="00B80A07">
        <w:t xml:space="preserve"> du code de l’environnement</w:t>
      </w:r>
      <w:r w:rsidR="00646164">
        <w:t xml:space="preserve"> identifiées comme prévu au deuxième tiret de l’article 1 du d</w:t>
      </w:r>
      <w:r w:rsidR="00646164" w:rsidRPr="00646164">
        <w:t>écret n° 2021-1285 du 1er octobre 2021 relatif à l'identification des substances dangereuses dans les produits générateurs de déchets</w:t>
      </w:r>
    </w:p>
    <w:p w14:paraId="3FD72AB2" w14:textId="77777777" w:rsidR="00A40310" w:rsidRDefault="00A40310" w:rsidP="00B1037F">
      <w:pPr>
        <w:pStyle w:val="Corpsdetexte"/>
        <w:spacing w:after="0"/>
        <w:ind w:firstLine="708"/>
      </w:pPr>
    </w:p>
    <w:tbl>
      <w:tblPr>
        <w:tblStyle w:val="Grilledutableau"/>
        <w:tblW w:w="9067" w:type="dxa"/>
        <w:tblLook w:val="04A0" w:firstRow="1" w:lastRow="0" w:firstColumn="1" w:lastColumn="0" w:noHBand="0" w:noVBand="1"/>
      </w:tblPr>
      <w:tblGrid>
        <w:gridCol w:w="4531"/>
        <w:gridCol w:w="1843"/>
        <w:gridCol w:w="2693"/>
      </w:tblGrid>
      <w:tr w:rsidR="00C57297" w14:paraId="675038F4" w14:textId="77777777" w:rsidTr="00631556">
        <w:trPr>
          <w:tblHeader/>
        </w:trPr>
        <w:tc>
          <w:tcPr>
            <w:tcW w:w="4531" w:type="dxa"/>
          </w:tcPr>
          <w:p w14:paraId="7F39AFE5" w14:textId="0FA344EA" w:rsidR="00C57297" w:rsidRPr="00C57297" w:rsidRDefault="00C57297" w:rsidP="00B1037F">
            <w:pPr>
              <w:pStyle w:val="Corpsdetexte"/>
              <w:spacing w:after="0"/>
              <w:rPr>
                <w:b/>
              </w:rPr>
            </w:pPr>
            <w:r w:rsidRPr="00C57297">
              <w:rPr>
                <w:b/>
              </w:rPr>
              <w:t>Nom de la substance</w:t>
            </w:r>
          </w:p>
        </w:tc>
        <w:tc>
          <w:tcPr>
            <w:tcW w:w="1843" w:type="dxa"/>
          </w:tcPr>
          <w:p w14:paraId="0E007ABC" w14:textId="332DCBB9" w:rsidR="00C57297" w:rsidRPr="00C57297" w:rsidRDefault="00C57297" w:rsidP="00B1037F">
            <w:pPr>
              <w:pStyle w:val="Corpsdetexte"/>
              <w:spacing w:after="0"/>
              <w:rPr>
                <w:b/>
              </w:rPr>
            </w:pPr>
            <w:r w:rsidRPr="00C57297">
              <w:rPr>
                <w:b/>
              </w:rPr>
              <w:t>N° CAS</w:t>
            </w:r>
          </w:p>
        </w:tc>
        <w:tc>
          <w:tcPr>
            <w:tcW w:w="2693" w:type="dxa"/>
          </w:tcPr>
          <w:p w14:paraId="43712975" w14:textId="0B1CB8C8" w:rsidR="00C57297" w:rsidRPr="00C57297" w:rsidRDefault="00C57297" w:rsidP="00B1037F">
            <w:pPr>
              <w:pStyle w:val="Corpsdetexte"/>
              <w:spacing w:after="0"/>
              <w:rPr>
                <w:b/>
              </w:rPr>
            </w:pPr>
            <w:r w:rsidRPr="00C57297">
              <w:rPr>
                <w:b/>
              </w:rPr>
              <w:t>Date d’inclusion</w:t>
            </w:r>
          </w:p>
        </w:tc>
      </w:tr>
      <w:tr w:rsidR="00C57297" w14:paraId="00307371" w14:textId="77777777" w:rsidTr="00631556">
        <w:tc>
          <w:tcPr>
            <w:tcW w:w="4531" w:type="dxa"/>
          </w:tcPr>
          <w:p w14:paraId="0BA5E57A" w14:textId="270E11A4" w:rsidR="00C57297" w:rsidRDefault="00C57297" w:rsidP="00C57297">
            <w:pPr>
              <w:pStyle w:val="Corpsdetexte"/>
              <w:spacing w:after="0"/>
              <w:jc w:val="left"/>
            </w:pPr>
            <w:proofErr w:type="spellStart"/>
            <w:r>
              <w:t>P</w:t>
            </w:r>
            <w:r w:rsidRPr="00C57297">
              <w:t>htalate</w:t>
            </w:r>
            <w:proofErr w:type="spellEnd"/>
            <w:r w:rsidRPr="00C57297">
              <w:t xml:space="preserve"> de </w:t>
            </w:r>
            <w:proofErr w:type="spellStart"/>
            <w:r w:rsidRPr="00C57297">
              <w:t>diisooctyle</w:t>
            </w:r>
            <w:proofErr w:type="spellEnd"/>
            <w:r>
              <w:t xml:space="preserve"> (DIOP)</w:t>
            </w:r>
          </w:p>
        </w:tc>
        <w:tc>
          <w:tcPr>
            <w:tcW w:w="1843" w:type="dxa"/>
          </w:tcPr>
          <w:p w14:paraId="06C73964" w14:textId="3BF759A9" w:rsidR="00C57297" w:rsidRDefault="00C57297" w:rsidP="00B1037F">
            <w:pPr>
              <w:pStyle w:val="Corpsdetexte"/>
              <w:spacing w:after="0"/>
            </w:pPr>
            <w:r w:rsidRPr="00C57297">
              <w:t>27554-26-3</w:t>
            </w:r>
          </w:p>
        </w:tc>
        <w:tc>
          <w:tcPr>
            <w:tcW w:w="2693" w:type="dxa"/>
          </w:tcPr>
          <w:p w14:paraId="23F16EB2" w14:textId="32AE2CE0" w:rsidR="00C57297" w:rsidRDefault="00631556" w:rsidP="00631556">
            <w:pPr>
              <w:pStyle w:val="Corpsdetexte"/>
              <w:spacing w:after="0"/>
            </w:pPr>
            <w:r>
              <w:t>&lt;</w:t>
            </w:r>
            <w:r w:rsidR="004968C7">
              <w:t xml:space="preserve">lendemain de la </w:t>
            </w:r>
            <w:r>
              <w:t>date</w:t>
            </w:r>
            <w:r w:rsidR="00C57297">
              <w:t xml:space="preserve"> </w:t>
            </w:r>
            <w:r w:rsidR="004968C7">
              <w:t xml:space="preserve">de </w:t>
            </w:r>
            <w:r w:rsidR="00C57297">
              <w:t xml:space="preserve">publication </w:t>
            </w:r>
            <w:r w:rsidR="00F32443">
              <w:t xml:space="preserve">au </w:t>
            </w:r>
            <w:r w:rsidR="00C57297">
              <w:t>JORF&gt;</w:t>
            </w:r>
          </w:p>
        </w:tc>
      </w:tr>
      <w:tr w:rsidR="00C57297" w14:paraId="02D5BFC3" w14:textId="77777777" w:rsidTr="00631556">
        <w:tc>
          <w:tcPr>
            <w:tcW w:w="4531" w:type="dxa"/>
          </w:tcPr>
          <w:p w14:paraId="5DC9622F" w14:textId="1622AFE8" w:rsidR="00C57297" w:rsidRDefault="00C57297" w:rsidP="00C57297">
            <w:pPr>
              <w:pStyle w:val="Corpsdetexte"/>
              <w:spacing w:after="0"/>
              <w:jc w:val="left"/>
            </w:pPr>
            <w:r w:rsidRPr="00C57297">
              <w:t>1,3-benz</w:t>
            </w:r>
            <w:r>
              <w:t>è</w:t>
            </w:r>
            <w:r w:rsidRPr="00C57297">
              <w:t xml:space="preserve">nediol </w:t>
            </w:r>
            <w:r>
              <w:t>(résorcinol)</w:t>
            </w:r>
          </w:p>
        </w:tc>
        <w:tc>
          <w:tcPr>
            <w:tcW w:w="1843" w:type="dxa"/>
          </w:tcPr>
          <w:p w14:paraId="53A597F8" w14:textId="2CE5635F" w:rsidR="00C57297" w:rsidRDefault="00C57297" w:rsidP="00B1037F">
            <w:pPr>
              <w:pStyle w:val="Corpsdetexte"/>
              <w:spacing w:after="0"/>
            </w:pPr>
            <w:r w:rsidRPr="00C57297">
              <w:t>108-46-3</w:t>
            </w:r>
          </w:p>
        </w:tc>
        <w:tc>
          <w:tcPr>
            <w:tcW w:w="2693" w:type="dxa"/>
          </w:tcPr>
          <w:p w14:paraId="12C3F68A" w14:textId="3F91B58B" w:rsidR="00C57297" w:rsidRDefault="00631556" w:rsidP="00B1037F">
            <w:pPr>
              <w:pStyle w:val="Corpsdetexte"/>
              <w:spacing w:after="0"/>
            </w:pPr>
            <w:r>
              <w:t>&lt;</w:t>
            </w:r>
            <w:r w:rsidR="004968C7">
              <w:t xml:space="preserve">lendemain de la </w:t>
            </w:r>
            <w:r>
              <w:t>date</w:t>
            </w:r>
            <w:r w:rsidR="004968C7">
              <w:t xml:space="preserve"> de</w:t>
            </w:r>
            <w:r>
              <w:t xml:space="preserve"> publication </w:t>
            </w:r>
            <w:r w:rsidR="00F32443">
              <w:t xml:space="preserve">au </w:t>
            </w:r>
            <w:bookmarkStart w:id="0" w:name="_GoBack"/>
            <w:bookmarkEnd w:id="0"/>
            <w:r>
              <w:t>JORF&gt;</w:t>
            </w:r>
          </w:p>
        </w:tc>
      </w:tr>
    </w:tbl>
    <w:p w14:paraId="74E98D3D" w14:textId="77777777" w:rsidR="00B1037F" w:rsidRDefault="00B1037F" w:rsidP="00B1037F">
      <w:pPr>
        <w:pStyle w:val="Corpsdetexte"/>
        <w:spacing w:after="0"/>
        <w:ind w:firstLine="708"/>
      </w:pPr>
    </w:p>
    <w:p w14:paraId="03536BCA" w14:textId="77777777" w:rsidR="00B1037F" w:rsidRPr="007C2FA5" w:rsidRDefault="00B1037F" w:rsidP="00B1037F">
      <w:pPr>
        <w:pStyle w:val="Corpsdetexte"/>
        <w:spacing w:after="0"/>
        <w:ind w:firstLine="708"/>
      </w:pPr>
    </w:p>
    <w:sectPr w:rsidR="00B1037F" w:rsidRPr="007C2FA5" w:rsidSect="004A622E">
      <w:headerReference w:type="default" r:id="rId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75BDC" w14:textId="77777777" w:rsidR="00694B9B" w:rsidRDefault="00694B9B">
      <w:pPr>
        <w:spacing w:after="0" w:line="240" w:lineRule="auto"/>
      </w:pPr>
      <w:r>
        <w:separator/>
      </w:r>
    </w:p>
  </w:endnote>
  <w:endnote w:type="continuationSeparator" w:id="0">
    <w:p w14:paraId="3FD2D877" w14:textId="77777777" w:rsidR="00694B9B" w:rsidRDefault="006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E11AB" w14:textId="77777777" w:rsidR="00694B9B" w:rsidRDefault="00694B9B">
      <w:pPr>
        <w:spacing w:after="0" w:line="240" w:lineRule="auto"/>
      </w:pPr>
      <w:r>
        <w:separator/>
      </w:r>
    </w:p>
  </w:footnote>
  <w:footnote w:type="continuationSeparator" w:id="0">
    <w:p w14:paraId="7DB7B480" w14:textId="77777777" w:rsidR="00694B9B" w:rsidRDefault="00694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0C979" w14:textId="02766A7E" w:rsidR="009334E2" w:rsidRDefault="00B02D2F">
    <w:pPr>
      <w:pStyle w:val="En-tte"/>
    </w:pPr>
    <w:r>
      <w:rPr>
        <w:noProof/>
        <w:lang w:eastAsia="fr-FR"/>
      </w:rPr>
      <mc:AlternateContent>
        <mc:Choice Requires="wps">
          <w:drawing>
            <wp:anchor distT="0" distB="0" distL="114300" distR="114300" simplePos="0" relativeHeight="251658240" behindDoc="0" locked="0" layoutInCell="1" allowOverlap="1" wp14:anchorId="4C793AC7" wp14:editId="0DE417EC">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548799456 w 21600"/>
                          <a:gd name="T3" fmla="*/ 0 h 21600"/>
                          <a:gd name="T4" fmla="*/ 0 w 21600"/>
                          <a:gd name="T5" fmla="*/ 548799456 h 21600"/>
                          <a:gd name="T6" fmla="*/ 548799456 w 21600"/>
                          <a:gd name="T7" fmla="*/ 548799456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8E85"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MdU41y0DAABL&#10;CAAADgAAAAAAAAAAAAAAAAAuAgAAZHJzL2Uyb0RvYy54bWxQSwECLQAUAAYACAAAACEAJHJkp9kA&#10;AAAFAQAADwAAAAAAAAAAAAAAAACHBQAAZHJzL2Rvd25yZXYueG1sUEsFBgAAAAAEAAQA8wAAAI0G&#10;AAAAAA==&#10;" path="m,l21600,em,21600r21600,e">
              <v:stroke joinstyle="miter"/>
              <v:path o:connecttype="custom" o:connectlocs="0,0;2147483646,0;0,2147483646;2147483646,2147483646" o:connectangles="0,0,0,0"/>
              <o:lock v:ext="edit" selection="t"/>
            </v:shape>
          </w:pict>
        </mc:Fallback>
      </mc:AlternateContent>
    </w:r>
    <w:r>
      <w:rPr>
        <w:noProof/>
        <w:lang w:eastAsia="fr-FR"/>
      </w:rPr>
      <mc:AlternateContent>
        <mc:Choice Requires="wps">
          <w:drawing>
            <wp:anchor distT="0" distB="0" distL="114300" distR="114300" simplePos="0" relativeHeight="251657216" behindDoc="0" locked="0" layoutInCell="1" allowOverlap="1" wp14:anchorId="61D0C878" wp14:editId="1253CE9E">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18667824 w 21600"/>
                          <a:gd name="T3" fmla="*/ 0 h 21600"/>
                          <a:gd name="T4" fmla="*/ 0 w 21600"/>
                          <a:gd name="T5" fmla="*/ 18667824 h 21600"/>
                          <a:gd name="T6" fmla="*/ 18667824 w 21600"/>
                          <a:gd name="T7" fmla="*/ 18667824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C02C"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UK8iBC0DAABH&#10;CAAADgAAAAAAAAAAAAAAAAAuAgAAZHJzL2Uyb0RvYy54bWxQSwECLQAUAAYACAAAACEAJHJkp9kA&#10;AAAFAQAADwAAAAAAAAAAAAAAAACHBQAAZHJzL2Rvd25yZXYueG1sUEsFBgAAAAAEAAQA8wAAAI0G&#10;AAAAAA==&#10;" path="m,l21600,em,21600r21600,e">
              <v:stroke joinstyle="miter"/>
              <v:path o:connecttype="custom" o:connectlocs="0,0;548799456,0;0,548799456;548799456,548799456" o:connectangles="0,0,0,0"/>
              <o:lock v:ext="edit" selection="t"/>
            </v:shape>
          </w:pict>
        </mc:Fallback>
      </mc:AlternateContent>
    </w:r>
    <w:r>
      <w:rPr>
        <w:noProof/>
        <w:lang w:eastAsia="fr-FR"/>
      </w:rPr>
      <mc:AlternateContent>
        <mc:Choice Requires="wps">
          <w:drawing>
            <wp:anchor distT="0" distB="0" distL="114300" distR="114300" simplePos="0" relativeHeight="251656192" behindDoc="0" locked="0" layoutInCell="1" allowOverlap="1" wp14:anchorId="21A79E2E" wp14:editId="39FFE7F7">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41B"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" path="m,l21600,em,21600r21600,e">
              <v:stroke joinstyle="miter"/>
              <v:path o:connecttype="custom" o:connectlocs="0,0;18667824,0;0,18667824;18667824,18667824" o:connectangles="0,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CFF"/>
    <w:rsid w:val="00001828"/>
    <w:rsid w:val="0000315F"/>
    <w:rsid w:val="00093D84"/>
    <w:rsid w:val="000C4231"/>
    <w:rsid w:val="000E434B"/>
    <w:rsid w:val="0014128A"/>
    <w:rsid w:val="001509DC"/>
    <w:rsid w:val="00176A22"/>
    <w:rsid w:val="001B00EC"/>
    <w:rsid w:val="001F2CA7"/>
    <w:rsid w:val="001F42AC"/>
    <w:rsid w:val="001F4F6F"/>
    <w:rsid w:val="00230B02"/>
    <w:rsid w:val="0025560A"/>
    <w:rsid w:val="002A2F6F"/>
    <w:rsid w:val="002A6556"/>
    <w:rsid w:val="002B525C"/>
    <w:rsid w:val="002E09DC"/>
    <w:rsid w:val="00351A7D"/>
    <w:rsid w:val="00395596"/>
    <w:rsid w:val="003A6706"/>
    <w:rsid w:val="003B1197"/>
    <w:rsid w:val="003C100A"/>
    <w:rsid w:val="003D1DDE"/>
    <w:rsid w:val="004374AB"/>
    <w:rsid w:val="004635A2"/>
    <w:rsid w:val="00482DA4"/>
    <w:rsid w:val="004968C7"/>
    <w:rsid w:val="004A622E"/>
    <w:rsid w:val="004F2858"/>
    <w:rsid w:val="005852D6"/>
    <w:rsid w:val="00591074"/>
    <w:rsid w:val="005B044B"/>
    <w:rsid w:val="005C3CFF"/>
    <w:rsid w:val="005D1350"/>
    <w:rsid w:val="005E6ACB"/>
    <w:rsid w:val="005F1592"/>
    <w:rsid w:val="00605C77"/>
    <w:rsid w:val="0062476C"/>
    <w:rsid w:val="00631556"/>
    <w:rsid w:val="00646164"/>
    <w:rsid w:val="0068723C"/>
    <w:rsid w:val="00694B9B"/>
    <w:rsid w:val="006B6B73"/>
    <w:rsid w:val="006B6BF5"/>
    <w:rsid w:val="00716136"/>
    <w:rsid w:val="007508FC"/>
    <w:rsid w:val="00751294"/>
    <w:rsid w:val="00774894"/>
    <w:rsid w:val="007C1F2F"/>
    <w:rsid w:val="007C2FA5"/>
    <w:rsid w:val="007E33DE"/>
    <w:rsid w:val="007E7567"/>
    <w:rsid w:val="007F4495"/>
    <w:rsid w:val="0085577A"/>
    <w:rsid w:val="0087290D"/>
    <w:rsid w:val="008777F6"/>
    <w:rsid w:val="0089763F"/>
    <w:rsid w:val="008B39BF"/>
    <w:rsid w:val="008E0490"/>
    <w:rsid w:val="008F0D1B"/>
    <w:rsid w:val="00906AE2"/>
    <w:rsid w:val="0092595E"/>
    <w:rsid w:val="009334E2"/>
    <w:rsid w:val="009761BA"/>
    <w:rsid w:val="009926D2"/>
    <w:rsid w:val="009D1B93"/>
    <w:rsid w:val="009D219E"/>
    <w:rsid w:val="009D6371"/>
    <w:rsid w:val="009E20D5"/>
    <w:rsid w:val="00A34FEB"/>
    <w:rsid w:val="00A40310"/>
    <w:rsid w:val="00A43970"/>
    <w:rsid w:val="00A75350"/>
    <w:rsid w:val="00AC201F"/>
    <w:rsid w:val="00AC7D4F"/>
    <w:rsid w:val="00B02D2F"/>
    <w:rsid w:val="00B1037F"/>
    <w:rsid w:val="00B6771C"/>
    <w:rsid w:val="00B80A07"/>
    <w:rsid w:val="00B8106B"/>
    <w:rsid w:val="00BA7F96"/>
    <w:rsid w:val="00BC0155"/>
    <w:rsid w:val="00BC1514"/>
    <w:rsid w:val="00BC4BCE"/>
    <w:rsid w:val="00BD17E4"/>
    <w:rsid w:val="00BE7AD4"/>
    <w:rsid w:val="00BF1741"/>
    <w:rsid w:val="00C02043"/>
    <w:rsid w:val="00C17BBA"/>
    <w:rsid w:val="00C22C67"/>
    <w:rsid w:val="00C57297"/>
    <w:rsid w:val="00C84F23"/>
    <w:rsid w:val="00CB61EF"/>
    <w:rsid w:val="00CD2D5F"/>
    <w:rsid w:val="00D21849"/>
    <w:rsid w:val="00D60460"/>
    <w:rsid w:val="00D726ED"/>
    <w:rsid w:val="00D745B3"/>
    <w:rsid w:val="00DB044A"/>
    <w:rsid w:val="00DD0857"/>
    <w:rsid w:val="00DE093C"/>
    <w:rsid w:val="00DF00AF"/>
    <w:rsid w:val="00DF11E0"/>
    <w:rsid w:val="00E865E1"/>
    <w:rsid w:val="00E90A59"/>
    <w:rsid w:val="00E95D8C"/>
    <w:rsid w:val="00EA1CD5"/>
    <w:rsid w:val="00EB057C"/>
    <w:rsid w:val="00EB6569"/>
    <w:rsid w:val="00EB7F23"/>
    <w:rsid w:val="00ED414C"/>
    <w:rsid w:val="00EE4AD0"/>
    <w:rsid w:val="00F32443"/>
    <w:rsid w:val="00F434A3"/>
    <w:rsid w:val="00F51871"/>
    <w:rsid w:val="00F6703C"/>
    <w:rsid w:val="00F817B6"/>
    <w:rsid w:val="00F92020"/>
    <w:rsid w:val="00FA067A"/>
    <w:rsid w:val="00FB3114"/>
    <w:rsid w:val="00FC27A9"/>
    <w:rsid w:val="00FD53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F5131"/>
  <w15:docId w15:val="{3B5A41C3-809D-4D67-A933-3FCB7D3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7DC"/>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B75557"/>
    <w:rPr>
      <w:rFonts w:ascii="Segoe UI" w:hAnsi="Segoe UI" w:cs="Segoe UI"/>
      <w:sz w:val="18"/>
      <w:szCs w:val="18"/>
    </w:rPr>
  </w:style>
  <w:style w:type="character" w:styleId="Marquedecommentaire">
    <w:name w:val="annotation reference"/>
    <w:basedOn w:val="Policepardfaut"/>
    <w:uiPriority w:val="99"/>
    <w:semiHidden/>
    <w:unhideWhenUsed/>
    <w:qFormat/>
    <w:rsid w:val="009D549D"/>
    <w:rPr>
      <w:sz w:val="16"/>
      <w:szCs w:val="16"/>
    </w:rPr>
  </w:style>
  <w:style w:type="character" w:customStyle="1" w:styleId="CommentaireCar">
    <w:name w:val="Commentaire Car"/>
    <w:basedOn w:val="Policepardfaut"/>
    <w:link w:val="Commentaire"/>
    <w:uiPriority w:val="99"/>
    <w:semiHidden/>
    <w:qFormat/>
    <w:rsid w:val="009D549D"/>
    <w:rPr>
      <w:sz w:val="20"/>
      <w:szCs w:val="20"/>
    </w:rPr>
  </w:style>
  <w:style w:type="character" w:customStyle="1" w:styleId="ObjetducommentaireCar">
    <w:name w:val="Objet du commentaire Car"/>
    <w:basedOn w:val="CommentaireCar"/>
    <w:link w:val="Objetducommentaire"/>
    <w:uiPriority w:val="99"/>
    <w:semiHidden/>
    <w:qFormat/>
    <w:rsid w:val="009D549D"/>
    <w:rPr>
      <w:b/>
      <w:bCs/>
      <w:sz w:val="20"/>
      <w:szCs w:val="20"/>
    </w:rPr>
  </w:style>
  <w:style w:type="character" w:customStyle="1" w:styleId="LienInternet">
    <w:name w:val="Lien Internet"/>
    <w:basedOn w:val="Policepardfaut"/>
    <w:uiPriority w:val="99"/>
    <w:unhideWhenUsed/>
    <w:rsid w:val="00C641CC"/>
    <w:rPr>
      <w:color w:val="0000FF"/>
      <w:u w:val="single"/>
    </w:rPr>
  </w:style>
  <w:style w:type="character" w:customStyle="1" w:styleId="CorpsdetexteCar">
    <w:name w:val="Corps de texte Car"/>
    <w:basedOn w:val="Policepardfaut"/>
    <w:link w:val="Corpsdetexte"/>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646164"/>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Policepardfaut"/>
    <w:uiPriority w:val="99"/>
    <w:qFormat/>
    <w:rsid w:val="00C43AFA"/>
  </w:style>
  <w:style w:type="character" w:customStyle="1" w:styleId="PieddepageCar">
    <w:name w:val="Pied de page Car"/>
    <w:basedOn w:val="Policepardfaut"/>
    <w:link w:val="Pieddepage"/>
    <w:uiPriority w:val="99"/>
    <w:qFormat/>
    <w:rsid w:val="00C43AFA"/>
  </w:style>
  <w:style w:type="character" w:customStyle="1" w:styleId="NotedebasdepageCar">
    <w:name w:val="Note de bas de page Car"/>
    <w:basedOn w:val="Policepardfaut"/>
    <w:link w:val="Notedebasdepage"/>
    <w:uiPriority w:val="99"/>
    <w:semiHidden/>
    <w:qFormat/>
    <w:rsid w:val="00C64AF7"/>
    <w:rPr>
      <w:sz w:val="20"/>
      <w:szCs w:val="20"/>
    </w:rPr>
  </w:style>
  <w:style w:type="character" w:styleId="Appelnotedebasdep">
    <w:name w:val="footnote reference"/>
    <w:basedOn w:val="Policepardfau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re">
    <w:name w:val="Title"/>
    <w:basedOn w:val="Normal"/>
    <w:next w:val="Corpsdetexte"/>
    <w:qFormat/>
    <w:rsid w:val="004A622E"/>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rsid w:val="00BF56AE"/>
    <w:pPr>
      <w:spacing w:after="120" w:line="240" w:lineRule="auto"/>
      <w:jc w:val="both"/>
    </w:pPr>
    <w:rPr>
      <w:rFonts w:ascii="Times New Roman" w:eastAsia="Times New Roman" w:hAnsi="Times New Roman" w:cs="Times New Roman"/>
      <w:sz w:val="24"/>
      <w:szCs w:val="24"/>
      <w:lang w:eastAsia="fr-FR"/>
    </w:rPr>
  </w:style>
  <w:style w:type="paragraph" w:styleId="Liste">
    <w:name w:val="List"/>
    <w:basedOn w:val="Corpsdetexte"/>
    <w:rsid w:val="004A622E"/>
    <w:rPr>
      <w:rFonts w:cs="Lucida Sans"/>
    </w:rPr>
  </w:style>
  <w:style w:type="paragraph" w:styleId="Lgende">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Textedebulles">
    <w:name w:val="Balloon Text"/>
    <w:basedOn w:val="Normal"/>
    <w:link w:val="TextedebullesCar"/>
    <w:uiPriority w:val="99"/>
    <w:semiHidden/>
    <w:unhideWhenUsed/>
    <w:qFormat/>
    <w:rsid w:val="00B75557"/>
    <w:pPr>
      <w:spacing w:after="0" w:line="240" w:lineRule="auto"/>
    </w:pPr>
    <w:rPr>
      <w:rFonts w:ascii="Segoe UI" w:hAnsi="Segoe UI" w:cs="Segoe UI"/>
      <w:sz w:val="18"/>
      <w:szCs w:val="18"/>
    </w:rPr>
  </w:style>
  <w:style w:type="paragraph" w:styleId="Commentaire">
    <w:name w:val="annotation text"/>
    <w:basedOn w:val="Normal"/>
    <w:link w:val="CommentaireCar"/>
    <w:uiPriority w:val="99"/>
    <w:semiHidden/>
    <w:unhideWhenUsed/>
    <w:qFormat/>
    <w:rsid w:val="009D549D"/>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D549D"/>
    <w:rPr>
      <w:b/>
      <w:bCs/>
    </w:rPr>
  </w:style>
  <w:style w:type="paragraph" w:customStyle="1" w:styleId="SNDate">
    <w:name w:val="SNDate"/>
    <w:basedOn w:val="Normal"/>
    <w:next w:val="Normal"/>
    <w:link w:val="SNDateCar"/>
    <w:autoRedefine/>
    <w:qFormat/>
    <w:rsid w:val="00646164"/>
    <w:pPr>
      <w:spacing w:before="480" w:after="1800" w:line="240" w:lineRule="auto"/>
      <w:ind w:firstLine="720"/>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En-tte">
    <w:name w:val="header"/>
    <w:basedOn w:val="Normal"/>
    <w:uiPriority w:val="99"/>
    <w:unhideWhenUsed/>
    <w:rsid w:val="00C43AFA"/>
    <w:pPr>
      <w:tabs>
        <w:tab w:val="center" w:pos="4536"/>
        <w:tab w:val="right" w:pos="9072"/>
      </w:tabs>
      <w:spacing w:after="0" w:line="240" w:lineRule="auto"/>
    </w:pPr>
  </w:style>
  <w:style w:type="paragraph" w:styleId="Pieddepage">
    <w:name w:val="footer"/>
    <w:basedOn w:val="Normal"/>
    <w:link w:val="PieddepageCar"/>
    <w:uiPriority w:val="99"/>
    <w:unhideWhenUsed/>
    <w:rsid w:val="00C43AFA"/>
    <w:pPr>
      <w:tabs>
        <w:tab w:val="center" w:pos="4536"/>
        <w:tab w:val="right" w:pos="9072"/>
      </w:tabs>
      <w:spacing w:after="0" w:line="240" w:lineRule="auto"/>
    </w:pPr>
  </w:style>
  <w:style w:type="paragraph" w:styleId="Notedebasdepage">
    <w:name w:val="footnote text"/>
    <w:basedOn w:val="Normal"/>
    <w:link w:val="NotedebasdepageC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C2FA5"/>
    <w:pPr>
      <w:spacing w:before="120" w:after="1680" w:line="276" w:lineRule="auto"/>
      <w:ind w:left="720" w:right="4494"/>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 w:type="table" w:styleId="Grilledutableau">
    <w:name w:val="Table Grid"/>
    <w:basedOn w:val="TableauNormal"/>
    <w:uiPriority w:val="39"/>
    <w:rsid w:val="00B1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51A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22BC-F281-4BE4-B817-BDAF4D0C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1194</Words>
  <Characters>6567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LEMAITRE Cécile</cp:lastModifiedBy>
  <cp:revision>2</cp:revision>
  <dcterms:created xsi:type="dcterms:W3CDTF">2023-01-20T09:24:00Z</dcterms:created>
  <dcterms:modified xsi:type="dcterms:W3CDTF">2023-01-20T09:24:00Z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