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Ministrul sănătății,</w:t>
      </w:r>
    </w:p>
    <w:p w14:paraId="4277AAE7" w14:textId="0746FA92" w:rsidR="001D3DA3" w:rsidRDefault="00AD598F" w:rsidP="008D3E19">
      <w:pPr>
        <w:pStyle w:val="NoSpacing"/>
        <w:spacing w:line="276" w:lineRule="auto"/>
        <w:rPr>
          <w:color w:val="000000" w:themeColor="text1"/>
        </w:rPr>
      </w:pPr>
      <w:r>
        <w:t xml:space="preserve"> </w:t>
      </w:r>
      <w:r>
        <w:br/>
      </w:r>
      <w:r>
        <w:t xml:space="preserve">Având în vedere:</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articolele 36 și 38 din Regulamentul (UE) nr. 1169/2011 al Parlamentului European și al Consiliului din 25 octombrie 2011 privind informarea consumatorilor cu privire la produsele alimentare,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 (JO 2011 L 304);</w:t>
      </w:r>
    </w:p>
    <w:p w14:paraId="4F7579B4" w14:textId="00829AA7" w:rsidR="00BD77BD" w:rsidRDefault="00BD77BD" w:rsidP="00BD77BD">
      <w:pPr>
        <w:pStyle w:val="ListParagraph"/>
        <w:numPr>
          <w:ilvl w:val="0"/>
          <w:numId w:val="26"/>
        </w:numPr>
        <w:autoSpaceDN/>
        <w:spacing w:line="276" w:lineRule="auto"/>
        <w:textAlignment w:val="auto"/>
      </w:pPr>
      <w:r>
        <w:t xml:space="preserve">articolele 8 și 23 din Regulamentul (CE) nr. 1924/2006 al Parlamentului European și al Consiliului din 20 decembrie 2006 privind mențiunile nutriționale și de sănătate înscrise pe produsele alimentare (JO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articolul 11;</w:t>
      </w:r>
      <w:r>
        <w:t xml:space="preserve"> </w:t>
      </w:r>
      <w:r>
        <w:t xml:space="preserve">primul și al treilea paragraf din Decretul privind informațiile referitoare la produsele alimentare;</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Dispune prin prezentul următoarele:</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Articolul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În prezentul regulament, se aplică următorii termeni și definiții:</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Marca UE înregistrată la Oficiul Uniunii Europene pentru Proprietate Intelectuală de Santé publique France (l’agence nationale de santé publique);</w:t>
      </w:r>
      <w:r>
        <w:rPr>
          <w:color w:val="000000" w:themeColor="text1"/>
        </w:rPr>
        <w:br/>
      </w:r>
      <w:r>
        <w:rPr>
          <w:color w:val="000000" w:themeColor="text1"/>
          <w:i/>
        </w:rPr>
        <w:br/>
      </w:r>
      <w:r>
        <w:t xml:space="preserve">termeni de utilizare: regulile de utilizare a Nutri-Score, publicate pe </w:t>
      </w:r>
      <w:r>
        <w:rPr>
          <w:b/>
        </w:rPr>
        <w:t xml:space="preserve">P.M</w:t>
      </w:r>
      <w:r>
        <w:t xml:space="preserve">, intitulate „Condiții pentru utilizarea logoului «Nutri-Score», versiunea din 10 iulie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Articolul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Logoul „Nutri-Score” și condițiile sale de utilizare sunt desemnate ca logo pentru alegerea produselor alimentare.</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Articolul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Prezentul acord intră în vigoare de la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Articolul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Prezenta decizie se citează după cum urmează:</w:t>
      </w:r>
      <w:r>
        <w:rPr>
          <w:color w:val="000000" w:themeColor="text1"/>
        </w:rPr>
        <w:t xml:space="preserve"> </w:t>
      </w:r>
      <w:r>
        <w:rPr>
          <w:color w:val="000000" w:themeColor="text1"/>
        </w:rPr>
        <w:t xml:space="preserve">Legislația privind produsele de bază reglementează desemnarea logoului alegerii produselor alimentare.</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Prezentul regulament și notele explicative se publică în Monitorul Oficial.</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Ministrul sănătății,</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NOTE EXPLICATIVE</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Observații generale</w:t>
      </w:r>
    </w:p>
    <w:p w14:paraId="522F9288" w14:textId="42F9642B" w:rsidR="00CE650A" w:rsidRDefault="00D83FCC" w:rsidP="00D83FCC">
      <w:pPr>
        <w:pStyle w:val="NoSpacing"/>
        <w:spacing w:line="276" w:lineRule="auto"/>
        <w:rPr>
          <w:i/>
        </w:rPr>
      </w:pPr>
      <w:r>
        <w:rPr>
          <w:i/>
        </w:rPr>
        <w:br/>
      </w:r>
      <w:r>
        <w:rPr>
          <w:i/>
        </w:rPr>
        <w:t xml:space="preserve">Motiv</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Acordul național de prevenire</w:t>
      </w:r>
      <w:r w:rsidR="00125CD6">
        <w:rPr>
          <w:rStyle w:val="FootnoteReference"/>
        </w:rPr>
        <w:footnoteReference w:id="1"/>
      </w:r>
      <w:r>
        <w:t xml:space="preserve"> a fost adoptat la 23 noiembrie 2018.</w:t>
      </w:r>
      <w:r>
        <w:t xml:space="preserve"> </w:t>
      </w:r>
      <w:r>
        <w:t xml:space="preserve">Acesta include acorduri încheiate de guvern și peste 70 de părți pentru a introduce măsuri de combatere a excesului de greutate, a fumatului și a consumului problematic de alcool.</w:t>
      </w:r>
      <w:r>
        <w:t xml:space="preserve"> </w:t>
      </w:r>
      <w:r>
        <w:t xml:space="preserve">Printre semnatari se numără organizațiile-umbrelă de îngrijire, organizațiile pacienților, întreprinderile, municipalitățile și instituțiile de învățământ.</w:t>
      </w:r>
      <w:r>
        <w:t xml:space="preserve"> </w:t>
      </w:r>
      <w:r>
        <w:t xml:space="preserve">Acordul național de prevenire include o serie de măsuri în domeniul nutriției sănătoase.</w:t>
      </w:r>
      <w:r>
        <w:t xml:space="preserve"> </w:t>
      </w:r>
      <w:r>
        <w:t xml:space="preserve">Dieta sănătoasă este importantă pentru toți, nu doar pentru persoanele supraponderale.</w:t>
      </w:r>
      <w:r>
        <w:t xml:space="preserve"> </w:t>
      </w:r>
      <w:r>
        <w:t xml:space="preserve">Pentru a facilita sensibilizarea consumatorilor cu privire la alegerile mai sănătoase, s-a convenit în acordul național de prevenire ca guvernul Țărilor de Jos să introducă în 2020 un nou logo de alegere a alimentelor, utilizat la scară largă.</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Cerința era ca alegerea logoului să se bazeze pe cercetări solide și independente în rândul consumatorilor.</w:t>
      </w:r>
      <w:r>
        <w:t xml:space="preserve"> </w:t>
      </w:r>
      <w:r>
        <w:t xml:space="preserve">De asemenea, s-a considerat că este foarte important ca logoul care urmează să fie ales să fie în concordanță cu modul în care oamenii își fac alegerile: înțelegerea consumatorilor a trebuit să fie prioritară.</w:t>
      </w:r>
      <w:r>
        <w:t xml:space="preserve"> </w:t>
      </w:r>
      <w:r>
        <w:t xml:space="preserve">Atunci când se face alegerea, ar trebui să se țină seama, de asemenea, de cele cinci discuri și, în cele din urmă, ar trebui să se țină seama de evoluțiile europene în ceea ce privește logourile pentru alegerea alimentelor.</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w:t>
      </w:r>
      <w:r>
        <w:rPr>
          <w:i/>
        </w:rPr>
        <w:br/>
      </w:r>
    </w:p>
    <w:p w14:paraId="15D74CD7" w14:textId="77777777" w:rsidR="004F54A5" w:rsidRDefault="004F54A5" w:rsidP="008D3E19">
      <w:pPr>
        <w:pStyle w:val="NoSpacing"/>
        <w:spacing w:line="276" w:lineRule="auto"/>
      </w:pPr>
      <w:r>
        <w:t xml:space="preserve">Începând din noiembrie 2018, activitatea a început să pună în aplicare acordul menționat mai sus din Acordul național de prevenire.</w:t>
      </w:r>
    </w:p>
    <w:p w14:paraId="7FAB8B53" w14:textId="77777777" w:rsidR="001110B2" w:rsidRDefault="0029125D" w:rsidP="008D3E19">
      <w:pPr>
        <w:pStyle w:val="NoSpacing"/>
        <w:spacing w:line="276" w:lineRule="auto"/>
      </w:pPr>
      <w:r>
        <w:t xml:space="preserve">La elaborarea condițiilor pentru logoul pentru alegerea produselor alimentare care urmează să fie selectat, au fost consultate diverse părți.</w:t>
      </w:r>
      <w:r>
        <w:t xml:space="preserve"> </w:t>
      </w:r>
      <w:r>
        <w:t xml:space="preserve">Asociația consumatorilor, fondurile cooperative pentru sănătate (Hartstichting, Nierstichting, Diabetesfonds), Biroul Central Levensmiddelenhandel (CBL), Federația industriei alimentare neerlandeze (FNLI), Koninklijke Horeca Nederland (KHN), Vereniging Nederlandse Cateraars (Veneca), Centrul de nutriție, RIVM și Ministerul Agriculturii sunt implicate în procesul decizional.</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Cercetarea independentă în domeniul protecției consumatorilor</w:t>
      </w:r>
      <w:r w:rsidR="00A978BD">
        <w:rPr>
          <w:rStyle w:val="FootnoteReference"/>
        </w:rPr>
        <w:footnoteReference w:id="2"/>
      </w:r>
      <w:r>
        <w:t xml:space="preserve"> a comparat trei logouri pentru alegerea alimentelor utilizate în prezent în țările europene.</w:t>
      </w:r>
      <w:r>
        <w:t xml:space="preserve"> </w:t>
      </w:r>
      <w:r>
        <w:t xml:space="preserve">A fost examinată măsura în care aceste logouri îi ajută pe consumatori să facă o alegere mai sănătoasă.</w:t>
      </w:r>
      <w:r>
        <w:t xml:space="preserve"> </w:t>
      </w:r>
      <w:r>
        <w:t xml:space="preserve">Sondajul în rândul consumatorilor arată că, în cazul Nutri-Score, consumatorii pot fi ghidați cel mai bine către alegeri mai sănătoase.</w:t>
      </w:r>
      <w:r>
        <w:t xml:space="preserve"> </w:t>
      </w:r>
      <w:r>
        <w:t xml:space="preserve">În rafturile magazinului produse similare pot fi comparate ușor și rapid: dintr-o privire, consumatorii pot vedea ce produs este cea mai sănătoasă alegere.</w:t>
      </w:r>
      <w:r>
        <w:t xml:space="preserve"> </w:t>
      </w:r>
      <w:r>
        <w:t xml:space="preserve">Acest lucru facilitează o alegere mai sănătoasă.</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Cu toate acestea, sondajul în rândul consumatorilor arată, de asemenea, că unii dintre respondenți nu mai sunt în măsură să facă alegerea mai sănătoasă în cazul unor informații necorespunzătoare de pe cele cinci discuri și de pe logo.</w:t>
      </w:r>
      <w:r>
        <w:t xml:space="preserve"> </w:t>
      </w:r>
      <w:r>
        <w:t xml:space="preserve">RIVM și Centrul de Nutriție au efectuat un studiu privind Nutri-Score,&amp;LT</w:t>
      </w:r>
      <w:r w:rsidR="00A978BD">
        <w:rPr>
          <w:rStyle w:val="FootnoteReference"/>
        </w:rPr>
        <w:footnoteReference w:id="3"/>
      </w:r>
      <w:r>
        <w:t xml:space="preserve">;</w:t>
      </w:r>
      <w:r>
        <w:t xml:space="preserve"> </w:t>
      </w:r>
      <w:r>
        <w:t xml:space="preserve">în care s-a concluzionat că, pentru o serie de produse din diferite categorii, recomandările nutriționale din Nutri-Score și cele cinci discuri nu corespund exact.</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Pe baza rezultatelor investigațiilor și în coordonare cu părțile sus-menționate, secretarul de stat pentru sănătate, bunăstare și sport a ales să desemneze Nutri-Score ca logo pentru alegerea alimentelor.&amp;LT;</w:t>
      </w:r>
      <w:r w:rsidR="00125CD6">
        <w:rPr>
          <w:rStyle w:val="FootnoteReference"/>
        </w:rPr>
        <w:footnoteReference w:id="4"/>
      </w:r>
      <w:r>
        <w:t xml:space="preserve"> </w:t>
      </w:r>
      <w:r>
        <w:t xml:space="preserve">Cu toate acestea, calculul care stă la baza Nutri-Score trebuie adaptat astfel încât logoul să creeze cât mai puține confuzii în rândul consumatorilor neerlandezi cu privire la alegerea mai sănătoasă.</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La începutul anului 2020, secretarul de stat a informat guvernul francez cu privire la alegerea Nutri-Score.</w:t>
      </w:r>
      <w:r>
        <w:t xml:space="preserve"> </w:t>
      </w:r>
      <w:r>
        <w:t xml:space="preserve">Țările de Jos participă la consultarea internațională, în cadrul căreia se încheie acorduri privind punerea în aplicare și organizarea.</w:t>
      </w:r>
      <w:r>
        <w:t xml:space="preserve"> </w:t>
      </w:r>
      <w:r>
        <w:t xml:space="preserve">Un comitet științific independent examinează calculele din spatele Nutri-Score și are sarcina de a se asigura că criteriile nutriționale ale Nutri-Score sunt aliniate la orientările nutriționale ale țărilor participante.</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Indicația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este un logo voluntar de alegere a alimentelor care ajută consumatorii să facă alegeri mai sănătoase atunci când fac achiziții din cadrul unui grup de produse.</w:t>
      </w:r>
      <w:r>
        <w:t xml:space="preserve"> </w:t>
      </w:r>
      <w:r>
        <w:rPr>
          <w:i/>
        </w:rPr>
        <w:t xml:space="preserve">Nutri-Score</w:t>
      </w:r>
      <w:r>
        <w:t xml:space="preserve"> se stabilește prin atribuirea de puncte pentru cantitățile de proteine, fibre, fructe, legume, leguminoase și fructe cu coajă lemnoasă conținute într-un produs alimentar.</w:t>
      </w:r>
      <w:r>
        <w:t xml:space="preserve"> </w:t>
      </w:r>
      <w:r>
        <w:t xml:space="preserve">Din acest punctaj se deduc puncte pentru conținutul energetic (kilocalorii), cantitățile de zaharuri, grăsimi saturate și sare.</w:t>
      </w:r>
      <w:r>
        <w:t xml:space="preserve"> </w:t>
      </w:r>
      <w:r>
        <w:t xml:space="preserve">Pe baza punctajului total, un produs primește un A, B, C, D sau E. Un verde închis A reprezintă compoziția mai sănătoasă.</w:t>
      </w:r>
      <w:r>
        <w:t xml:space="preserve"> </w:t>
      </w:r>
      <w:r>
        <w:t xml:space="preserve">Produselor cu o compoziție mai puțin sănătoasă li se atribuie un portocaliu închis E. Dacă întreprinderile din sectorul alimentar aplică </w:t>
      </w:r>
      <w:r>
        <w:rPr>
          <w:i/>
        </w:rPr>
        <w:t xml:space="preserve">Nutri-Score</w:t>
      </w:r>
      <w:r>
        <w:t xml:space="preserve">, acestea trebuie să respecte condițiile de utilizare și să plaseze logoul pe partea din față a alimentelor lor.</w:t>
      </w:r>
      <w:r>
        <w:t xml:space="preserve"> </w:t>
      </w:r>
      <w:r>
        <w:t xml:space="preserve">Acest lucru îi ajută pe consumatori să vadă dintr-o privire care produs este cea mai sănătoasă alegere.</w:t>
      </w:r>
      <w:r>
        <w:br/>
      </w:r>
    </w:p>
    <w:p w14:paraId="023F652F" w14:textId="3742B79E" w:rsidR="00DC7A50" w:rsidRDefault="00D83FCC" w:rsidP="008D3E19">
      <w:pPr>
        <w:pStyle w:val="NoSpacing"/>
        <w:spacing w:line="276" w:lineRule="auto"/>
      </w:pPr>
      <w:r>
        <w:rPr>
          <w:color w:val="333333"/>
        </w:rPr>
        <w:t xml:space="preserve">Această schemă desemnează </w:t>
      </w:r>
      <w:r>
        <w:rPr>
          <w:color w:val="333333"/>
          <w:i/>
        </w:rPr>
        <w:t xml:space="preserve">Nutri-Score</w:t>
      </w:r>
      <w:r>
        <w:rPr>
          <w:color w:val="333333"/>
        </w:rPr>
        <w:t xml:space="preserve"> ca logo pentru alegerea alimentelor.</w:t>
      </w:r>
      <w:r>
        <w:rPr>
          <w:color w:val="333333"/>
        </w:rPr>
        <w:t xml:space="preserve"> </w:t>
      </w:r>
      <w:r>
        <w:rPr>
          <w:color w:val="000000" w:themeColor="text1"/>
        </w:rPr>
        <w:t xml:space="preserve">Condițiile de utilizare se publică pe un site internet accesibil antreprenorilor și publicului larg.</w:t>
      </w:r>
      <w:r>
        <w:rPr>
          <w:color w:val="333333"/>
        </w:rPr>
        <w:t xml:space="preserve"> </w:t>
      </w:r>
      <w:r>
        <w:rPr>
          <w:color w:val="333333"/>
        </w:rPr>
        <w:t xml:space="preserve">Condițiile de utilizare prevăd că, atunci când se utilizează logoul Nutri-Score, trebuie respectate cerințele cartei grafice.</w:t>
      </w:r>
      <w:r>
        <w:rPr>
          <w:color w:val="333333"/>
        </w:rPr>
        <w:t xml:space="preserve"> </w:t>
      </w:r>
      <w:r>
        <w:rPr>
          <w:color w:val="333333"/>
        </w:rPr>
        <w:t xml:space="preserve">Carta grafică impune cerințe privind dimensiunile logoului, utilizarea culorii și aplicarea logoului pe ambalaj și pe suporturile de comunicare.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Deoarece logoul nu este obligatoriu, întreprinderile din sectorul alimentar pot lua în considerare utilizarea </w:t>
      </w:r>
      <w:r>
        <w:rPr>
          <w:i/>
        </w:rPr>
        <w:t xml:space="preserve">Nutri-Score</w:t>
      </w:r>
      <w:r>
        <w:t xml:space="preserve"> ca logo pentru alegerea alimentelor.</w:t>
      </w:r>
      <w:r>
        <w:t xml:space="preserve"> </w:t>
      </w:r>
      <w:r>
        <w:t xml:space="preserve">În cazul în care o întreprindere din sectorul alimentar alege să facă acest lucru, aceasta trebuie să respecte cerințele prevăzute în condițiile de utilizare.</w:t>
      </w:r>
      <w:r>
        <w:t xml:space="preserve"> </w:t>
      </w:r>
      <w:r>
        <w:rPr>
          <w:rStyle w:val="Marker"/>
          <w:color w:val="000000" w:themeColor="text1"/>
        </w:rPr>
        <w:t xml:space="preserve">Nutri-Score este o marcă a Uniunii Europene înregistrată de titularul Santé publique France (l’agence nationale de santé publique) la Oficiul Uniunii Europene pentru Proprietate Intelectuală (EUIPO).</w:t>
      </w:r>
      <w:r>
        <w:rPr>
          <w:rStyle w:val="Marker"/>
          <w:color w:val="000000" w:themeColor="text1"/>
        </w:rPr>
        <w:t xml:space="preserve"> </w:t>
      </w:r>
      <w:r>
        <w:rPr>
          <w:rStyle w:val="Marker"/>
          <w:color w:val="000000" w:themeColor="text1"/>
        </w:rPr>
        <w:t xml:space="preserve">Atunci când se aplică logoul Nutri-Score, nu numai că titularul mărcii trebuie să respecte condițiile de utilizare a mărcii, ci și să ia în considerare </w:t>
      </w:r>
      <w:r>
        <w:t xml:space="preserve">normele generale de protecție a mărcilor care trebuie respectate în domeniul dreptului mărcilor, al dreptului comerțului echitabil și al dreptului penal.</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Cadrul juridic național</w:t>
      </w:r>
    </w:p>
    <w:p w14:paraId="57E6E4A9" w14:textId="230342F8" w:rsidR="00D8085E" w:rsidRPr="00A92440" w:rsidRDefault="004336A6" w:rsidP="008D3E19">
      <w:pPr>
        <w:pStyle w:val="NoSpacing"/>
        <w:spacing w:line="276" w:lineRule="auto"/>
      </w:pPr>
      <w:r>
        <w:rPr>
          <w:i/>
        </w:rPr>
        <w:br/>
      </w:r>
      <w:r>
        <w:rPr>
          <w:color w:val="000000" w:themeColor="text1"/>
        </w:rPr>
        <w:t xml:space="preserve">Articolul 1 din Decretul-lege privind produsele alimentare definește logoul ales ca fiind un logo care facilitează alegerea de către consumatori a produselor alimentare care sunt mai sănătoase în comparație cu alimentele similare dintr-o categorie de produse.</w:t>
      </w:r>
      <w:r>
        <w:rPr>
          <w:color w:val="000000" w:themeColor="text1"/>
        </w:rPr>
        <w:t xml:space="preserve"> </w:t>
      </w:r>
      <w:r>
        <w:rPr>
          <w:color w:val="000000" w:themeColor="text1"/>
        </w:rPr>
        <w:t xml:space="preserve">În conformitate cu articolul 11 din Decretul privind produsele alimentare din Legea privind produsele alimentare, un logo pentru alegerea produselor alimentare poate fi utilizat în comercializarea unui produs alimentar, cu condiția să fie îndeplinite condițiile prevăzute la articolul respectiv.</w:t>
      </w:r>
      <w:r>
        <w:rPr>
          <w:color w:val="000000" w:themeColor="text1"/>
        </w:rPr>
        <w:t xml:space="preserve"> </w:t>
      </w:r>
      <w:r>
        <w:t xml:space="preserve">În 2021, este prevăzută o modificare a Decretului privind informațiile referitoare la produsele alimentare, care nu mai impune industriei să solicite aprobarea unui logo pentru alegerea produselor alimentare.</w:t>
      </w:r>
      <w:r>
        <w:rPr>
          <w:color w:val="333333"/>
        </w:rPr>
        <w:t xml:space="preserve"> </w:t>
      </w:r>
      <w:r>
        <w:t xml:space="preserve">La momentul scrisorii din prezenta notă explicativă, modificarea w</w:t>
      </w:r>
      <w:r>
        <w:rPr>
          <w:color w:val="333333"/>
        </w:rPr>
        <w:t xml:space="preserve"> a Decretului-lege privind mărfurile în ceea ce privește informațiile referitoare la produsele alimentare </w:t>
      </w:r>
      <w:r>
        <w:t xml:space="preserve"> nu a fost încă publicată în Monitorul Oficial.</w:t>
      </w:r>
      <w:r>
        <w:t xml:space="preserve"> </w:t>
      </w:r>
      <w:r>
        <w:t xml:space="preserve">Principiul recunoașterii reciproce implică faptul că un stat membru al UE nu trebuie să interzică vânzarea de mărfuri care au fost introduse în mod legal pe piața dintr-un alt stat membru al UE pe teritoriul său, pe motiv că mărfurile nu respectă reglementările naționale ale statului membru în cauză.</w:t>
      </w:r>
      <w:r>
        <w:t xml:space="preserve"> </w:t>
      </w:r>
      <w:r>
        <w:t xml:space="preserve">Cu toate acestea, este important ca mărfurile dintr-un alt stat membru european să ofere cel puțin un nivel echivalent de protecție.</w:t>
      </w:r>
      <w:r>
        <w:t xml:space="preserve"> </w:t>
      </w:r>
      <w:r>
        <w:t xml:space="preserve">Această clauză privind recunoașterea reciprocă este prevăzută la articolul 13d din Legea privind produsele de bază. Comercializarea mărfurilor care provin din alte state membre europene nu este interzisă pe baza cerințelor prevăzute de acest regim.</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Impactul asupra sarcinilor de reglementare</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Comitetul de evaluare a presiunii de reglementare (ATR) nu a selectat dosarul pentru un aviz formal, deoarece acesta nu are niciun impact asupra sarcinii de reglementare a cetățenilor și a întreprinderilor.</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Consultare regulată cu privire la Legea privind produsele de bază</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Prezentul proiect de ordin a fost transmis participanților la Grupul consultativ privind mărfurile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Forța executorie și fezabilitatea</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Structura acestui sistem a fost evaluată de NVWA în ceea ce privește forța executorie, punerea în aplicare și protecția împotriva fraudei.</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Notificare</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Regulamentul (CE) nr. 1924/2006 al Parlamentului European și al Consiliului din 20 decembrie 2006 privind mențiunile nutriționale și de sănătate înscrise pe produsele alimentare (JO 2006, L 404) (denumit în continuare „Regulamentul privind mențiunile nutriționale”) a stabilit principii generale pentru toate mențiunile referitoare la produsele alimentare.</w:t>
      </w:r>
      <w:r>
        <w:rPr>
          <w:color w:val="333333"/>
        </w:rPr>
        <w:t xml:space="preserve"> </w:t>
      </w:r>
      <w:r>
        <w:rPr>
          <w:color w:val="333333"/>
        </w:rPr>
        <w:t xml:space="preserve">Logoul pentru alegerea alimentelor </w:t>
      </w:r>
      <w:r>
        <w:rPr>
          <w:color w:val="333333"/>
          <w:i/>
        </w:rPr>
        <w:t xml:space="preserve">Nutri-Score</w:t>
      </w:r>
      <w:r>
        <w:rPr>
          <w:color w:val="333333"/>
        </w:rPr>
        <w:t xml:space="preserve"> este considerat mențiune nutrițională, astfel cum se menționează la articolul 2 alineatul (2) punctul 4 din prezentul regulament.</w:t>
      </w:r>
      <w:r>
        <w:rPr>
          <w:color w:val="333333"/>
        </w:rPr>
        <w:t xml:space="preserve"> </w:t>
      </w:r>
      <w:r>
        <w:rPr>
          <w:color w:val="333333"/>
        </w:rPr>
        <w:t xml:space="preserve">Articolul 8 alineatul (1) din Regulamentul privind mențiunile nutriționale permite numai mențiunile nutriționale enumerate în anexa la prezentul regulament.</w:t>
      </w:r>
      <w:r>
        <w:rPr>
          <w:color w:val="333333"/>
        </w:rPr>
        <w:t xml:space="preserve"> </w:t>
      </w:r>
      <w:r>
        <w:rPr>
          <w:color w:val="333333"/>
        </w:rPr>
        <w:t xml:space="preserve">Aceste mențiuni nutriționale se referă întotdeauna numai la cantitatea de energie a unui produs alimentar sau la cantitatea unei substanțe sau a unui nutrient.</w:t>
      </w:r>
      <w:r>
        <w:rPr>
          <w:color w:val="333333"/>
        </w:rPr>
        <w:t xml:space="preserve"> </w:t>
      </w:r>
      <w:r>
        <w:rPr>
          <w:color w:val="333333"/>
        </w:rPr>
        <w:t xml:space="preserve">Logoul pentru alegerea alimentelor </w:t>
      </w:r>
      <w:r>
        <w:rPr>
          <w:color w:val="333333"/>
          <w:i/>
        </w:rPr>
        <w:t xml:space="preserve">Nutri-Score</w:t>
      </w:r>
      <w:r>
        <w:rPr>
          <w:color w:val="333333"/>
        </w:rPr>
        <w:t xml:space="preserve"> nu este adecvat în acest scop pentru a fi adăugat în această anexă: la calcularea </w:t>
      </w:r>
      <w:r>
        <w:rPr>
          <w:color w:val="333333"/>
          <w:i/>
        </w:rPr>
        <w:t xml:space="preserve">Nutri-Score</w:t>
      </w:r>
      <w:r>
        <w:rPr>
          <w:color w:val="333333"/>
        </w:rPr>
        <w:t xml:space="preserve">, se ia în considerare întreaga compoziție a unui produs alimentar.</w:t>
      </w:r>
      <w:r>
        <w:rPr>
          <w:color w:val="333333"/>
        </w:rPr>
        <w:t xml:space="preserve"> </w:t>
      </w:r>
      <w:r>
        <w:rPr>
          <w:color w:val="333333"/>
        </w:rPr>
        <w:t xml:space="preserve">Articolul 23 din Regulamentul privind mențiunile nutriționale impune unui stat membru să notifice utilizarea mențiunilor pe teritoriul său în cazul în care acestea nu sunt conforme cu Regulamentul privind mențiunile nutriționale .</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Pentru a proteja informarea adecvată a consumatorilor, articolul 36 din Regulamentul (UE) nr. 1169/2011 al Parlamentului European și al Consiliului din 25 octombrie 2011 privind informarea consumatorilor cu privire la produsele alimentare</w:t>
      </w:r>
      <w:r>
        <w:rPr>
          <w:rStyle w:val="FootnoteReference"/>
          <w:rFonts w:eastAsia="Times New Roman" w:cs="Arial"/>
          <w:color w:val="333333"/>
        </w:rPr>
        <w:footnoteReference w:id="6"/>
      </w:r>
      <w:r>
        <w:rPr>
          <w:color w:val="333333"/>
        </w:rPr>
        <w:t xml:space="preserve">, informațiile voluntare referitoare la produsele alimentare ar trebui să îndeplinească o serie de cerințe.</w:t>
      </w:r>
      <w:r>
        <w:rPr>
          <w:color w:val="333333"/>
        </w:rPr>
        <w:t xml:space="preserve"> </w:t>
      </w:r>
      <w:r>
        <w:rPr>
          <w:color w:val="333333"/>
        </w:rPr>
        <w:t xml:space="preserve">Și în acest context, Comisia a fost informată cu privire la textul acestei scheme.</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Proiectul de sistem a fost notificat Comisiei Europene la... pentru a îndeplini cerințele </w:t>
      </w:r>
      <w:r>
        <w:rPr>
          <w:b/>
        </w:rPr>
        <w:t xml:space="preserve">P.M.</w:t>
      </w:r>
      <w:r>
        <w:t xml:space="preserve"> În urma notificării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Anexa la documentele Camerei II, 2018/19, 32793, nr.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w:t>
      </w:r>
      <w:r>
        <w:rPr>
          <w:sz w:val="16"/>
          <w:i/>
          <w:rFonts w:ascii="Verdana" w:hAnsi="Verdana"/>
        </w:rPr>
        <w:t xml:space="preserve">Effectivity of figurative marks of three food choice logos</w:t>
      </w:r>
      <w:r>
        <w:rPr>
          <w:sz w:val="16"/>
          <w:rFonts w:ascii="Verdana" w:hAnsi="Verdana"/>
        </w:rPr>
        <w:t xml:space="preserve">” (Eficacitatea mărcilor figurative a trei logouri ale alegerii alimentelor), 30 octombrie 2019, Poate fi găsit la adresa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Institutul Național pentru Sănătate Publică și Mediu (RIVM) și Centrul de Nutriție, „</w:t>
      </w:r>
      <w:r>
        <w:rPr>
          <w:sz w:val="16"/>
          <w:i/>
          <w:rFonts w:ascii="Verdana" w:hAnsi="Verdana"/>
        </w:rPr>
        <w:t xml:space="preserve">Desk Study Food Choice Logos under the spotlight</w:t>
      </w:r>
      <w:r>
        <w:rPr>
          <w:sz w:val="16"/>
          <w:rFonts w:ascii="Verdana" w:hAnsi="Verdana"/>
        </w:rPr>
        <w:t xml:space="preserve">” (Studiu documentar privind logourile pentru alegerea alimentelor sub lumina reflectoarelor), 28 noiembrie 2019.</w:t>
      </w:r>
      <w:r>
        <w:rPr>
          <w:sz w:val="16"/>
          <w:rFonts w:ascii="Verdana" w:hAnsi="Verdana"/>
        </w:rPr>
        <w:t xml:space="preserve"> </w:t>
      </w:r>
      <w:r>
        <w:rPr>
          <w:sz w:val="16"/>
          <w:rFonts w:ascii="Verdana" w:hAnsi="Verdana"/>
        </w:rPr>
        <w:t xml:space="preserve">Poate fi vizualizat la adresa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Documentele parlamentare II 2019/20, 32793, nr.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ROW este alcătuit din reprezentanți ai întreprinderilor (industrie și comerț), ai consumatorilor, ai ministerelor (în special din partea Ministerului Sănătății Publice, Bunăstării și Sporturilor și a Ministerului Agriculturii, Naturii și Calității Alimentelor) și ai Autorității pentru siguranța alimentară și pentru produsele destinate alimentației umane din Țările de Jos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Titlu complet </w:t>
      </w:r>
      <w:r>
        <w:rPr>
          <w:sz w:val="16"/>
          <w:color w:val="333333"/>
          <w:rFonts w:ascii="Verdana" w:hAnsi="Verdana"/>
        </w:rPr>
        <w:t xml:space="preserve">Regulamentul (UE) nr. 1169/2011 al Parlamentului European și al Consiliului din 25 octombrie 2011 privind informarea consumatorilor cu privire la produsele alimentare, de modificare a Regulamentelor (CE) nr. 1924/2006 și (CE) nr. 1925/2006 ale Parlamentului European și ale Consiliului și de abrogare a Directivei 87/250/CEE a Comisiei și a Directivei 90/496/CEE a Consiliului, a Directivei 1999/10/CE a Comisiei, a Directivei 2000/13/CE a Parlamentului European și a Consiliului, a Directivelor 2002/67/CE și 2008/5/CE ale Comisiei și Regulamentului (CE) nr. 608/2004 al Comisiei (JO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Pagina </w:t>
                          </w:r>
                          <w:r>
                            <w:fldChar w:fldCharType="begin"/>
                          </w:r>
                          <w:r>
                            <w:instrText>PAGE</w:instrText>
                          </w:r>
                          <w:r>
                            <w:fldChar w:fldCharType="separate"/>
                          </w:r>
                          <w:r w:rsidR="002A4E62">
                            <w:t>4</w:t>
                          </w:r>
                          <w:r>
                            <w:fldChar w:fldCharType="end"/>
                          </w:r>
                          <w:r>
                            <w:t xml:space="preserve"> din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Pagina </w:t>
                    </w:r>
                    <w:r>
                      <w:fldChar w:fldCharType="begin"/>
                    </w:r>
                    <w:r>
                      <w:instrText>PAGE</w:instrText>
                    </w:r>
                    <w:r>
                      <w:fldChar w:fldCharType="separate"/>
                    </w:r>
                    <w:r w:rsidR="002A4E62">
                      <w:t>4</w:t>
                    </w:r>
                    <w:r>
                      <w:fldChar w:fldCharType="end"/>
                    </w:r>
                    <w:r>
                      <w:t xml:space="preserve"> din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Ministerul Sănătății Publice, Bunăstării și Sportului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Ministerul Sănătății Publice, Bunăstării și Sportului</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Regulamentul ministrului sănătății din – VGP,</w:t>
                          </w:r>
                        </w:p>
                        <w:p w14:paraId="6DDC92F8" w14:textId="77777777" w:rsidR="001D3DA3" w:rsidRDefault="00AD598F">
                          <w:r>
                            <w:t xml:space="preserve">desemnarea Nutri-Score ca logo pentru alegerea produselor alimentare și condițiile de utilizare a acestuia (Regulamentul privind desemnarea logoului pentru alegerea produselor alimentare)</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Regulamentul ministrului sănătății din – VGP,</w:t>
                    </w:r>
                  </w:p>
                  <w:p w14:paraId="6DDC92F8" w14:textId="77777777" w:rsidR="001D3DA3" w:rsidRDefault="00AD598F">
                    <w:r>
                      <w:t xml:space="preserve">desemnarea Nutri-Score ca logo pentru alegerea produselor alimentare și condițiile de utilizare a acestuia (Regulamentul privind desemnarea logoului pentru alegerea produselor alimentare)</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Pagina </w:t>
                          </w:r>
                          <w:r>
                            <w:fldChar w:fldCharType="begin"/>
                          </w:r>
                          <w:r>
                            <w:instrText>PAGE</w:instrText>
                          </w:r>
                          <w:r>
                            <w:fldChar w:fldCharType="separate"/>
                          </w:r>
                          <w:r w:rsidR="002A4E62">
                            <w:t>1</w:t>
                          </w:r>
                          <w:r>
                            <w:fldChar w:fldCharType="end"/>
                          </w:r>
                          <w:r>
                            <w:t xml:space="preserve"> din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Pagina </w:t>
                    </w:r>
                    <w:r>
                      <w:fldChar w:fldCharType="begin"/>
                    </w:r>
                    <w:r>
                      <w:instrText>PAGE</w:instrText>
                    </w:r>
                    <w:r>
                      <w:fldChar w:fldCharType="separate"/>
                    </w:r>
                    <w:r w:rsidR="002A4E62">
                      <w:t>1</w:t>
                    </w:r>
                    <w:r>
                      <w:fldChar w:fldCharType="end"/>
                    </w:r>
                    <w:r>
                      <w:t xml:space="preserve"> din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ro-RO"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