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Nacrt od 10. prosinca 2021.</w:t>
      </w:r>
    </w:p>
    <w:p w14:paraId="5C35B594" w14:textId="77777777" w:rsidR="00A749FE" w:rsidRPr="00C770BB" w:rsidRDefault="00A749FE" w:rsidP="00A749FE">
      <w:pPr>
        <w:pStyle w:val="OZNRODZAKTUtznustawalubrozporzdzenieiorganwydajcy"/>
      </w:pPr>
      <w:r>
        <w:t>ZAKON</w:t>
      </w:r>
    </w:p>
    <w:p w14:paraId="1383CC47" w14:textId="77777777" w:rsidR="00A749FE" w:rsidRPr="00C770BB" w:rsidRDefault="00A749FE" w:rsidP="00A749FE">
      <w:pPr>
        <w:pStyle w:val="DATAAKTUdatauchwalenialubwydaniaaktu"/>
      </w:pPr>
      <w:r>
        <w:t>od</w:t>
      </w:r>
    </w:p>
    <w:p w14:paraId="42408DA5" w14:textId="77777777" w:rsidR="00A749FE" w:rsidRPr="006E6C77" w:rsidRDefault="00A749FE" w:rsidP="00A749FE">
      <w:pPr>
        <w:pStyle w:val="TYTUAKTUprzedmiotregulacjiustawylubrozporzdzenia"/>
      </w:pPr>
      <w:r>
        <w:t>o izmjeni određenih zakona radi sprečavanja lihvarenja</w:t>
      </w:r>
      <w:r w:rsidRPr="00792E99">
        <w:rPr>
          <w:rStyle w:val="IGPindeksgrnyipogrubienie"/>
        </w:rPr>
        <w:footnoteReference w:id="1"/>
      </w:r>
      <w:r>
        <w:rPr>
          <w:rStyle w:val="IGPindeksgrnyipogrubienie"/>
        </w:rPr>
        <w:t>)</w:t>
      </w:r>
    </w:p>
    <w:p w14:paraId="4186C237" w14:textId="77777777" w:rsidR="00A749FE" w:rsidRPr="009D5640" w:rsidRDefault="00A749FE" w:rsidP="00A749FE">
      <w:pPr>
        <w:pStyle w:val="ARTartustawynprozporzdzenia"/>
      </w:pPr>
      <w:r>
        <w:rPr>
          <w:rStyle w:val="Ppogrubienie"/>
        </w:rPr>
        <w:t>Članak 1.</w:t>
      </w:r>
      <w:r>
        <w:t> Zakon o građanskom postupku od 23. travnja 1964. (Službeni list iz 2020., stavke 1740 i 2320, i Službeni list iz 2021., stavka 1509) mijenja se kako slijedi:</w:t>
      </w:r>
    </w:p>
    <w:p w14:paraId="69D59890" w14:textId="77777777" w:rsidR="00A749FE" w:rsidRPr="009D5640" w:rsidRDefault="00236A11" w:rsidP="00A749FE">
      <w:pPr>
        <w:pStyle w:val="PKTpunkt"/>
      </w:pPr>
      <w:r>
        <w:t>1.</w:t>
      </w:r>
      <w:r>
        <w:tab/>
        <w:t>sljedeći članci od 720.</w:t>
      </w:r>
      <w:r>
        <w:rPr>
          <w:rStyle w:val="IGindeksgrny"/>
        </w:rPr>
        <w:t xml:space="preserve">1 </w:t>
      </w:r>
      <w:r>
        <w:t xml:space="preserve"> do 720</w:t>
      </w:r>
      <w:r>
        <w:rPr>
          <w:rStyle w:val="IGindeksgrny"/>
        </w:rPr>
        <w:t xml:space="preserve">5 </w:t>
      </w:r>
      <w:r>
        <w:t xml:space="preserve"> dodaje se nakon članka 720.:</w:t>
      </w:r>
    </w:p>
    <w:p w14:paraId="424AAB52" w14:textId="77777777" w:rsidR="00A749FE" w:rsidRPr="009D5640" w:rsidRDefault="00A749FE" w:rsidP="00A749FE">
      <w:pPr>
        <w:pStyle w:val="ZARTzmartartykuempunktem"/>
      </w:pPr>
      <w:r>
        <w:t>„Članak 720.</w:t>
      </w:r>
      <w:r>
        <w:rPr>
          <w:rStyle w:val="IGindeksgrny"/>
        </w:rPr>
        <w:t>1</w:t>
      </w:r>
      <w:r>
        <w:t>. Stavak 1. Odredbom članka 720. stavka 1. ne isključuje se pravo gotovinskog vjerovnika na potraživanje kamata i nekamatnih troškova od zajmoprimca podložno sljedećim odredbama.</w:t>
      </w:r>
    </w:p>
    <w:p w14:paraId="459B4EEB" w14:textId="77777777" w:rsidR="00A749FE" w:rsidRPr="00F13574" w:rsidRDefault="00A749FE" w:rsidP="00A749FE">
      <w:pPr>
        <w:pStyle w:val="ZARTzmartartykuempunktem"/>
      </w:pPr>
      <w:r>
        <w:t>Stavak 2. Nekamatni troškovi povezani sa sklapanjem ugovora o gotovinskom kreditu koji proizlaze iz tog ili drugog ugovora ili bilo kojeg drugog pravnog posla su kako slijedi:</w:t>
      </w:r>
    </w:p>
    <w:p w14:paraId="722F56F3" w14:textId="77777777" w:rsidR="00A749FE" w:rsidRPr="00F13574" w:rsidRDefault="00A749FE" w:rsidP="00792E99">
      <w:pPr>
        <w:pStyle w:val="ZPKTzmpktartykuempunktem"/>
      </w:pPr>
      <w:r>
        <w:t>1.</w:t>
      </w:r>
      <w:r>
        <w:tab/>
        <w:t>marže, provizije ili naknade povezane s pripremom ugovora o zajmu, odobravanjem ili upravljanjem kreditom ili sličnim troškovima,</w:t>
      </w:r>
    </w:p>
    <w:p w14:paraId="1D27905B" w14:textId="77777777" w:rsidR="00A749FE" w:rsidRDefault="00A749FE" w:rsidP="00792E99">
      <w:pPr>
        <w:pStyle w:val="ZPKTzmpktartykuempunktem"/>
      </w:pPr>
      <w:r>
        <w:t>2.</w:t>
      </w:r>
      <w:r>
        <w:tab/>
        <w:t>naknade povezane s odgodom datuma otplate zajma, njegovom zakašnjelim otplatom ili sličnim troškovima,</w:t>
      </w:r>
    </w:p>
    <w:p w14:paraId="11D9B214" w14:textId="77777777" w:rsidR="00A749FE" w:rsidRDefault="00A749FE" w:rsidP="00792E99">
      <w:pPr>
        <w:pStyle w:val="ZPKTzmpktartykuempunktem"/>
      </w:pPr>
      <w:r>
        <w:t>3.</w:t>
      </w:r>
      <w:r>
        <w:tab/>
        <w:t>troškovi dodatnih usluga, posebno troškovi osiguranja, troškovi povezani s utvrđivanjem jamstva za kredit, troškovi dobivanja informacija o zajmoprimcu ako su ti troškovi potrebni za sklapanje ugovora</w:t>
      </w:r>
    </w:p>
    <w:p w14:paraId="67915386" w14:textId="77777777" w:rsidR="00A749FE" w:rsidRDefault="00A749FE" w:rsidP="00792E99">
      <w:pPr>
        <w:pStyle w:val="ZCZWSPPKTzmczciwsppktartykuempunktem"/>
      </w:pPr>
      <w:r>
        <w:t>— isključeni su javnobilježnički troškovi i javnopravni doprinosi koje su stranke dužne platiti u okviru sklapanja ugovora.</w:t>
      </w:r>
    </w:p>
    <w:p w14:paraId="4D3E269A" w14:textId="77777777" w:rsidR="00A749FE" w:rsidRDefault="00A749FE" w:rsidP="00792E99">
      <w:pPr>
        <w:pStyle w:val="ZUSTzmustartykuempunktem"/>
      </w:pPr>
      <w:r>
        <w:t>Stavak 3. Ako po sklapanju ugovora vjerovnika zastupa zastupnik ili druga osoba preko koje davatelj kredita sklapa ugovor ili koja ispunjava svoju obvezu, nekamatni troškovi povezani sa sklapanjem ugovora o kreditu uključuju i naknadu agentu ili toj osobi, pod uvjetom da je dužnik plati.</w:t>
      </w:r>
    </w:p>
    <w:p w14:paraId="645BC380" w14:textId="77777777" w:rsidR="00AF3254" w:rsidRDefault="00AF3254" w:rsidP="00AF3254">
      <w:pPr>
        <w:pStyle w:val="ZARTzmartartykuempunktem"/>
        <w:ind w:left="567" w:firstLine="0"/>
      </w:pPr>
      <w:r>
        <w:lastRenderedPageBreak/>
        <w:t xml:space="preserve">           Članak 720.</w:t>
      </w:r>
      <w:r>
        <w:rPr>
          <w:rStyle w:val="IGindeksgrny"/>
        </w:rPr>
        <w:t>2</w:t>
      </w:r>
      <w:r>
        <w:t xml:space="preserve">. Stavak 1. Osim ako je drukčije predviđeno posebnim odredbama, ukupni nekamatni troškovi u ugovoru o gotovinskom kreditu sklopljenom s fizičkom osobom koji nije izravno povezan s poslovnom ili profesionalnom djelatnošću te osobe ne smiju premašiti najviši iznos nekamatnih troškova naveden u formuli: </w:t>
      </w:r>
    </w:p>
    <w:p w14:paraId="2F67F25F" w14:textId="77777777" w:rsidR="00AF3254" w:rsidRPr="00346832" w:rsidRDefault="005D157C" w:rsidP="00EA5237">
      <w:pPr>
        <w:pStyle w:val="ZWMATFIZCHEMzmwzorumatfizlubchemartykuempunktem"/>
        <w:rPr>
          <w:rStyle w:val="Kkursywa"/>
        </w:rPr>
      </w:pPr>
      <w:r>
        <w:rPr>
          <w:rStyle w:val="Kkursywa"/>
        </w:rPr>
        <w:t>MKP = K × n/R × 20 %</w:t>
      </w:r>
    </w:p>
    <w:p w14:paraId="41C9FD6E" w14:textId="77777777" w:rsidR="00A749FE" w:rsidRPr="009A3043" w:rsidRDefault="00A749FE" w:rsidP="00792E99">
      <w:pPr>
        <w:pStyle w:val="ZLEGWMATFIZCHEMzmlegendywzorumatfizlubchemartykuempunktem"/>
      </w:pPr>
      <w:r>
        <w:t>ako se smatra da pojedinačni simboli znače:</w:t>
      </w:r>
    </w:p>
    <w:p w14:paraId="7D0C3368" w14:textId="77777777" w:rsidR="00A749FE" w:rsidRPr="00C770BB" w:rsidRDefault="00A749FE" w:rsidP="00792E99">
      <w:pPr>
        <w:pStyle w:val="ZLEGWMATFIZCHEMzmlegendywzorumatfizlubchemartykuempunktem"/>
      </w:pPr>
      <w:r>
        <w:rPr>
          <w:rStyle w:val="Kkursywa"/>
        </w:rPr>
        <w:t>MKP</w:t>
      </w:r>
      <w:r>
        <w:t xml:space="preserve"> – maksimalni iznos nekamatnih troškova,</w:t>
      </w:r>
    </w:p>
    <w:p w14:paraId="581D23CD" w14:textId="77777777" w:rsidR="00A749FE" w:rsidRPr="00C770BB" w:rsidRDefault="00A749FE" w:rsidP="00792E99">
      <w:pPr>
        <w:pStyle w:val="ZLEGWMATFIZCHEMzmlegendywzorumatfizlubchemartykuempunktem"/>
      </w:pPr>
      <w:r>
        <w:rPr>
          <w:rStyle w:val="Kkursywa"/>
        </w:rPr>
        <w:t>K</w:t>
      </w:r>
      <w:r>
        <w:rPr>
          <w:i/>
        </w:rPr>
        <w:t xml:space="preserve"> </w:t>
      </w:r>
      <w:r>
        <w:t xml:space="preserve">– ukupni iznos kredita, koji se tumači kao zbroj ukupnog novca koji ne uključuje sufinancirane troškove kredita koji vjerovnik otpušta zajmoprimcu na temelju ugovora, </w:t>
      </w:r>
    </w:p>
    <w:p w14:paraId="70F35599" w14:textId="77777777" w:rsidR="00A749FE" w:rsidRDefault="00A749FE" w:rsidP="00792E99">
      <w:pPr>
        <w:pStyle w:val="ZLEGWMATFIZCHEMzmlegendywzorumatfizlubchemartykuempunktem"/>
      </w:pPr>
      <w:r>
        <w:rPr>
          <w:rStyle w:val="Kkursywa"/>
        </w:rPr>
        <w:t>n</w:t>
      </w:r>
      <w:r>
        <w:rPr>
          <w:i/>
        </w:rPr>
        <w:t xml:space="preserve"> </w:t>
      </w:r>
      <w:r>
        <w:t>– razdoblje otplate izraženo u danima od datuma isplate kredita,</w:t>
      </w:r>
    </w:p>
    <w:p w14:paraId="4227BE86" w14:textId="77777777" w:rsidR="00A749FE" w:rsidRDefault="00A749FE" w:rsidP="00792E99">
      <w:pPr>
        <w:pStyle w:val="ZLEGWMATFIZCHEMzmlegendywzorumatfizlubchemartykuempunktem"/>
      </w:pPr>
      <w:r>
        <w:rPr>
          <w:rStyle w:val="Kkursywa"/>
        </w:rPr>
        <w:t>R</w:t>
      </w:r>
      <w:r>
        <w:t xml:space="preserve"> – broj dana u godini.</w:t>
      </w:r>
    </w:p>
    <w:p w14:paraId="09C502E9" w14:textId="77777777" w:rsidR="00A749FE" w:rsidRDefault="00A749FE" w:rsidP="00792E99">
      <w:pPr>
        <w:pStyle w:val="ZUSTzmustartykuempunktem"/>
      </w:pPr>
      <w:r>
        <w:t>Stavak 2. Nekamatni troškovi iz stavka 1. ne smiju prelaziti 25 % ukupnog iznosa zajma tijekom cijelog razdoblja otplate zajma.</w:t>
      </w:r>
    </w:p>
    <w:p w14:paraId="660D4B28" w14:textId="77777777" w:rsidR="00A749FE" w:rsidRDefault="00A749FE" w:rsidP="00792E99">
      <w:pPr>
        <w:pStyle w:val="ZUSTzmustartykuempunktem"/>
      </w:pPr>
      <w:r>
        <w:t>Stavak 3. Ako nekamatni troškovi premašuju najviši iznos nekamatnih troškova kako je utvrđeno u stavcima 1. ili 2., nekamatni troškovi plaćaju se do najvećeg iznosa.</w:t>
      </w:r>
    </w:p>
    <w:p w14:paraId="2709254F" w14:textId="77777777" w:rsidR="00A749FE" w:rsidRDefault="00A749FE" w:rsidP="00792E99">
      <w:pPr>
        <w:pStyle w:val="ZUSTzmustartykuempunktem"/>
      </w:pPr>
      <w:r>
        <w:t>Stavak 4. Ugovorne odredbe ne smiju isključiti ili ograničiti odredbe o maksimalnom iznosu nekamatnih troškova, čak i ako je odabrano strano pravo. U tom se slučaju primjenjuju odredbe Zakona.</w:t>
      </w:r>
    </w:p>
    <w:p w14:paraId="24E91122" w14:textId="77777777" w:rsidR="00A749FE" w:rsidRDefault="00A749FE" w:rsidP="00A749FE">
      <w:pPr>
        <w:pStyle w:val="ZARTzmartartykuempunktem"/>
      </w:pPr>
      <w:r>
        <w:t>Članak 720.</w:t>
      </w:r>
      <w:r>
        <w:rPr>
          <w:rStyle w:val="IGindeksgrny"/>
        </w:rPr>
        <w:t>3</w:t>
      </w:r>
      <w:r>
        <w:t>. Stavak 1. Ako se u vezi sa sklapanjem ugovora iz članka 720.</w:t>
      </w:r>
      <w:r>
        <w:rPr>
          <w:rStyle w:val="IGindeksgrny"/>
        </w:rPr>
        <w:t>2</w:t>
      </w:r>
      <w:r>
        <w:t xml:space="preserve"> stavka 1. zajmoprimac obveže osigurati osiguranje za otplatu kredita, obveza se navodi u ugovoru. U tom slučaju, u ugovoru se navodi način osiguranja i, ovisno o slučaju, imovina ili pravo koje čini predmet osiguranja i njegova vrijednost ili zbroj osiguranja koji je drukčije određen.</w:t>
      </w:r>
    </w:p>
    <w:p w14:paraId="1C42F921" w14:textId="77777777" w:rsidR="00A749FE" w:rsidRDefault="00A749FE" w:rsidP="00792E99">
      <w:pPr>
        <w:pStyle w:val="ZUSTzmustartykuempunktem"/>
      </w:pPr>
      <w:r>
        <w:t>Stavak 2. Pravni posao kojim se zahtijeva davanje jamstva kojim se krši stavak 1. nije valjan.</w:t>
      </w:r>
    </w:p>
    <w:p w14:paraId="505C2E2B" w14:textId="77777777" w:rsidR="00A749FE" w:rsidRDefault="00A749FE" w:rsidP="00792E99">
      <w:pPr>
        <w:pStyle w:val="ZUSTzmustartykuempunktem"/>
      </w:pPr>
      <w:r>
        <w:t>Stavak 3. Zbroj jamstva potraživanja na temelju ugovora iz članka 720.</w:t>
      </w:r>
      <w:r>
        <w:rPr>
          <w:rStyle w:val="IGindeksgrny"/>
        </w:rPr>
        <w:t>2</w:t>
      </w:r>
      <w:r>
        <w:t xml:space="preserve"> stavka 1. ne smije prelaziti zbroj vrijednosti zajma uvećanog za najviše kamate izračunane izravno na taj iznos za razdoblje za koje je zajam odobren, najviše zatezne kamate izračunane na iznos zajma za razdoblje do šest mjeseci i najveći iznos nekamatnih troškova, osim ako je drukčije određeno posebnom odredbom.</w:t>
      </w:r>
    </w:p>
    <w:p w14:paraId="7B6416E3" w14:textId="77777777" w:rsidR="00A749FE" w:rsidRPr="006E0AD2" w:rsidRDefault="00A749FE" w:rsidP="00792E99">
      <w:pPr>
        <w:pStyle w:val="ZUSTzmustartykuempunktem"/>
      </w:pPr>
      <w:r>
        <w:t>Stavak 4. Stavci od 1. do 3. ne primjenjuju se na osiguranje u obliku hipoteke ili upisanog zaloga.</w:t>
      </w:r>
    </w:p>
    <w:p w14:paraId="49CEF88D" w14:textId="77777777" w:rsidR="00A749FE" w:rsidRDefault="00A749FE" w:rsidP="00A749FE">
      <w:pPr>
        <w:pStyle w:val="ZARTzmartartykuempunktem"/>
      </w:pPr>
      <w:r>
        <w:lastRenderedPageBreak/>
        <w:t>Članak 720.</w:t>
      </w:r>
      <w:r>
        <w:rPr>
          <w:rStyle w:val="IGindeksgrny"/>
        </w:rPr>
        <w:t>4</w:t>
      </w:r>
      <w:r>
        <w:t>. Prije sklapanja ugovora iz članka 720.</w:t>
      </w:r>
      <w:r>
        <w:rPr>
          <w:rStyle w:val="IGindeksgrny"/>
        </w:rPr>
        <w:t>2</w:t>
      </w:r>
      <w:r>
        <w:t xml:space="preserve"> stavka 1. vjerovnik je dužan na nedvosmislen i razumljiv način obavijestiti zajmoprimca o ukupnim nekamatnim troškovima, iznosu kamata i iznosu kamata koje su dužni platiti u vezi sa sklapanjem ugovora.</w:t>
      </w:r>
    </w:p>
    <w:p w14:paraId="24221D41" w14:textId="77777777" w:rsidR="00A749FE" w:rsidRPr="00AC1405" w:rsidRDefault="00A749FE" w:rsidP="00A749FE">
      <w:pPr>
        <w:pStyle w:val="ZARTzmartartykuempunktem"/>
      </w:pPr>
      <w:r>
        <w:t>Članak 720.</w:t>
      </w:r>
      <w:r>
        <w:rPr>
          <w:rStyle w:val="IGindeksgrny"/>
        </w:rPr>
        <w:t>5</w:t>
      </w:r>
      <w:r>
        <w:rPr>
          <w:rStyle w:val="IGindeksgrny"/>
          <w:vertAlign w:val="baseline"/>
        </w:rPr>
        <w:t>.</w:t>
      </w:r>
      <w:r>
        <w:t xml:space="preserve"> Stavak 1. </w:t>
      </w:r>
      <w:bookmarkStart w:id="0" w:name="_Hlk8137631"/>
      <w:r>
        <w:t>U slučaju prijevremene otplate zajma iz članka 720.</w:t>
      </w:r>
      <w:r>
        <w:rPr>
          <w:rStyle w:val="IGindeksgrny"/>
        </w:rPr>
        <w:t>2</w:t>
      </w:r>
      <w:r>
        <w:t xml:space="preserve"> stavka 1. ne mogu se tražiti kamate za preostalo razdoblje do kraja razdoblja za koje je zajam odobren na temelju ugovora</w:t>
      </w:r>
      <w:bookmarkEnd w:id="0"/>
      <w:r>
        <w:t>.</w:t>
      </w:r>
    </w:p>
    <w:p w14:paraId="4BC90CE5" w14:textId="77777777" w:rsidR="00742C91" w:rsidRDefault="00A749FE" w:rsidP="00742C91">
      <w:pPr>
        <w:pStyle w:val="ZUSTzmustartykuempunktem"/>
      </w:pPr>
      <w:r>
        <w:t>Stavak 2. Ako je zajam otplaćen prije roka utvrđenog ugovorom, nastali nekamatni troškovi umanjuju se za troškove koji se odnose na razdoblje za koje je trajanje ugovora smanjeno, čak i ako je zajmoprimac te troškove snosio prije otplate.”;</w:t>
      </w:r>
    </w:p>
    <w:p w14:paraId="7B009590" w14:textId="77777777" w:rsidR="00A749FE" w:rsidRDefault="005F59FD" w:rsidP="00A749FE">
      <w:pPr>
        <w:pStyle w:val="PKTpunkt"/>
      </w:pPr>
      <w:r>
        <w:t>2.</w:t>
      </w:r>
      <w:r>
        <w:tab/>
        <w:t>sljedeći članak 724.</w:t>
      </w:r>
      <w:r>
        <w:rPr>
          <w:rStyle w:val="IGindeksgrny"/>
        </w:rPr>
        <w:t xml:space="preserve">1 </w:t>
      </w:r>
      <w:r>
        <w:t>dodaje se nakon članka 724.:</w:t>
      </w:r>
    </w:p>
    <w:p w14:paraId="6076B67D" w14:textId="77777777" w:rsidR="00A749FE" w:rsidRDefault="00A749FE" w:rsidP="00A749FE">
      <w:pPr>
        <w:pStyle w:val="ZARTzmartartykuempunktem"/>
      </w:pPr>
      <w:r>
        <w:t>„Članak 724.</w:t>
      </w:r>
      <w:r>
        <w:rPr>
          <w:rStyle w:val="IGindeksgrny"/>
        </w:rPr>
        <w:t>1</w:t>
      </w:r>
      <w:r>
        <w:t>. Stavak 1. Odredbe o zajmu primjenjuju se na ugovore koji nisu uređeni drugim odredbama na temelju kojih se novčani iznos prenosi na fizičku osobu koja ga mora otplatiti, a koji nisu izravno povezani s poslovnom ili profesionalnom djelatnošću te osobe.</w:t>
      </w:r>
    </w:p>
    <w:p w14:paraId="4543B8F2" w14:textId="77777777" w:rsidR="00A749FE" w:rsidRPr="00C770BB" w:rsidRDefault="00A749FE" w:rsidP="00792E99">
      <w:pPr>
        <w:pStyle w:val="ZUSTzmustartykuempunktem"/>
      </w:pPr>
      <w:r>
        <w:t>Stavak 2. Odredbe ove glave također se primjenjuju na ugovore, koji nisu uređeni drugim odredbama, o prijenosu na fizičku osobu, uz naknadu, dugova ili drugih imovinskih prava čija je vrijednost određena novčanim iznosom s obvezom povrata, pod uvjetom da ti ugovori nisu povezani s poslovnom ili profesionalnom djelatnošću te osobe. U tom slučaju, ukupna vrijednost kredita znači vrijednost tih potraživanja ili prava na dan donošenja uredbe.”.</w:t>
      </w:r>
    </w:p>
    <w:p w14:paraId="521AE618" w14:textId="77777777" w:rsidR="00A749FE" w:rsidRDefault="00A749FE" w:rsidP="00A749FE">
      <w:pPr>
        <w:pStyle w:val="ARTartustawynprozporzdzenia"/>
      </w:pPr>
      <w:r>
        <w:rPr>
          <w:rStyle w:val="Ppogrubienie"/>
        </w:rPr>
        <w:t>Članak 2.</w:t>
      </w:r>
      <w:r>
        <w:t xml:space="preserve"> Sljedeće izmjene unose se u Zakon o parničnom postupku od 17. studenoga 1964. (Službeni list iz 2021.,stavke 1805, 1981 i 2052):</w:t>
      </w:r>
    </w:p>
    <w:p w14:paraId="6CF9F9D0" w14:textId="77777777" w:rsidR="00A749FE" w:rsidRDefault="00A749FE" w:rsidP="00A749FE">
      <w:pPr>
        <w:pStyle w:val="PKTpunkt"/>
      </w:pPr>
      <w:r>
        <w:t>1.</w:t>
      </w:r>
      <w:r>
        <w:tab/>
        <w:t>u članku 777.:</w:t>
      </w:r>
    </w:p>
    <w:p w14:paraId="4CF18B43" w14:textId="77777777" w:rsidR="00A749FE" w:rsidRDefault="00A749FE" w:rsidP="00A749FE">
      <w:pPr>
        <w:pStyle w:val="LITlitera"/>
      </w:pPr>
      <w:r>
        <w:t>(a)</w:t>
      </w:r>
      <w:r>
        <w:tab/>
        <w:t>sljedeća druga rečenica dodaje se u stavku 2. i glasi kako slijedi:</w:t>
      </w:r>
    </w:p>
    <w:p w14:paraId="697855FD" w14:textId="77777777" w:rsidR="00A749FE" w:rsidRDefault="00A749FE" w:rsidP="00792E99">
      <w:pPr>
        <w:pStyle w:val="ZLITFRAGzmlitfragmentunpzdanialiter"/>
      </w:pPr>
      <w:r>
        <w:t>„U takvom slučaju javnobilježnička isprava navodi pravni odnos u pogledu kojeg dužnik podnosi ovrhu, datum nastanka dužnikove obveze, njezin sadržaj i, u slučaju obveza na temelju međusobnih ugovora, korist vjerovnika zajedno s datumom izvršenja obveze.”</w:t>
      </w:r>
    </w:p>
    <w:p w14:paraId="4887C425" w14:textId="77777777" w:rsidR="00A749FE" w:rsidRDefault="00A749FE" w:rsidP="00A749FE">
      <w:pPr>
        <w:pStyle w:val="LITlitera"/>
      </w:pPr>
      <w:r>
        <w:t>(b)</w:t>
      </w:r>
      <w:r>
        <w:tab/>
        <w:t>sljedeći stavak 2.</w:t>
      </w:r>
      <w:r>
        <w:rPr>
          <w:rStyle w:val="IGindeksgrny"/>
        </w:rPr>
        <w:t>1</w:t>
      </w:r>
      <w:r>
        <w:t xml:space="preserve"> dodaje se nakon stavka 2. i glasi kako slijedi:</w:t>
      </w:r>
    </w:p>
    <w:p w14:paraId="1B7C953D" w14:textId="77777777" w:rsidR="00A749FE" w:rsidRDefault="00A749FE" w:rsidP="00792E99">
      <w:pPr>
        <w:pStyle w:val="ZLITUSTzmustliter"/>
      </w:pPr>
      <w:r>
        <w:t>„Stavak 2</w:t>
      </w:r>
      <w:r>
        <w:rPr>
          <w:rStyle w:val="IGindeksgrny"/>
        </w:rPr>
        <w:t>1</w:t>
      </w:r>
      <w:r>
        <w:t xml:space="preserve">. Ako se podnosi izjava o ovrsi kako bi se osigurala potraživanja koja proizlaze iz ugovora o kreditu koji sklapa fizička osoba i koji nije izravno povezan s poslovnom ili profesionalnom djelatnošću te osobe ili iz sklapanja </w:t>
      </w:r>
      <w:r>
        <w:lastRenderedPageBreak/>
        <w:t>drugog ugovora na koji se primjenjuju odredbe o kreditu od strane te osobe, iznos novca na koji se dužnik poziva na ovrhu ne smije prelaziti iznos vrijednosti kredita uvećan za najviše kamate koje se izravno obračunavaju na taj iznos za razdoblje za koje je kredit odobren, najviše zatezne kamate izračunane na iznos zajma za razdoblje do šest mjeseci i najviši iznos nekamatnih troškova predviđenih zakonom.”;</w:t>
      </w:r>
    </w:p>
    <w:p w14:paraId="1575F7D1" w14:textId="77777777" w:rsidR="00A749FE" w:rsidRDefault="00A749FE" w:rsidP="00A749FE">
      <w:pPr>
        <w:pStyle w:val="PKTpunkt"/>
      </w:pPr>
      <w:r>
        <w:t>2.</w:t>
      </w:r>
      <w:r>
        <w:tab/>
        <w:t>članku 781. nakon stavka 1.</w:t>
      </w:r>
      <w:r>
        <w:rPr>
          <w:rStyle w:val="IGindeksgrny"/>
        </w:rPr>
        <w:t>3</w:t>
      </w:r>
      <w:r>
        <w:t xml:space="preserve"> dodaje se sljedeći stavak 1.</w:t>
      </w:r>
      <w:r>
        <w:rPr>
          <w:rStyle w:val="IGindeksgrny"/>
        </w:rPr>
        <w:t>4</w:t>
      </w:r>
      <w:r>
        <w:t>:</w:t>
      </w:r>
    </w:p>
    <w:p w14:paraId="69B0B84F" w14:textId="77777777" w:rsidR="00A749FE" w:rsidRDefault="00A749FE" w:rsidP="00792E99">
      <w:pPr>
        <w:pStyle w:val="ZUSTzmustartykuempunktem"/>
      </w:pPr>
      <w:r>
        <w:t>„Stavak 1</w:t>
      </w:r>
      <w:r>
        <w:rPr>
          <w:rStyle w:val="IGindeksgrny"/>
        </w:rPr>
        <w:t>4</w:t>
      </w:r>
      <w:r>
        <w:t>. Uz zahtjev za nalog za izvršenje iz članka 777. stavka 1. točaka od 4. do 6. ili stavka 2. u vezi s odobravanjem gotovinskog kredita sklopljenog s fizičkom osobom koji nije izravno povezan s poslovnom ili profesionalnom djelatnošću te osobe trebalo bi priložiti dokument kojim se potvrđuje izdavanje predmeta kredita dužniku ili osobi koju su oni odredili.”.</w:t>
      </w:r>
    </w:p>
    <w:p w14:paraId="3B9B8F0F" w14:textId="77777777" w:rsidR="00A749FE" w:rsidRPr="00A749FE" w:rsidRDefault="00A749FE" w:rsidP="007059E1">
      <w:pPr>
        <w:pStyle w:val="ARTartustawynprozporzdzenia"/>
      </w:pPr>
      <w:r>
        <w:rPr>
          <w:rStyle w:val="Ppogrubienie"/>
        </w:rPr>
        <w:t>Članak 3.</w:t>
      </w:r>
      <w:r>
        <w:t> U Kaznenom zakonu od 6. lipnja 1997. (Službeni list iz 2020., stavke 1444 i 1517 te iz 2021., stavke 1023 i 2054) dodaje se sljedeći stavak 25. u članku 115. i glasi kako slijedi:</w:t>
      </w:r>
    </w:p>
    <w:p w14:paraId="59CBFC8D" w14:textId="77777777" w:rsidR="00A749FE" w:rsidRPr="00415880" w:rsidRDefault="00A749FE" w:rsidP="004644B8">
      <w:pPr>
        <w:pStyle w:val="ZUSTzmustartykuempunktem"/>
      </w:pPr>
      <w:r>
        <w:t>„Stavak 25. Troškovima koji nisu kamate smatraju se:</w:t>
      </w:r>
    </w:p>
    <w:p w14:paraId="01A49FB8" w14:textId="2DA89168" w:rsidR="00A749FE" w:rsidRPr="00415880" w:rsidRDefault="00A749FE" w:rsidP="00EA3878">
      <w:pPr>
        <w:pStyle w:val="ZPKTzmpktartykuempunktem"/>
      </w:pPr>
      <w:r>
        <w:t>1.</w:t>
      </w:r>
      <w:r>
        <w:tab/>
        <w:t>marže, provizije ili naknade povezane s pripremom ugovora iz kojeg se ostvaruju rezultati novčanih primanja, ili ugovora koji se odnosi na pružanje takve koristi, ili rješavanje takvih ugovora, ili drugih takvih troškova,</w:t>
      </w:r>
    </w:p>
    <w:p w14:paraId="238FF7F0" w14:textId="77777777" w:rsidR="00A749FE" w:rsidRPr="00415880" w:rsidRDefault="00A749FE" w:rsidP="00EA3878">
      <w:pPr>
        <w:pStyle w:val="ZPKTzmpktartykuempunktem"/>
      </w:pPr>
      <w:r>
        <w:t>2.</w:t>
      </w:r>
      <w:r>
        <w:tab/>
        <w:t>pristojbe koje se odnose na odgodu datuma povrata odobrenog novčanog davanja, njegovu zakašnjelu otplatu ili druge takve troškove,</w:t>
      </w:r>
    </w:p>
    <w:p w14:paraId="65277E77" w14:textId="77777777" w:rsidR="00A749FE" w:rsidRDefault="00A749FE" w:rsidP="00EA3878">
      <w:pPr>
        <w:pStyle w:val="ZPKTzmpktartykuempunktem"/>
      </w:pPr>
      <w:r>
        <w:t>3.</w:t>
      </w:r>
      <w:r>
        <w:tab/>
        <w:t>troškovi dodatnih usluga, posebno troškovi osiguranja, troškovi povezani s uspostavljanjem vrijednosnog papira za isplatu novčanih primanja, troškovi prikupljanja informacija povezanih s pružanjem novčane naknade, ako su ti troškovi potrebni za sklapanje ugovora iz točke 1.,</w:t>
      </w:r>
    </w:p>
    <w:p w14:paraId="372B7D20" w14:textId="77777777" w:rsidR="00A749FE" w:rsidRPr="00415880" w:rsidRDefault="00A749FE" w:rsidP="00EA3878">
      <w:pPr>
        <w:pStyle w:val="ZPKTzmpktartykuempunktem"/>
      </w:pPr>
      <w:r>
        <w:t>4.</w:t>
      </w:r>
      <w:r>
        <w:tab/>
        <w:t>primici od rada osobe koja je zastupala osobu koja pruža novčana davanja pri sklapanju ugovora iz točke 1. ili preko koje je pružatelj sklopio ili osigurao te ugovore, koje izravno snosi osoba kojoj je pružena usluga</w:t>
      </w:r>
    </w:p>
    <w:p w14:paraId="1A6C0759" w14:textId="77777777" w:rsidR="00A749FE" w:rsidRPr="00447AF8" w:rsidRDefault="00A749FE" w:rsidP="00EA3878">
      <w:pPr>
        <w:pStyle w:val="ZCZWSPPKTzmczciwsppktartykuempunktem"/>
      </w:pPr>
      <w:r>
        <w:t>— isključujući javnobilježničke i javnopravne troškove koje stranke ugovora iz točke 1. moraju platiti u okviru sklapanja tih ugovora.”</w:t>
      </w:r>
    </w:p>
    <w:p w14:paraId="3D62A930" w14:textId="77777777" w:rsidR="00A749FE" w:rsidRPr="00A749FE" w:rsidRDefault="00A749FE" w:rsidP="00A749FE">
      <w:pPr>
        <w:pStyle w:val="ARTartustawynprozporzdzenia"/>
      </w:pPr>
      <w:r>
        <w:rPr>
          <w:rStyle w:val="Ppogrubienie"/>
        </w:rPr>
        <w:lastRenderedPageBreak/>
        <w:t>Članak 4.</w:t>
      </w:r>
      <w:r>
        <w:t xml:space="preserve"> U Zakon o bankama od 29. kolovoza 1997. (Službeni list iz 2020., stavka 1896, kako je izmijenjen) uvode se sljedeće izmjene:</w:t>
      </w:r>
      <w:r w:rsidR="002066D8">
        <w:rPr>
          <w:rStyle w:val="FootnoteReference"/>
        </w:rPr>
        <w:footnoteReference w:id="2"/>
      </w:r>
    </w:p>
    <w:p w14:paraId="0D0177B3" w14:textId="77777777" w:rsidR="00A749FE" w:rsidRPr="00A749FE" w:rsidRDefault="00A749FE" w:rsidP="00A749FE">
      <w:pPr>
        <w:pStyle w:val="PKTpunkt"/>
      </w:pPr>
      <w:r>
        <w:t>1.</w:t>
      </w:r>
      <w:r>
        <w:tab/>
        <w:t>u članku 129.k stavak 2. glasi kako slijedi:</w:t>
      </w:r>
    </w:p>
    <w:p w14:paraId="0C59B8AA" w14:textId="77777777" w:rsidR="00A749FE" w:rsidRDefault="00A749FE" w:rsidP="00A749FE">
      <w:pPr>
        <w:pStyle w:val="ZUSTzmustartykuempunktem"/>
      </w:pPr>
      <w:r>
        <w:t>„2. Odredbe članaka od 1. do 7., članaka od 9. do 11., članka 40.a stavka 1., članaka od 49. do 70., članaka 73. do 78.c, članaka od 80. do 95., članaka od 101. do 112., članka 112.c, članka 112.d, članka 124., članka 124.a, članka 133. stavka 3., članka 137., članka 138., članka 139. stavka 1. stavaka 2. i 3., članka 141. i članka 171. stavaka od 4. do 7. primjenjuju se na podružnice kreditnih institucija.”;</w:t>
      </w:r>
    </w:p>
    <w:p w14:paraId="690E12CB" w14:textId="77777777" w:rsidR="00A749FE" w:rsidRPr="00A749FE" w:rsidRDefault="00A749FE" w:rsidP="00A749FE">
      <w:pPr>
        <w:pStyle w:val="PKTpunkt"/>
      </w:pPr>
      <w:r>
        <w:t>2.</w:t>
      </w:r>
      <w:r>
        <w:tab/>
        <w:t>Članak 78.b i članak 78.c dodaju se nakon članka 78.a i glase kako slijedi:</w:t>
      </w:r>
    </w:p>
    <w:p w14:paraId="5BF3E90F" w14:textId="558C9985" w:rsidR="00A749FE" w:rsidRPr="00C770BB" w:rsidRDefault="00A749FE" w:rsidP="00A749FE">
      <w:pPr>
        <w:pStyle w:val="ZARTzmartartykuempunktem"/>
      </w:pPr>
      <w:r>
        <w:t>„Članak 78.b. 1. Najviši iznos nekamatnih troškova ugovora o zajmu ili gotovinskog kredita sklopljenog s potrošačem ne smije premašiti najviši iznos nekamatnih troškova kredita iz članka 36.a stavaka od 1. do 2. Zakona o potrošačkom zajmu od 12. svibnja 2011. čak i ako se odredbe tog Zakona ne primjenjuju na ugovor koji će se sklopiti.</w:t>
      </w:r>
    </w:p>
    <w:p w14:paraId="3740D332" w14:textId="0DEA713D" w:rsidR="00A749FE" w:rsidRPr="00C770BB" w:rsidRDefault="00A749FE" w:rsidP="00861C3B">
      <w:pPr>
        <w:pStyle w:val="ZUSTzmustartykuempunktem"/>
      </w:pPr>
      <w:r>
        <w:t>2. Ako nekamatni troškovi koji proizlaze iz ugovora o zajmu ili gotovinskom kreditu sklopljenog s potrošačem premašuju najviši iznos nekamatnih troškova izračunanih u skladu s člankom 36.a stavcima od 1. do 2. Zakona o potrošačkom kreditu od 12. svibnja 2011., primjenjuje se stavak 1.</w:t>
      </w:r>
    </w:p>
    <w:p w14:paraId="4CF2EA79" w14:textId="77777777" w:rsidR="00A749FE" w:rsidRPr="00C770BB" w:rsidRDefault="00A749FE" w:rsidP="00A749FE">
      <w:pPr>
        <w:pStyle w:val="ZARTzmartartykuempunktem"/>
      </w:pPr>
      <w:r>
        <w:t>Članak 78.c. Odredbe članka 720.</w:t>
      </w:r>
      <w:r>
        <w:rPr>
          <w:rStyle w:val="IGindeksgrny"/>
        </w:rPr>
        <w:t>3</w:t>
      </w:r>
      <w:r>
        <w:t xml:space="preserve"> stavka 3. Građanskog zakonika ne primjenjuju se na ugovor o zajmu i novčani zajam koji odobrava banka.”.</w:t>
      </w:r>
    </w:p>
    <w:p w14:paraId="1E19FE79" w14:textId="36DF058B" w:rsidR="00703521" w:rsidRDefault="00A749FE" w:rsidP="00A749FE">
      <w:pPr>
        <w:pStyle w:val="ARTartustawynprozporzdzenia"/>
      </w:pPr>
      <w:r>
        <w:rPr>
          <w:rStyle w:val="Ppogrubienie"/>
        </w:rPr>
        <w:t>Članak 5.</w:t>
      </w:r>
      <w:r>
        <w:t xml:space="preserve"> Zakon </w:t>
      </w:r>
      <w:bookmarkStart w:id="1" w:name="_Hlk86070010"/>
      <w:r>
        <w:t xml:space="preserve">o financijskom nadzoru tržišta </w:t>
      </w:r>
      <w:bookmarkEnd w:id="1"/>
      <w:r>
        <w:t>od 21. srpnja 2006. (Službeni list 2020.,stavka 2059 i Službeni list iz 2021., stavke 680, 815, 1598 i 2140) mijenja se kako slijedi:</w:t>
      </w:r>
    </w:p>
    <w:p w14:paraId="66442B9E" w14:textId="77777777" w:rsidR="00A749FE" w:rsidRPr="00A749FE" w:rsidRDefault="000B3A10" w:rsidP="000B3A10">
      <w:pPr>
        <w:pStyle w:val="PKTpunkt"/>
      </w:pPr>
      <w:r>
        <w:t>1.</w:t>
      </w:r>
      <w:r>
        <w:tab/>
        <w:t>u članku 1. stavku 2. točka 11. zamjenjuje se točkom zarezom i dodaje se sljedeća točka 12.:</w:t>
      </w:r>
    </w:p>
    <w:p w14:paraId="604A270F" w14:textId="24E47945" w:rsidR="00703521" w:rsidRDefault="00A749FE" w:rsidP="00A749FE">
      <w:pPr>
        <w:pStyle w:val="ZPKTzmpktartykuempunktem"/>
      </w:pPr>
      <w:r>
        <w:t>„12.</w:t>
      </w:r>
      <w:r>
        <w:tab/>
        <w:t>nadzor kreditnih institucija u skladu s odredbama Zakona o potrošačkim kreditima od 12. svibnja 2011. (Službeni list iz 2019., stavka 1083 i Zakonodavni list iz 2020., stavka 2320 i Službeni list iz 2021.,stavka 1655).”;</w:t>
      </w:r>
    </w:p>
    <w:p w14:paraId="17C9626A" w14:textId="77777777" w:rsidR="00A749FE" w:rsidRPr="00BA2CA8" w:rsidRDefault="000B3A10" w:rsidP="000B3A10">
      <w:pPr>
        <w:pStyle w:val="PKTpunkt"/>
      </w:pPr>
      <w:r>
        <w:t>2.</w:t>
      </w:r>
      <w:r>
        <w:tab/>
        <w:t>u članku 6.b stavku 1. prvoj rečenici riječi „ili članaka 150. i 151. Zakona o platnim uslugama od 19. kolovoza 2011.” zamjenjuju se riječima „</w:t>
      </w:r>
      <w:bookmarkStart w:id="2" w:name="_Hlk86069935"/>
      <w:r>
        <w:t xml:space="preserve">, 150. i 151. Zakona o platnim </w:t>
      </w:r>
      <w:r>
        <w:lastRenderedPageBreak/>
        <w:t>uslugama od 19. kolovoza 2011. ili člancima 59.h i 59.i Zakona o potrošačkom kreditiranju</w:t>
      </w:r>
      <w:bookmarkEnd w:id="2"/>
      <w:r>
        <w:t>”.</w:t>
      </w:r>
    </w:p>
    <w:p w14:paraId="23D12891" w14:textId="62E87149" w:rsidR="00A749FE" w:rsidRPr="00A749FE" w:rsidRDefault="00A749FE" w:rsidP="00A749FE">
      <w:pPr>
        <w:pStyle w:val="ARTartustawynprozporzdzenia"/>
      </w:pPr>
      <w:r>
        <w:rPr>
          <w:rStyle w:val="Ppogrubienie"/>
        </w:rPr>
        <w:t>Članak 6.</w:t>
      </w:r>
      <w:r>
        <w:t> U članku 36. Zakona o zadružnim štednim i kreditnim sindikatima od 5. studenoga 2009. (Službeni list iz 2021., stavke 1844 i 2140) stavci 1.a i 2. glase kako slijedi:</w:t>
      </w:r>
    </w:p>
    <w:p w14:paraId="2A0E1506" w14:textId="77777777" w:rsidR="00A749FE" w:rsidRPr="00C770BB" w:rsidRDefault="00A749FE" w:rsidP="00A749FE">
      <w:pPr>
        <w:pStyle w:val="ZUSTzmustartykuempunktem"/>
      </w:pPr>
      <w:r>
        <w:t>„1.a. Odredbe članka 75.c stavaka od 1. do 5., članka 78.b i članka 78.c Zakona o bankama od 29. kolovoza 1997. primjenjuju se na ugovore o zajmu koje sklapaju zadružne štedne i kreditne unije.</w:t>
      </w:r>
    </w:p>
    <w:p w14:paraId="7949528E" w14:textId="77777777" w:rsidR="00A749FE" w:rsidRPr="00C770BB" w:rsidRDefault="00A749FE" w:rsidP="00A749FE">
      <w:pPr>
        <w:pStyle w:val="ZUSTzmustartykuempunktem"/>
      </w:pPr>
      <w:r>
        <w:t>2. Odredbe članka 69., članka 70., članaka od 74. do 78., članka 78.b i članka 78.c Zakona o bankama od 29. kolovoza 1997. primjenjuju se na ugovore o zajmu koje sklapaju zadružne štedne i kreditne unije.”.</w:t>
      </w:r>
    </w:p>
    <w:p w14:paraId="0CF10774" w14:textId="77777777" w:rsidR="00A749FE" w:rsidRPr="00A749FE" w:rsidRDefault="00A749FE" w:rsidP="00A749FE">
      <w:pPr>
        <w:pStyle w:val="ARTartustawynprozporzdzenia"/>
      </w:pPr>
      <w:r>
        <w:rPr>
          <w:rStyle w:val="Ppogrubienie"/>
        </w:rPr>
        <w:t>Članak 7.</w:t>
      </w:r>
      <w:r>
        <w:t> Zakon o potrošačkim kreditima od 12. svibnja 2011. (Službeni list iz 2019., stavka 1083, Zakonodavni list iz 2020., stavka 2320 i Zakonodavni list iz 2021., stavka 1655) mijenja se kako slijedi:</w:t>
      </w:r>
    </w:p>
    <w:p w14:paraId="15B795FB" w14:textId="77777777" w:rsidR="00AF4785" w:rsidRDefault="00A749FE" w:rsidP="00D460F1">
      <w:pPr>
        <w:pStyle w:val="PKTpunkt"/>
      </w:pPr>
      <w:r>
        <w:t>1.</w:t>
      </w:r>
      <w:r>
        <w:tab/>
        <w:t>u članku 5. iza točke 3. dodaje se sljedeća točka 3.a:</w:t>
      </w:r>
    </w:p>
    <w:p w14:paraId="3F01716F" w14:textId="77777777" w:rsidR="00AF4785" w:rsidRDefault="00AF4785" w:rsidP="00AF4785">
      <w:pPr>
        <w:pStyle w:val="PKTpunkt"/>
        <w:ind w:hanging="340"/>
      </w:pPr>
      <w:r>
        <w:tab/>
        <w:t>„3.a</w:t>
      </w:r>
      <w:r>
        <w:tab/>
        <w:t>povezana stranka – povezana stranka u smislu Uredbe Komisije (EZ) br. 1126/2008 od 3. studenoga 2008. o usvajanju određenih međunarodnih računovodstvenih standarda u skladu s Uredbom (EZ) br. 1606/2002 Europskog parlamenta i Vijeća (SL L 320, 29.11.2008., str. 1., kako je izmijenjena</w:t>
      </w:r>
      <w:r w:rsidRPr="00146458">
        <w:rPr>
          <w:vertAlign w:val="superscript"/>
        </w:rPr>
        <w:footnoteReference w:id="3"/>
      </w:r>
      <w:r>
        <w:rPr>
          <w:vertAlign w:val="superscript"/>
        </w:rPr>
        <w:t>)</w:t>
      </w:r>
      <w:r>
        <w:t>);”;</w:t>
      </w:r>
    </w:p>
    <w:p w14:paraId="35699275" w14:textId="77777777" w:rsidR="00A749FE" w:rsidRPr="00A749FE" w:rsidRDefault="00A749FE" w:rsidP="00A749FE">
      <w:pPr>
        <w:pStyle w:val="PKTpunkt"/>
      </w:pPr>
      <w:r>
        <w:t>2.</w:t>
      </w:r>
      <w:r>
        <w:tab/>
        <w:t>Članak 10.a dodaje se nakon članka 10. i glasi kako slijedi:</w:t>
      </w:r>
    </w:p>
    <w:p w14:paraId="2E2451E5" w14:textId="77777777" w:rsidR="00A749FE" w:rsidRPr="004644B8" w:rsidRDefault="00A749FE" w:rsidP="005E4C63">
      <w:pPr>
        <w:pStyle w:val="ZARTzmartartykuempunktem"/>
      </w:pPr>
      <w:r>
        <w:lastRenderedPageBreak/>
        <w:t xml:space="preserve">„Članak 10.a 1. Vjerovnik uvjetuje odobravanje potrošačkog kredita pozitivnom procjenom kreditne sposobnosti. Prije odobravanja potrošačkog kredita potrošaču vjerovnik je dužan prikupiti izjavu o prihodima i izdacima potrošača od potrošača u mjeri potrebnoj za procjenu kreditne sposobnosti potrošača iz članka 9. i analizu kreditnog rizika. </w:t>
      </w:r>
    </w:p>
    <w:p w14:paraId="42668B4B" w14:textId="77777777" w:rsidR="00A749FE" w:rsidRDefault="00A749FE" w:rsidP="00A749FE">
      <w:pPr>
        <w:pStyle w:val="ZUSTzmustartykuempunktem"/>
      </w:pPr>
      <w:r>
        <w:t>2. Vjerovnik provjerava izjavu iz stavka 1.</w:t>
      </w:r>
    </w:p>
    <w:p w14:paraId="72FA9290" w14:textId="77777777" w:rsidR="00A749FE" w:rsidRDefault="00A749FE" w:rsidP="00A749FE">
      <w:pPr>
        <w:pStyle w:val="ZUSTzmustartykuempunktem"/>
      </w:pPr>
      <w:r>
        <w:t>3. Provjera iz stavka 2. može se provesti posebno na temelju dokumenata koje je izradio poslodavac i koje je dostavio potrošač ili javna uprava, ili na temelju podataka koji se prikupljaju, obrađuju i dijele:</w:t>
      </w:r>
    </w:p>
    <w:p w14:paraId="11D581BF" w14:textId="77777777" w:rsidR="00A749FE" w:rsidRDefault="00A749FE" w:rsidP="005E4C63">
      <w:pPr>
        <w:pStyle w:val="ZPKTzmpktartykuempunktem"/>
      </w:pPr>
      <w:r>
        <w:t>1.</w:t>
      </w:r>
      <w:r>
        <w:tab/>
        <w:t>institucije iz članka 105. stavka 4. Zakona o bankama od 29. kolovoza 1997., ili</w:t>
      </w:r>
    </w:p>
    <w:p w14:paraId="46DF315C" w14:textId="7DD6A74F" w:rsidR="00A749FE" w:rsidRDefault="00A749FE" w:rsidP="005E4C63">
      <w:pPr>
        <w:pStyle w:val="ZPKTzmpktartykuempunktem"/>
      </w:pPr>
      <w:r>
        <w:t>2.</w:t>
      </w:r>
      <w:r>
        <w:tab/>
        <w:t>poslovni informacijski uredi iz Zakona od 9. travnja 2010. o razmjeni poslovnih informacija i razmjeni gospodarskih podataka (Službeni list iz 2021., stavka 2057).</w:t>
      </w:r>
    </w:p>
    <w:p w14:paraId="7B75805E" w14:textId="77777777" w:rsidR="00A749FE" w:rsidRDefault="00A749FE" w:rsidP="00A749FE">
      <w:pPr>
        <w:pStyle w:val="ZUSTzmustartykuempunktem"/>
      </w:pPr>
      <w:r>
        <w:t>4. Izjava potrošača zajedno s informacijama koje je dobio vjerovnik prilaže se ugovoru o potrošačkom zajmu.</w:t>
      </w:r>
    </w:p>
    <w:p w14:paraId="65CA9034" w14:textId="77777777" w:rsidR="00A749FE" w:rsidRDefault="00A749FE" w:rsidP="00A749FE">
      <w:pPr>
        <w:pStyle w:val="ZUSTzmustartykuempunktem"/>
      </w:pPr>
      <w:r>
        <w:t>5. Ako je vjerovnik odobrio potrošački kredit kršeći odredbe stavaka 1. i 2. ili ako iz izjave potrošača i informacija koje je dobio vjerovnik proizlazi da je na dan sklapanja ugovora o potrošačkom zajmu potrošač kasnio s drugom novčanom obvezom dulje od šest mjeseci i da potrošački kredit nije bio upotrijebljen za otplatu tih zaostataka, tada:</w:t>
      </w:r>
    </w:p>
    <w:p w14:paraId="270B170C" w14:textId="77777777" w:rsidR="00A749FE" w:rsidRDefault="00A749FE" w:rsidP="00664951">
      <w:pPr>
        <w:pStyle w:val="ZPKTzmpktartykuempunktem"/>
      </w:pPr>
      <w:r>
        <w:t>1.</w:t>
      </w:r>
      <w:r>
        <w:tab/>
        <w:t>prodaja potraživanja na temelju ugovora putem prijenosa ili na drugi način nije valjana;</w:t>
      </w:r>
    </w:p>
    <w:p w14:paraId="6F80005F" w14:textId="05D7E15E" w:rsidR="00A749FE" w:rsidRPr="00C770BB" w:rsidRDefault="00A749FE" w:rsidP="00664951">
      <w:pPr>
        <w:pStyle w:val="ZPKTzmpktartykuempunktem"/>
      </w:pPr>
      <w:r>
        <w:t>2.</w:t>
      </w:r>
      <w:r>
        <w:tab/>
        <w:t>naplata tražbine dopuštena je tek nakon datuma potpunog povrata ranije obveze, njezina isteka ili nakon što sud konačno utvrdi da obveza ne postoji, bez zabrane raspolaganja tražbinom i njezine naplate kojom se odgađa rok zastare. Kamate ili nekamatni troškovi kao i druge naknade povezane s potraživanjem ne smiju se dodavati za razdoblje tijekom kojeg se potraživanje ne može prodati ili naplatiti.</w:t>
      </w:r>
    </w:p>
    <w:p w14:paraId="1C9B34A0" w14:textId="77777777" w:rsidR="00A749FE" w:rsidRDefault="00A749FE" w:rsidP="00A749FE">
      <w:pPr>
        <w:pStyle w:val="ZUSTzmustartykuempunktem"/>
      </w:pPr>
      <w:r>
        <w:t>6. Okolnosti iz stavka 5. podstavka 2. sud ispituje na temelju navoda potrošača.</w:t>
      </w:r>
    </w:p>
    <w:p w14:paraId="558DF72A" w14:textId="02DB87DC" w:rsidR="00A749FE" w:rsidRPr="00C770BB" w:rsidRDefault="00A749FE" w:rsidP="00E66F6C">
      <w:pPr>
        <w:pStyle w:val="ZUSTzmustartykuempunktem"/>
      </w:pPr>
      <w:r>
        <w:t>7. Vjerovnik koji je odobrio potrošački kredit odmah dostavlja informacije o odobrenju instituciji iz članka 105. stavka 4. Zakona o bankama od 29. kolovoza 1997. Informacije o zaostatku kredita dostavljaju se toj instituciji ili uredu za poslovne informacije iz Zakona od 9. travnja 2010. o pružanju gospodarskih informacija i razmjeni gospodarskih podataka.</w:t>
      </w:r>
    </w:p>
    <w:p w14:paraId="424FF574" w14:textId="77777777" w:rsidR="00A749FE" w:rsidRPr="00BA2CA8" w:rsidRDefault="00A749FE" w:rsidP="00A749FE">
      <w:pPr>
        <w:pStyle w:val="ZUSTzmustartykuempunktem"/>
      </w:pPr>
      <w:r>
        <w:t>8. Odredbe stavka od 1. do 7. ne primjenjuju se na zajmodavce koji su banke ili zadružne štedne i kreditne unije koje odobravaju potrošački kredit.”;</w:t>
      </w:r>
    </w:p>
    <w:p w14:paraId="10882BE6" w14:textId="77777777" w:rsidR="00A749FE" w:rsidRDefault="00A749FE" w:rsidP="00A749FE">
      <w:pPr>
        <w:pStyle w:val="PKTpunkt"/>
      </w:pPr>
      <w:r>
        <w:lastRenderedPageBreak/>
        <w:t>3.</w:t>
      </w:r>
      <w:r>
        <w:tab/>
        <w:t>u članku 30. stavku 1. iza točke 10. dodaje se sljedeća točka 10.a koja glasi kako slijedi:</w:t>
      </w:r>
    </w:p>
    <w:p w14:paraId="5308D857" w14:textId="77777777" w:rsidR="00A749FE" w:rsidRDefault="00A749FE" w:rsidP="004644B8">
      <w:pPr>
        <w:pStyle w:val="ZPKTzmpktartykuempunktem"/>
      </w:pPr>
      <w:r>
        <w:t>„10.a</w:t>
      </w:r>
      <w:r>
        <w:tab/>
        <w:t>broj bankovnog računa za otplatu kredita ako je ugovorom predviđeno da potrošač samostalno plaća obroke;”;</w:t>
      </w:r>
    </w:p>
    <w:p w14:paraId="15606DE1" w14:textId="77777777" w:rsidR="00A749FE" w:rsidRDefault="00A749FE" w:rsidP="00A749FE">
      <w:pPr>
        <w:pStyle w:val="PKTpunkt"/>
      </w:pPr>
      <w:r>
        <w:t>4.</w:t>
      </w:r>
      <w:r>
        <w:tab/>
        <w:t>u članku 36.a:</w:t>
      </w:r>
    </w:p>
    <w:p w14:paraId="2F641646" w14:textId="77777777" w:rsidR="00373FE7" w:rsidRPr="00A749FE" w:rsidRDefault="00373FE7" w:rsidP="00D460F1">
      <w:pPr>
        <w:pStyle w:val="LITlitera"/>
      </w:pPr>
      <w:r>
        <w:t>(a)</w:t>
      </w:r>
      <w:r>
        <w:tab/>
        <w:t>stavak 1. glasi kako slijedi:</w:t>
      </w:r>
    </w:p>
    <w:p w14:paraId="2DB7447C" w14:textId="77777777" w:rsidR="00951C78" w:rsidRPr="00146458" w:rsidRDefault="00951C78" w:rsidP="00951C78">
      <w:pPr>
        <w:pStyle w:val="ZARTzmartartykuempunktem"/>
      </w:pPr>
      <w:bookmarkStart w:id="3" w:name="_Hlk85799826"/>
      <w:r>
        <w:t xml:space="preserve">„1. </w:t>
      </w:r>
      <w:bookmarkEnd w:id="3"/>
      <w:r>
        <w:t>maksimalni nekamatni troškovi potrošačkog kredita za kredite s rokom otplate od najmanje 30 dana izračunavaju se prema sljedećoj formuli:</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MPKK = (K × 10%) + (K × n/R × 10%)</w:t>
      </w:r>
    </w:p>
    <w:bookmarkEnd w:id="4"/>
    <w:p w14:paraId="0E98C98B" w14:textId="77777777" w:rsidR="00951C78" w:rsidRPr="00146458" w:rsidRDefault="00951C78" w:rsidP="00951C78">
      <w:pPr>
        <w:pStyle w:val="ZLEGWMATFIZCHEMzmlegendywzorumatfizlubchemartykuempunktem"/>
      </w:pPr>
      <w:r>
        <w:t>ako se smatra da pojedinačni simboli znače:</w:t>
      </w:r>
    </w:p>
    <w:p w14:paraId="1678A09B" w14:textId="77777777" w:rsidR="00951C78" w:rsidRPr="00146458" w:rsidRDefault="00951C78" w:rsidP="00951C78">
      <w:pPr>
        <w:pStyle w:val="ZLEGWMATFIZCHEMzmlegendywzorumatfizlubchemartykuempunktem"/>
      </w:pPr>
      <w:r>
        <w:rPr>
          <w:rStyle w:val="Kkursywa"/>
        </w:rPr>
        <w:t>MPKK</w:t>
      </w:r>
      <w:r>
        <w:t xml:space="preserve"> – maksimalni iznos nekamatnih troškova kredita,</w:t>
      </w:r>
    </w:p>
    <w:p w14:paraId="2CB61C3F" w14:textId="77777777" w:rsidR="00951C78" w:rsidRPr="00146458" w:rsidRDefault="00951C78" w:rsidP="00951C78">
      <w:pPr>
        <w:pStyle w:val="ZLEGWMATFIZCHEMzmlegendywzorumatfizlubchemartykuempunktem"/>
      </w:pPr>
      <w:r>
        <w:rPr>
          <w:rStyle w:val="Kkursywa"/>
        </w:rPr>
        <w:t>K</w:t>
      </w:r>
      <w:r>
        <w:t xml:space="preserve"> – ukupni iznos zajma,</w:t>
      </w:r>
    </w:p>
    <w:p w14:paraId="616670BB" w14:textId="77777777" w:rsidR="00951C78" w:rsidRPr="00146458" w:rsidRDefault="00951C78" w:rsidP="00951C78">
      <w:pPr>
        <w:pStyle w:val="ZLEGWMATFIZCHEMzmlegendywzorumatfizlubchemartykuempunktem"/>
      </w:pPr>
      <w:r>
        <w:rPr>
          <w:rStyle w:val="Kkursywa"/>
        </w:rPr>
        <w:t>n</w:t>
      </w:r>
      <w:r>
        <w:t xml:space="preserve"> – razdoblje otplate u danima,</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 broj dana godišnje.”</w:t>
      </w:r>
    </w:p>
    <w:p w14:paraId="35B3FFA9" w14:textId="77777777" w:rsidR="00373FE7" w:rsidRDefault="00373FE7" w:rsidP="00D460F1">
      <w:pPr>
        <w:pStyle w:val="LITlitera"/>
      </w:pPr>
      <w:r>
        <w:t>(b)</w:t>
      </w:r>
      <w:r>
        <w:tab/>
        <w:t>sljedeći stavak 1.a dodaje se nakon stavka 1. i glasi kako slijedi:</w:t>
      </w:r>
    </w:p>
    <w:p w14:paraId="5563CD03" w14:textId="77777777" w:rsidR="00951C78" w:rsidRPr="00146458" w:rsidRDefault="00373FE7" w:rsidP="00951C78">
      <w:pPr>
        <w:pStyle w:val="ZUSTzmustartykuempunktem"/>
      </w:pPr>
      <w:bookmarkStart w:id="5" w:name="_Hlk85799988"/>
      <w:r>
        <w:t>„</w:t>
      </w:r>
      <w:bookmarkEnd w:id="5"/>
      <w:r>
        <w:t>1.a. Maksimalni nekamatni troškovi potrošačkog kredita za kredite s rokom otplate kraćim od 30 dana izračunavaju se prema sljedećoj formuli:</w:t>
      </w:r>
    </w:p>
    <w:p w14:paraId="70BCC507" w14:textId="77777777" w:rsidR="00951C78" w:rsidRPr="00346832" w:rsidRDefault="00951C78" w:rsidP="00951C78">
      <w:pPr>
        <w:pStyle w:val="ZWMATFIZCHEMzmwzorumatfizlubchemartykuempunktem"/>
        <w:rPr>
          <w:rStyle w:val="Kkursywa"/>
        </w:rPr>
      </w:pPr>
      <w:r>
        <w:rPr>
          <w:rStyle w:val="Kkursywa"/>
        </w:rPr>
        <w:t>MPKK = K x 5 %</w:t>
      </w:r>
    </w:p>
    <w:p w14:paraId="14DF8EB0" w14:textId="77777777" w:rsidR="00951C78" w:rsidRPr="00146458" w:rsidRDefault="00951C78" w:rsidP="00951C78">
      <w:pPr>
        <w:pStyle w:val="ZLEGWMATFIZCHEMzmlegendywzorumatfizlubchemartykuempunktem"/>
      </w:pPr>
      <w:r>
        <w:t>ako se smatra da pojedinačni simboli znače:</w:t>
      </w:r>
    </w:p>
    <w:p w14:paraId="5F71B434" w14:textId="77777777" w:rsidR="00951C78" w:rsidRPr="00146458" w:rsidRDefault="00951C78" w:rsidP="00951C78">
      <w:pPr>
        <w:pStyle w:val="ZLEGWMATFIZCHEMzmlegendywzorumatfizlubchemartykuempunktem"/>
      </w:pPr>
      <w:r>
        <w:rPr>
          <w:rStyle w:val="Kkursywa"/>
        </w:rPr>
        <w:t xml:space="preserve">MPKK </w:t>
      </w:r>
      <w:r>
        <w:t>– maksimalni iznos nekamatnih troškova kredita,</w:t>
      </w:r>
    </w:p>
    <w:p w14:paraId="281B068F" w14:textId="77777777" w:rsidR="00951C78" w:rsidRDefault="00951C78" w:rsidP="00951C78">
      <w:pPr>
        <w:pStyle w:val="ZLEGWMATFIZCHEMzmlegendywzorumatfizlubchemartykuempunktem"/>
      </w:pPr>
      <w:r>
        <w:rPr>
          <w:rStyle w:val="Kkursywa"/>
        </w:rPr>
        <w:t>K</w:t>
      </w:r>
      <w:r>
        <w:t xml:space="preserve"> – ukupni iznos zajma.”</w:t>
      </w:r>
    </w:p>
    <w:p w14:paraId="2FD7635B" w14:textId="77777777" w:rsidR="00373FE7" w:rsidRPr="00146458" w:rsidRDefault="00373FE7" w:rsidP="00D460F1">
      <w:pPr>
        <w:pStyle w:val="LITlitera"/>
      </w:pPr>
      <w:r>
        <w:t>(c)</w:t>
      </w:r>
      <w:r>
        <w:tab/>
        <w:t>stavci 2. i 3. glase kako slijedi:</w:t>
      </w:r>
    </w:p>
    <w:p w14:paraId="750B77DE" w14:textId="77777777" w:rsidR="00951C78" w:rsidRPr="00146458" w:rsidRDefault="00373FE7" w:rsidP="00D460F1">
      <w:pPr>
        <w:pStyle w:val="ZLITUSTzmustliter"/>
      </w:pPr>
      <w:r>
        <w:t>„2. Nekamatni troškovi potrošačkog kredita ne smiju premašiti 45 % ukupnog iznosa kredita.</w:t>
      </w:r>
    </w:p>
    <w:p w14:paraId="5402695F" w14:textId="2BA48F10" w:rsidR="00373FE7" w:rsidRPr="00146458" w:rsidRDefault="00373FE7" w:rsidP="0089620D">
      <w:pPr>
        <w:pStyle w:val="ZLITUSTzmustliter"/>
      </w:pPr>
      <w:r>
        <w:t>3. Nekamatni troškovi potrošačkog kredita koji proizlaze iz ugovora o potrošačkom zajmu ne plaćaju se u dijelu</w:t>
      </w:r>
      <w:r>
        <w:rPr>
          <w:rFonts w:ascii="Times New Roman" w:hAnsi="Times New Roman"/>
        </w:rPr>
        <w:t xml:space="preserve"> </w:t>
      </w:r>
      <w:r>
        <w:t xml:space="preserve">koji premašuje maksimalni iznos nekamatnih troškova kredita izračunan na način naveden u stavcima od 1. do 2.” </w:t>
      </w:r>
    </w:p>
    <w:p w14:paraId="7B9146BD" w14:textId="77777777" w:rsidR="007655D2" w:rsidRDefault="008F3E2A" w:rsidP="00A749FE">
      <w:pPr>
        <w:pStyle w:val="PKTpunkt"/>
      </w:pPr>
      <w:r>
        <w:t>5.</w:t>
      </w:r>
      <w:r>
        <w:tab/>
        <w:t>u članku 36.c, uvod u popis zamjenjuje se i glasi kako slijedi:</w:t>
      </w:r>
    </w:p>
    <w:p w14:paraId="0F53A9B7" w14:textId="77777777" w:rsidR="007655D2" w:rsidRPr="00146458" w:rsidRDefault="007655D2" w:rsidP="00D460F1">
      <w:pPr>
        <w:pStyle w:val="ZARTzmartartykuempunktem"/>
      </w:pPr>
      <w:r>
        <w:tab/>
        <w:t>„Ako je vjerovnik ili s njim povezan subjekt odobrio dodatne zajmove potrošaču koji nije u potpunosti otplatio zajam u roku od 120 dana od datuma isplate prvog zajma:”;</w:t>
      </w:r>
    </w:p>
    <w:p w14:paraId="17A27812" w14:textId="77777777" w:rsidR="00527F84" w:rsidRDefault="007655D2" w:rsidP="00A749FE">
      <w:pPr>
        <w:pStyle w:val="PKTpunkt"/>
      </w:pPr>
      <w:r>
        <w:t>6.</w:t>
      </w:r>
      <w:r>
        <w:tab/>
        <w:t>Članak 14.a mijenja se kako slijedi:</w:t>
      </w:r>
    </w:p>
    <w:p w14:paraId="4EE512EB" w14:textId="77777777" w:rsidR="00527F84" w:rsidRDefault="00527F84" w:rsidP="00527F84">
      <w:pPr>
        <w:pStyle w:val="PKTpunkt"/>
        <w:ind w:firstLine="57"/>
      </w:pPr>
      <w:r>
        <w:t>(a)</w:t>
      </w:r>
      <w:r>
        <w:tab/>
        <w:t>stavci 1. i 2. glase kako slijedi:</w:t>
      </w:r>
    </w:p>
    <w:p w14:paraId="4513AD0B" w14:textId="77777777" w:rsidR="00527F84" w:rsidRDefault="00527F84" w:rsidP="00527F84">
      <w:pPr>
        <w:pStyle w:val="PKTpunkt"/>
        <w:ind w:firstLine="483"/>
      </w:pPr>
      <w:r>
        <w:t>„1. Kreditna institucija može poslovati samo u obliku dioničkog društva.</w:t>
      </w:r>
    </w:p>
    <w:p w14:paraId="1EE25983" w14:textId="77777777" w:rsidR="00527F84" w:rsidRDefault="00527F84" w:rsidP="00527F84">
      <w:pPr>
        <w:pStyle w:val="PKTpunkt"/>
        <w:ind w:firstLine="483"/>
      </w:pPr>
      <w:r>
        <w:lastRenderedPageBreak/>
        <w:t>2. Minimalni temeljni kapital kreditne institucije iznosi 1 000 000 PLN.”</w:t>
      </w:r>
    </w:p>
    <w:p w14:paraId="6C90BA3F" w14:textId="77777777" w:rsidR="00527F84" w:rsidRDefault="00527F84" w:rsidP="00527F84">
      <w:pPr>
        <w:pStyle w:val="PKTpunkt"/>
        <w:ind w:firstLine="57"/>
      </w:pPr>
      <w:r>
        <w:t>(b) stavak 4. glasi kako slijedi:</w:t>
      </w:r>
    </w:p>
    <w:p w14:paraId="074603EB" w14:textId="77777777" w:rsidR="00527F84" w:rsidRDefault="00527F84" w:rsidP="00527F84">
      <w:pPr>
        <w:pStyle w:val="PKTpunkt"/>
        <w:ind w:firstLine="483"/>
      </w:pPr>
      <w:r>
        <w:t>„4. Član upravnog odbora, nadzornog odbora ili opunomoćenik kreditne institucije može biti samo osoba koja nije zakonski osuđena za kazneno djelo protiv vjerodostojnosti dokumenata, imovine, trgovine, trgovine novcem i vrijednosnim papirima ili fiskalnog kaznenog djela.”.</w:t>
      </w:r>
    </w:p>
    <w:p w14:paraId="2410F9C2" w14:textId="77777777" w:rsidR="00527F84" w:rsidRDefault="00D95A51" w:rsidP="00D460F1">
      <w:pPr>
        <w:pStyle w:val="PKTpunkt"/>
        <w:ind w:firstLine="57"/>
      </w:pPr>
      <w:r>
        <w:t>(c) u stavku 5. točki 1. riječi „članovima upravnog odbora, nadzornog odbora” zamjenjuju se riječima „članovima upravnog odbora i nadzornog odbora”, a riječi „i revizorskog odbora” brišu se;</w:t>
      </w:r>
    </w:p>
    <w:p w14:paraId="3A4A4179" w14:textId="77777777" w:rsidR="00527F84" w:rsidRDefault="00D95A51" w:rsidP="00D95A51">
      <w:pPr>
        <w:pStyle w:val="PKTpunkt"/>
        <w:ind w:left="0" w:firstLine="0"/>
      </w:pPr>
      <w:r>
        <w:t>7.</w:t>
      </w:r>
      <w:r>
        <w:tab/>
        <w:t>Članak 59.ac mijenja se kako slijedi:</w:t>
      </w:r>
    </w:p>
    <w:p w14:paraId="4DBE8910" w14:textId="77777777" w:rsidR="00D95A51" w:rsidRDefault="00D95A51" w:rsidP="00D95A51">
      <w:pPr>
        <w:pStyle w:val="PKTpunkt"/>
        <w:ind w:left="567" w:firstLine="0"/>
      </w:pPr>
      <w:r>
        <w:t>(a) u stavku 2. točki 1. brišu se riječi „društva s ograničenom odgovornošću ili”</w:t>
      </w:r>
    </w:p>
    <w:p w14:paraId="219CF6F1" w14:textId="77777777" w:rsidR="00D95A51" w:rsidRDefault="00D95A51" w:rsidP="00D95A51">
      <w:pPr>
        <w:pStyle w:val="PKTpunkt"/>
        <w:ind w:left="567" w:firstLine="0"/>
      </w:pPr>
      <w:r>
        <w:t>(b) stavak 3. glasi kako slijedi:</w:t>
      </w:r>
    </w:p>
    <w:p w14:paraId="1DBA4402" w14:textId="77777777" w:rsidR="00D95A51" w:rsidRDefault="00D95A51" w:rsidP="00D460F1">
      <w:pPr>
        <w:pStyle w:val="PKTpunkt"/>
        <w:ind w:left="567" w:firstLine="426"/>
      </w:pPr>
      <w:r>
        <w:t xml:space="preserve">„3. Zahtjevu iz stavka 1. prilaže se potvrda iz Nacionalnog kaznenog registra kojom se potvrđuje da član upravnog odbora, nadzornog odbora ili opunomoćenik kreditne institucije nema kaznenu evidenciju za kaznena djela iz članka 59.a stavka 4. te dokumenti kojima se dokazuje da subjekt koji podnosi zahtjev za upis u registar kreditnih institucija ispunjava uvjete iz članka 59.a stavaka 1. i 2.”;  </w:t>
      </w:r>
    </w:p>
    <w:p w14:paraId="0DCFCD02" w14:textId="77777777" w:rsidR="00A749FE" w:rsidRPr="00A749FE" w:rsidRDefault="006202A1" w:rsidP="00A749FE">
      <w:pPr>
        <w:pStyle w:val="PKTpunkt"/>
      </w:pPr>
      <w:r>
        <w:t>8.</w:t>
      </w:r>
      <w:r>
        <w:tab/>
        <w:t>u članku 59.ae, u točki 2. podtočki (d) točka se zamjenjuje točkom zarezom, a točka 3. dodaje se i glasi kako slijedi:</w:t>
      </w:r>
    </w:p>
    <w:p w14:paraId="77F875C1" w14:textId="77777777" w:rsidR="001E2696" w:rsidRDefault="00A749FE" w:rsidP="004A4142">
      <w:pPr>
        <w:pStyle w:val="ZPKTzmpktartykuempunktem"/>
      </w:pPr>
      <w:r>
        <w:t>„3.</w:t>
      </w:r>
      <w:r>
        <w:tab/>
        <w:t>napomena o brisanju iz registra.”;</w:t>
      </w:r>
    </w:p>
    <w:p w14:paraId="11CA5784" w14:textId="77777777" w:rsidR="001E2696" w:rsidRDefault="006202A1" w:rsidP="001E2696">
      <w:pPr>
        <w:pStyle w:val="PKTpunkt"/>
      </w:pPr>
      <w:r>
        <w:t>9.</w:t>
      </w:r>
      <w:r>
        <w:tab/>
        <w:t>sljedeći članci od 59.ca do 59.cc dodaju se nakon članka 59.c i glase kako slijedi:</w:t>
      </w:r>
    </w:p>
    <w:p w14:paraId="1A8C13BC" w14:textId="77777777" w:rsidR="001E2696" w:rsidRDefault="00F978F4" w:rsidP="001E2696">
      <w:pPr>
        <w:pStyle w:val="ZARTzmartartykuempunktem"/>
      </w:pPr>
      <w:r>
        <w:t>„Članak 59.ca. Sredstva dodijeljena za potrošački kredit koji odobravaju kreditne institucije ne izvode se iz djelatnosti prikupljanja sredstava drugih fizičkih osoba, pravnih osoba ili organizacijskih jedinica bez pravne osobnosti, uključujući izdavanje obveznica ili drugih dužničkih instrumenata i nedokumentiranih izvora.</w:t>
      </w:r>
    </w:p>
    <w:p w14:paraId="0ADDD04B" w14:textId="77777777" w:rsidR="001E2696" w:rsidRDefault="00F978F4" w:rsidP="001E2696">
      <w:pPr>
        <w:pStyle w:val="ZARTzmartartykuempunktem"/>
      </w:pPr>
      <w:r>
        <w:t xml:space="preserve">Članak 59.cb. 1. Kreditna institucija u vezi s potrošačkim kreditima odobrenima djelovanjem ili propustima njezinih zaposlenika, agenata za kreditiranje preko kojih odobrava potrošačke kredite ili drugih poduzeća koja obavljaju aktivnosti povezane s davanjem potrošačkih kredita u njezino ime, dužniku je odgovorna za svoje postupke, uključujući one u vezi sa zahtjevom da zajmoprimac plati kamate ili nekamatne troškove u iznosu većem od dopuštenog ili sklapanjem ugovora kojim se zajmoprimac obvezuje da to učini prema kreditnoj instituciji. </w:t>
      </w:r>
    </w:p>
    <w:p w14:paraId="7A8C7B2D" w14:textId="77777777" w:rsidR="001E2696" w:rsidRDefault="00F978F4" w:rsidP="001E2696">
      <w:pPr>
        <w:pStyle w:val="ZARTzmartartykuempunktem"/>
      </w:pPr>
      <w:r>
        <w:t>2.  Odgovornost iz stavka 1. ne može se isključiti ili ograničiti.</w:t>
      </w:r>
    </w:p>
    <w:p w14:paraId="7A5E5472" w14:textId="77777777" w:rsidR="001E2696" w:rsidRDefault="00F978F4" w:rsidP="00C228BC">
      <w:pPr>
        <w:pStyle w:val="ZARTzmartartykuempunktem"/>
      </w:pPr>
      <w:r>
        <w:lastRenderedPageBreak/>
        <w:t>Članak 59.cc. Teret dokazivanja da je kreditna institucija pravilno ispunila svoje zakonske obveze prema potrošačima ostaje na toj instituciji.”;</w:t>
      </w:r>
    </w:p>
    <w:p w14:paraId="0FDA9739" w14:textId="77777777" w:rsidR="00F978F4" w:rsidRDefault="00694A6F" w:rsidP="001E2696">
      <w:pPr>
        <w:pStyle w:val="PKTpunkt"/>
      </w:pPr>
      <w:r>
        <w:t>10.</w:t>
      </w:r>
      <w:r>
        <w:tab/>
        <w:t>Članak 21.b mijenja se kako slijedi:</w:t>
      </w:r>
    </w:p>
    <w:p w14:paraId="4FE81848" w14:textId="77777777" w:rsidR="00E91981" w:rsidRDefault="00E91981" w:rsidP="00020454">
      <w:pPr>
        <w:pStyle w:val="LITlitera"/>
      </w:pPr>
      <w:r>
        <w:tab/>
      </w:r>
      <w:r>
        <w:tab/>
        <w:t>(a)</w:t>
      </w:r>
      <w:r>
        <w:tab/>
        <w:t>stavak 1. glasi kako slijedi:</w:t>
      </w:r>
    </w:p>
    <w:p w14:paraId="15F8734D" w14:textId="77777777" w:rsidR="00E91981" w:rsidRDefault="00E91981" w:rsidP="00E91981">
      <w:pPr>
        <w:pStyle w:val="PKTpunkt"/>
        <w:keepNext/>
        <w:keepLines/>
        <w:ind w:left="567" w:firstLine="426"/>
      </w:pPr>
      <w:r>
        <w:t>„1. Subjekt s poslovnim nastanom na državnom području zemlje koja je članica Europske unije koja nije Republika Poljska, Švicarska Konfederacija ili država članica Europskog sporazuma o slobodnoj trgovini (EFTA) – stranka Sporazuma o Europskom gospodarskom prostoru, može, u skladu s pravilima utvrđenima u Zakonu, obavljati djelatnost na državnom području Republike Poljske u području odobravanja potrošačkih kredita ako ispunjava uvjete iz članka 59.a stavaka od 2. do 4.",</w:t>
      </w:r>
    </w:p>
    <w:p w14:paraId="776C0F16" w14:textId="77777777" w:rsidR="00E91981" w:rsidRDefault="00E91981" w:rsidP="00020454">
      <w:pPr>
        <w:pStyle w:val="LITlitera"/>
      </w:pPr>
      <w:r>
        <w:t>(b) stavci 1.a i 1.b dodaju se nakon stavka 1. i glase kako slijedi:</w:t>
      </w:r>
    </w:p>
    <w:p w14:paraId="078BAF17" w14:textId="77777777" w:rsidR="00694A6F" w:rsidRDefault="00E91981" w:rsidP="00020454">
      <w:pPr>
        <w:pStyle w:val="ZUSTzmustartykuempunktem"/>
      </w:pPr>
      <w:r>
        <w:t>„1.a. Subjekt iz stavka 1. obavješćuje Poljsko tijelo za financijski nadzor o namjeri obavljanja djelatnosti odobravanja potrošačkih kredita na državnom području Republike Poljske najkasnije dva mjeseca prije preuzimanja te djelatnosti.</w:t>
      </w:r>
    </w:p>
    <w:p w14:paraId="14C8AEA5" w14:textId="77777777" w:rsidR="00F978F4" w:rsidRDefault="002824C4" w:rsidP="00020454">
      <w:pPr>
        <w:pStyle w:val="ZUSTzmustartykuempunktem"/>
      </w:pPr>
      <w:r>
        <w:t>1.b. U obavijesti iz stavka 2. subjekt iz stavka 1. utvrđuje nadležna državna nadzorna tijela iz stavka 1. koja su određena za nadzor tog subjekta s obzirom na poslovanje s potrošačkim kreditima ili obavješćuje da zakoni države iz stavka 1. ne predviđaju određivanje tih tijela.”;</w:t>
      </w:r>
    </w:p>
    <w:p w14:paraId="71E0A6A3" w14:textId="77777777" w:rsidR="00A749FE" w:rsidRPr="00A749FE" w:rsidRDefault="00694A6F" w:rsidP="0038019E">
      <w:pPr>
        <w:pStyle w:val="PKTpunkt"/>
        <w:keepNext/>
        <w:keepLines/>
      </w:pPr>
      <w:r>
        <w:t>11.</w:t>
      </w:r>
      <w:r>
        <w:tab/>
        <w:t>sljedeće poglavlje 5.ab dodaje se nakon poglavlja 5.aa i glasi kako slijedi:</w:t>
      </w:r>
    </w:p>
    <w:p w14:paraId="5265ABFB" w14:textId="77777777" w:rsidR="00A749FE" w:rsidRPr="00C770BB" w:rsidRDefault="00A749FE" w:rsidP="0038019E">
      <w:pPr>
        <w:pStyle w:val="ZROZDZODDZOZNzmoznrozdzoddzartykuempunktem"/>
      </w:pPr>
      <w:r>
        <w:t>„Poglavlje 5.ab</w:t>
      </w:r>
    </w:p>
    <w:p w14:paraId="2183A443" w14:textId="77777777" w:rsidR="00A749FE" w:rsidRPr="00C770BB" w:rsidRDefault="00A749FE" w:rsidP="0038019E">
      <w:pPr>
        <w:pStyle w:val="ZROZDZODDZPRZEDMzmprzedmrozdzoddzartykuempunktem"/>
      </w:pPr>
      <w:bookmarkStart w:id="6" w:name="_Hlk86066595"/>
      <w:r>
        <w:t xml:space="preserve">Nadzor nad poslovanjem kreditnih institucija </w:t>
      </w:r>
      <w:bookmarkEnd w:id="6"/>
    </w:p>
    <w:p w14:paraId="52415D47" w14:textId="77777777" w:rsidR="00051F22" w:rsidRDefault="00051F22" w:rsidP="00051F22">
      <w:pPr>
        <w:pStyle w:val="ZARTzmartartykuempunktem"/>
      </w:pPr>
      <w:r>
        <w:t xml:space="preserve">Članak 59.df 1. Aktivnosti </w:t>
      </w:r>
      <w:bookmarkStart w:id="7" w:name="_Hlk86069638"/>
      <w:r>
        <w:t>kreditnih institucija u okviru odobravanja potrošačkih kredita</w:t>
      </w:r>
      <w:bookmarkEnd w:id="7"/>
      <w:r>
        <w:t xml:space="preserve"> nadzire Poljsko tijelo za financijski nadzor.</w:t>
      </w:r>
    </w:p>
    <w:p w14:paraId="30A45CD0" w14:textId="77777777" w:rsidR="00051F22" w:rsidRDefault="00051F22" w:rsidP="00020454">
      <w:pPr>
        <w:pStyle w:val="ZUSTzmustartykuempunktem"/>
      </w:pPr>
      <w:r>
        <w:t>2. Svrha nadzora djelatnosti kreditnih institucija je kontrola i provedba usklađenosti tih poslova sa Zakonom.</w:t>
      </w:r>
    </w:p>
    <w:p w14:paraId="2C89603F" w14:textId="77777777" w:rsidR="00051F22" w:rsidRDefault="00051F22" w:rsidP="00051F22">
      <w:pPr>
        <w:pStyle w:val="ZARTzmartartykuempunktem"/>
      </w:pPr>
      <w:r>
        <w:t>Članak 59.dg. 1. Kreditna institucija dostavlja Poljskom tijelu za financijski nadzor tromjesečna i godišnja izvješća o radu u vezi s potrošačkim kreditima, uključujući informacije o:</w:t>
      </w:r>
    </w:p>
    <w:p w14:paraId="2D3E0BB5" w14:textId="77777777" w:rsidR="00051F22" w:rsidRDefault="00051F22" w:rsidP="00020454">
      <w:pPr>
        <w:pStyle w:val="ZPKTzmpktartykuempunktem"/>
      </w:pPr>
      <w:r>
        <w:t>1.</w:t>
      </w:r>
      <w:r>
        <w:tab/>
      </w:r>
      <w:bookmarkStart w:id="8" w:name="_Hlk86070273"/>
      <w:r>
        <w:t>odobrenim potrošačkim kreditima, uključujući njihov broj, uzimajući u obzir broj kredita iz članka 36.b, vrijednost, vremenski raspored i valutnu strukturu te kašnjenja u otplati;</w:t>
      </w:r>
    </w:p>
    <w:p w14:paraId="4053E8C9" w14:textId="77777777" w:rsidR="00051F22" w:rsidRDefault="00051F22" w:rsidP="00020454">
      <w:pPr>
        <w:pStyle w:val="ZPKTzmpktartykuempunktem"/>
      </w:pPr>
      <w:r>
        <w:lastRenderedPageBreak/>
        <w:t>2.</w:t>
      </w:r>
      <w:r>
        <w:tab/>
        <w:t>sklopljenim ugovorima o potrošačkim kreditima, uključujući njihov broj, vrste i status;</w:t>
      </w:r>
    </w:p>
    <w:p w14:paraId="6E162C2D" w14:textId="77777777" w:rsidR="00051F22" w:rsidRDefault="00051F22" w:rsidP="00020454">
      <w:pPr>
        <w:pStyle w:val="ZPKTzmpktartykuempunktem"/>
      </w:pPr>
      <w:r>
        <w:t>3.</w:t>
      </w:r>
      <w:r>
        <w:tab/>
        <w:t>broju klijenata kojima je odobren potrošački kredit uzimajući u obzir broj klijenata kojima je odobren zajam iz članka 36.b;</w:t>
      </w:r>
    </w:p>
    <w:p w14:paraId="63A9AD49" w14:textId="77777777" w:rsidR="00051F22" w:rsidRDefault="00051F22" w:rsidP="00020454">
      <w:pPr>
        <w:pStyle w:val="ZPKTzmpktartykuempunktem"/>
      </w:pPr>
      <w:r>
        <w:t>4.</w:t>
      </w:r>
      <w:r>
        <w:tab/>
        <w:t>ukupnim prihodima ostvarenima odobravanjem potrošačkih kredita s odvojenim prihodima ostvarenima u vezi s nekamatnim troškovima zajma;</w:t>
      </w:r>
    </w:p>
    <w:p w14:paraId="7F69BBEE" w14:textId="77777777" w:rsidR="00051F22" w:rsidRDefault="00051F22" w:rsidP="00020454">
      <w:pPr>
        <w:pStyle w:val="ZPKTzmpktartykuempunktem"/>
      </w:pPr>
      <w:r>
        <w:t>5.</w:t>
      </w:r>
      <w:r>
        <w:tab/>
        <w:t>bilanci u kojoj se navode izvori financiranja aktivnosti potrošačkog kreditiranja;</w:t>
      </w:r>
    </w:p>
    <w:p w14:paraId="165BA7AD" w14:textId="77777777" w:rsidR="00051F22" w:rsidRDefault="00051F22" w:rsidP="00020454">
      <w:pPr>
        <w:pStyle w:val="ZPKTzmpktartykuempunktem"/>
      </w:pPr>
      <w:r>
        <w:t>6.</w:t>
      </w:r>
      <w:r>
        <w:tab/>
        <w:t>osobama iz članka 59.a stavka 4. zajedno s informacijama o njihovoj usklađenosti sa zahtjevima utvrđenima u ovoj odredbi</w:t>
      </w:r>
      <w:bookmarkEnd w:id="8"/>
      <w:r>
        <w:t>.</w:t>
      </w:r>
    </w:p>
    <w:p w14:paraId="553C6865" w14:textId="77777777" w:rsidR="00051F22" w:rsidRDefault="00051F22" w:rsidP="00020454">
      <w:pPr>
        <w:pStyle w:val="ZUSTzmustartykuempunktem"/>
      </w:pPr>
      <w:r>
        <w:t>2. Izvješća iz stavka 1. dostavljaju se Poljskom tijelu za financijski nadzor u elektroničkom obliku samo s pomoću obrazaca za izvješćivanje i komunikacijskih kanala koje osigurava Poljsko tijelo za financijski nadzor.</w:t>
      </w:r>
    </w:p>
    <w:p w14:paraId="097DCEA6" w14:textId="77777777" w:rsidR="00051F22" w:rsidRDefault="00051F22" w:rsidP="00020454">
      <w:pPr>
        <w:pStyle w:val="ZUSTzmustartykuempunktem"/>
      </w:pPr>
      <w:r>
        <w:t>3. Ministar financijskih institucija uredbom utvrđuje detaljno područje primjene i rokove za dostavu informacija iz stavka 1. i obrasce za izvješćivanje kako bi se osiguralo da Poljsko tijelo za financijski nadzor ima pristup podacima potrebnima za učinkovit nadzor poslovanja kreditnih institucija.</w:t>
      </w:r>
    </w:p>
    <w:p w14:paraId="3A6D759F" w14:textId="77777777" w:rsidR="00051F22" w:rsidRDefault="00051F22" w:rsidP="00410E03">
      <w:pPr>
        <w:pStyle w:val="ZARTzmartartykuempunktem"/>
      </w:pPr>
      <w:r>
        <w:t>Članak 59.dh 1. U okviru svojeg nadzora, Poljsko tijelo za financijski nadzor može:</w:t>
      </w:r>
    </w:p>
    <w:p w14:paraId="14461AE6" w14:textId="77777777" w:rsidR="00051F22" w:rsidRDefault="00051F22" w:rsidP="00020454">
      <w:pPr>
        <w:pStyle w:val="ZPKTzmpktartykuempunktem"/>
      </w:pPr>
      <w:r>
        <w:t>1.</w:t>
      </w:r>
      <w:r>
        <w:tab/>
        <w:t>zahtijevati od kreditne institucije pružanje ili periodično pružanje informacija, dokumenata ili podataka potrebnih u svrhu iz članka 59.df stavka 2., osim informacija iz članka 59.dg stavka 1.;</w:t>
      </w:r>
    </w:p>
    <w:p w14:paraId="60829DA1" w14:textId="77777777" w:rsidR="00051F22" w:rsidRDefault="00051F22" w:rsidP="00020454">
      <w:pPr>
        <w:pStyle w:val="ZPKTzmpktartykuempunktem"/>
      </w:pPr>
      <w:r>
        <w:t>2.</w:t>
      </w:r>
      <w:r>
        <w:tab/>
        <w:t>davati preporuke kreditnoj instituciji kako bi se osiguralo da su poslovi vezani uz odobravanje potrošačkih kredita u skladu sa Zakonom.</w:t>
      </w:r>
    </w:p>
    <w:p w14:paraId="0DE60C8C" w14:textId="77777777" w:rsidR="00051F22" w:rsidRDefault="00051F22" w:rsidP="00020454">
      <w:pPr>
        <w:pStyle w:val="ZUSTzmustartykuempunktem"/>
      </w:pPr>
      <w:r>
        <w:t>2. Mjere koje se provode u okviru nadzora ne dovode u pitanje ugovore koje su kreditne institucije sklopile na temelju Zakona.</w:t>
      </w:r>
    </w:p>
    <w:p w14:paraId="4D7C0F48" w14:textId="77777777" w:rsidR="00051F22" w:rsidRDefault="00051F22" w:rsidP="00051F22">
      <w:pPr>
        <w:pStyle w:val="ZARTzmartartykuempunktem"/>
      </w:pPr>
      <w:r>
        <w:t>Članak 59.di 1. Ako se utvrdi da kreditna institucija ne ispunjava obvezu obavješćivanja iz članka 59.dg stavka 1. ili članka 59.dh stavka 1. točke 1. ili s njom netočno postupi, ili da nije postupila u skladu s preporukama iz članka 59.dh stavka 1. točke 2. u propisanom roku i ako se utvrdi da su djelatnosti kreditne institucije, uključujući one koje se obavljaju uz sudjelovanje kreditnog agenta, provedene protivno Zakonu ili u suprotnosti s uvjetima utvrđenima u Zakonu, Poljsko tijelo za financijski nadzor može:</w:t>
      </w:r>
    </w:p>
    <w:p w14:paraId="2B630E61" w14:textId="77777777" w:rsidR="00051F22" w:rsidRDefault="00051F22" w:rsidP="00020454">
      <w:pPr>
        <w:pStyle w:val="ZPKTzmpktartykuempunktem"/>
      </w:pPr>
      <w:r>
        <w:lastRenderedPageBreak/>
        <w:t>1.</w:t>
      </w:r>
      <w:r>
        <w:tab/>
        <w:t>izreći novčanu kaznu u iznosu do 150 000 PLN članu upravnog odbora kreditne institucije koji je izravno odgovoran za utvrđene nepravilnosti;</w:t>
      </w:r>
    </w:p>
    <w:p w14:paraId="122B752F" w14:textId="77777777" w:rsidR="00051F22" w:rsidRDefault="00051F22" w:rsidP="00020454">
      <w:pPr>
        <w:pStyle w:val="ZPKTzmpktartykuempunktem"/>
      </w:pPr>
      <w:r>
        <w:t>2.</w:t>
      </w:r>
      <w:r>
        <w:tab/>
        <w:t>izreći kreditnoj instituciji novčanu kaznu u iznosu do 15 000 000 PLN;</w:t>
      </w:r>
    </w:p>
    <w:p w14:paraId="283B4CAA" w14:textId="77777777" w:rsidR="00051F22" w:rsidRDefault="00051F22" w:rsidP="00020454">
      <w:pPr>
        <w:pStyle w:val="ZPKTzmpktartykuempunktem"/>
      </w:pPr>
      <w:r>
        <w:t>3.</w:t>
      </w:r>
      <w:r>
        <w:tab/>
        <w:t>podnijeti zahtjev nadležnom tijelu kreditne institucije za razrješenje člana upravnog odbora iz točke 1.;</w:t>
      </w:r>
    </w:p>
    <w:p w14:paraId="05F8DF44" w14:textId="77777777" w:rsidR="00051F22" w:rsidRDefault="00051F22" w:rsidP="00020454">
      <w:pPr>
        <w:pStyle w:val="ZPKTzmpktartykuempunktem"/>
      </w:pPr>
      <w:r>
        <w:t>4.</w:t>
      </w:r>
      <w:r>
        <w:tab/>
        <w:t>suspendirati člana upravnog odbora iz točke 1. dok se ne donese odluka o zahtjevu iz točke 3.; suspenzija se sastoji od isključenja iz postupka odlučivanja u pogledu vlasničkih prava i obveza tog subjekta;</w:t>
      </w:r>
    </w:p>
    <w:p w14:paraId="3799EE73" w14:textId="77777777" w:rsidR="00051F22" w:rsidRDefault="00051F22" w:rsidP="00020454">
      <w:pPr>
        <w:pStyle w:val="ZPKTzmpktartykuempunktem"/>
      </w:pPr>
      <w:r>
        <w:t>5.</w:t>
      </w:r>
      <w:r>
        <w:tab/>
        <w:t>izbrisati kreditnu instituciju iz registra kreditnih institucija i, ako je istodobno upisana u registar agenata potrošačkih kredita, također iz tog registra.</w:t>
      </w:r>
    </w:p>
    <w:p w14:paraId="275D74D7" w14:textId="77777777" w:rsidR="00051F22" w:rsidRDefault="00051F22" w:rsidP="00020454">
      <w:pPr>
        <w:pStyle w:val="ZUSTzmustartykuempunktem"/>
      </w:pPr>
      <w:r>
        <w:t>2. Kazne iz stavka 1. primjenjuju se upravnom odlukom.</w:t>
      </w:r>
    </w:p>
    <w:p w14:paraId="47582563" w14:textId="77777777" w:rsidR="00051F22" w:rsidRDefault="00051F22" w:rsidP="00020454">
      <w:pPr>
        <w:pStyle w:val="ZUSTzmustartykuempunktem"/>
      </w:pPr>
      <w:r>
        <w:t>3. Upravne odluke u stvarima iz stavka 1. podstavaka od 3. do 5. odmah su izvršive.</w:t>
      </w:r>
    </w:p>
    <w:p w14:paraId="1B9F132B" w14:textId="77777777" w:rsidR="00051F22" w:rsidRDefault="00051F22" w:rsidP="00020454">
      <w:pPr>
        <w:pStyle w:val="ZUSTzmustartykuempunktem"/>
      </w:pPr>
      <w:r>
        <w:t>4. Novčana kazna iz stavka 1. podstavka 1. može se izreći i nakon prestanka dužnosti člana upravnog odbora ako je do kršenja došlo tijekom obavljanja te funkcije.</w:t>
      </w:r>
    </w:p>
    <w:p w14:paraId="40AF280C" w14:textId="77777777" w:rsidR="00051F22" w:rsidRDefault="00051F22" w:rsidP="00051F22">
      <w:pPr>
        <w:pStyle w:val="ZARTzmartartykuempunktem"/>
      </w:pPr>
      <w:r>
        <w:t>5. Novčana kazna iz stavka 1. podstavka 2. može se izreći i ako je subjekt izbrisan iz registra kreditnih institucija.</w:t>
      </w:r>
    </w:p>
    <w:p w14:paraId="1AA01C85" w14:textId="77777777" w:rsidR="00051F22" w:rsidRDefault="00051F22" w:rsidP="009B2992">
      <w:pPr>
        <w:pStyle w:val="ZARTzmartartykuempunktem"/>
      </w:pPr>
      <w:r>
        <w:t>6. Odredbe odjeljka IV.a Zakona o upravnom postupku od 14. lipnja 1960. (Službeni list iz 2021., stavke 735, 1491 i 2052) primjenjuju se na administrativne novčane kazne iz stavka 1. podstavaka 1. i 2.</w:t>
      </w:r>
    </w:p>
    <w:p w14:paraId="0B72CAB9" w14:textId="77777777" w:rsidR="00051F22" w:rsidRDefault="00051F22" w:rsidP="004C6235">
      <w:pPr>
        <w:pStyle w:val="ZARTzmartartykuempunktem"/>
      </w:pPr>
      <w:r>
        <w:t>7. Poljsko tijelo za financijski nadzor objavljuje informacije o primjeni sankcija iz stavka 1., osim ako bi otkrivanje takvih informacija nerazmjerno ugrozilo pravni interes dotičnih strana. Ime osobe kojoj je izrečena novčana kazna iz stavka 1. podstavaka 1. ili 4. javno se objavljuje kada je odluka o predmetu konačna.</w:t>
      </w:r>
    </w:p>
    <w:p w14:paraId="4DD7DBB8" w14:textId="77777777" w:rsidR="003B69C7" w:rsidRDefault="003B69C7" w:rsidP="004C6235">
      <w:pPr>
        <w:pStyle w:val="ZARTzmartartykuempunktem"/>
      </w:pPr>
      <w:r>
        <w:t>8. Informacije iz stavka 7. dostupne su na internetskim stranicama Poljskog tijela za financijski nadzor tijekom pet godina od datuma njihova dijeljenja, osim što su informacije o imenu osobe kojoj je izrečena kazna dostupne na ovoj internetskoj stranici tijekom jedne godine.</w:t>
      </w:r>
    </w:p>
    <w:p w14:paraId="6D150ABE" w14:textId="3AF7B905" w:rsidR="00051F22" w:rsidRDefault="00051F22" w:rsidP="00051F22">
      <w:pPr>
        <w:pStyle w:val="ZARTzmartartykuempunktem"/>
      </w:pPr>
      <w:r>
        <w:t xml:space="preserve">Članak 59.dj  1.  Informacije dobivene ili nastale u vezi s provođenjem nadzora, čije bi odobravanje, otkrivanje ili potvrda mogle ugroziti pravno zaštićene interese subjekata na koje se te informacije izravno ili neizravno odnose ili otežati provedbu nadzora kreditnih institucija, predstavljaju poslovnu tajnu zaštićenu u skladu s odredbama članka 16. Zakona o nadzoru financijskog tržišta od 21. srpnja 2006. </w:t>
      </w:r>
      <w:r>
        <w:lastRenderedPageBreak/>
        <w:t>(Službeni list iz 2020., stavka 2059 i Službeni list iz 2021., stavke 680, 815., 1598 i 2140).</w:t>
      </w:r>
    </w:p>
    <w:p w14:paraId="5B4A0040" w14:textId="77777777" w:rsidR="00051F22" w:rsidRDefault="00051F22" w:rsidP="00051F22">
      <w:pPr>
        <w:pStyle w:val="ZARTzmartartykuempunktem"/>
      </w:pPr>
      <w:r>
        <w:t>2.  Obveza zaštite tajnosti iz stavka 1. ne utječe na:</w:t>
      </w:r>
    </w:p>
    <w:p w14:paraId="40F88060" w14:textId="4C81D434" w:rsidR="00051F22" w:rsidRDefault="00051F22" w:rsidP="00020454">
      <w:pPr>
        <w:pStyle w:val="ZPKTzmpktartykuempunktem"/>
      </w:pPr>
      <w:r>
        <w:t>1. pružanje informacija potrebnih za postizanje cilja iz članka 59.df stavka 2.;</w:t>
      </w:r>
    </w:p>
    <w:p w14:paraId="1861B6A6" w14:textId="77777777" w:rsidR="00051F22" w:rsidRDefault="00051F22" w:rsidP="00020454">
      <w:pPr>
        <w:pStyle w:val="ZPKTzmpktartykuempunktem"/>
      </w:pPr>
      <w:r>
        <w:t>2. pružanje informacija u situacijama iz članka 59.dk;</w:t>
      </w:r>
    </w:p>
    <w:p w14:paraId="77A8B4A0" w14:textId="77777777" w:rsidR="00051F22" w:rsidRDefault="00051F22" w:rsidP="00020454">
      <w:pPr>
        <w:pStyle w:val="ZPKTzmpktartykuempunktem"/>
      </w:pPr>
      <w:r>
        <w:t>3. podnošenje prijave sumnje na kazneno djelo;</w:t>
      </w:r>
    </w:p>
    <w:p w14:paraId="1E26526B" w14:textId="77777777" w:rsidR="00051F22" w:rsidRDefault="00051F22" w:rsidP="00020454">
      <w:pPr>
        <w:pStyle w:val="ZPKTzmpktartykuempunktem"/>
      </w:pPr>
      <w:r>
        <w:t>4. pružanje informacija osobi, tijelu ili drugom subjektu na temelju zasebnih odredbi.</w:t>
      </w:r>
    </w:p>
    <w:p w14:paraId="3F3482C0" w14:textId="77777777" w:rsidR="00051F22" w:rsidRDefault="00051F22" w:rsidP="00051F22">
      <w:pPr>
        <w:pStyle w:val="ZARTzmartartykuempunktem"/>
      </w:pPr>
      <w:r>
        <w:t>3.  U slučaju informacija zaštićenih posebnim odredbama, pružanjem i prijenosom informacija iz stavka 1. Poljsko tijelo za financijski nadzor ne smije kršiti načela zaštite utvrđena u tim odredbama.</w:t>
      </w:r>
    </w:p>
    <w:p w14:paraId="5C88DC36" w14:textId="77777777" w:rsidR="00051F22" w:rsidRDefault="00051F22" w:rsidP="00051F22">
      <w:pPr>
        <w:pStyle w:val="ZARTzmartartykuempunktem"/>
      </w:pPr>
      <w:r>
        <w:t>Članak 59.dk 1. Poljsko tijelo za financijski nadzor može dostaviti informacije dobivene u vezi s obavljanjem zadaća koje proizlaze iz Zakona:</w:t>
      </w:r>
    </w:p>
    <w:p w14:paraId="0974E301" w14:textId="77777777" w:rsidR="00051F22" w:rsidRDefault="00051F22" w:rsidP="00020454">
      <w:pPr>
        <w:pStyle w:val="ZPKTzmpktartykuempunktem"/>
      </w:pPr>
      <w:r>
        <w:t>1. nadležnim nadzornim tijela u slučajevima iz članka 59.dm;</w:t>
      </w:r>
    </w:p>
    <w:p w14:paraId="6435599B" w14:textId="77777777" w:rsidR="00051F22" w:rsidRDefault="00051F22" w:rsidP="00020454">
      <w:pPr>
        <w:pStyle w:val="ZPKTzmpktartykuempunktem"/>
      </w:pPr>
      <w:r>
        <w:t>2. tijelima i institucijama Europske unije nadležnima za pitanja koja se odnose na djelatnosti potrošačkog kreditiranja i nadzor subjekata koji obavljaju takve djelatnosti.</w:t>
      </w:r>
    </w:p>
    <w:p w14:paraId="6DBB6AA5" w14:textId="77777777" w:rsidR="00051F22" w:rsidRDefault="00051F22" w:rsidP="00AA2991">
      <w:pPr>
        <w:pStyle w:val="ZUSTzmustartykuempunktem"/>
      </w:pPr>
      <w:r>
        <w:t>2.  Informacije iz stavka 1. pružaju se ako:</w:t>
      </w:r>
    </w:p>
    <w:p w14:paraId="49F725E4" w14:textId="77777777" w:rsidR="00051F22" w:rsidRDefault="00051F22" w:rsidP="003D3005">
      <w:pPr>
        <w:pStyle w:val="ZPKTzmpktartykuempunktem"/>
      </w:pPr>
      <w:r>
        <w:t>1. pružene informacije koriste se samo za potrebe zadaća koje obavljaju ta tijela u vezi s djelatnošću odobravanja potrošačkih kredita ili nadzorom subjekata koji obavljaju takve djelatnosti;</w:t>
      </w:r>
    </w:p>
    <w:p w14:paraId="29756FAD" w14:textId="77777777" w:rsidR="00051F22" w:rsidRDefault="00051F22" w:rsidP="003D3005">
      <w:pPr>
        <w:pStyle w:val="ZPKTzmpktartykuempunktem"/>
      </w:pPr>
      <w:r>
        <w:t>2. zajamčeno je da je pružanje informacija dobivenih izvan tih tijela moguće samo uz prethodnu suglasnost Poljskog tijela za financijski nadzor;</w:t>
      </w:r>
    </w:p>
    <w:p w14:paraId="1949FD24" w14:textId="77777777" w:rsidR="00266E8E" w:rsidRDefault="00051F22" w:rsidP="003D3005">
      <w:pPr>
        <w:pStyle w:val="ZPKTzmpktartykuempunktem"/>
      </w:pPr>
      <w:r>
        <w:t>3. time se ne dovodi u pitanje zaštita informacija koja proizlazi iz zasebnih odredaba.</w:t>
      </w:r>
    </w:p>
    <w:p w14:paraId="468117E2" w14:textId="77777777" w:rsidR="00051F22" w:rsidRDefault="00051F22" w:rsidP="00051F22">
      <w:pPr>
        <w:pStyle w:val="ZARTzmartartykuempunktem"/>
      </w:pPr>
      <w:r>
        <w:t>Članak 59.dl 1. Ako se utvrdi da subjekt iz članka 59.d stavka 1. pri obavljanju djelatnosti u Republici Poljskoj u području odobravanja potrošačkih kredita krši odredbe Zakona ili obavlja tu djelatnost u suprotnosti s uvjetima utvrđenima u Zakonu, Poljsko tijelo za financijski nadzor može:</w:t>
      </w:r>
    </w:p>
    <w:p w14:paraId="617E0FB8" w14:textId="77777777" w:rsidR="00051F22" w:rsidRDefault="00051F22" w:rsidP="003D3005">
      <w:pPr>
        <w:pStyle w:val="ZPKTzmpktartykuempunktem"/>
      </w:pPr>
      <w:r>
        <w:t>1.</w:t>
      </w:r>
      <w:r>
        <w:tab/>
        <w:t>zatražiti od subjekta da u pisanom obliku poštuje odredbe poljskog prava i odrediti rok za ispravljanje utvrđenih nepravilnosti;</w:t>
      </w:r>
    </w:p>
    <w:p w14:paraId="3C2DDEC9" w14:textId="77777777" w:rsidR="00051F22" w:rsidRDefault="00051F22" w:rsidP="003D3005">
      <w:pPr>
        <w:pStyle w:val="ZPKTzmpktartykuempunktem"/>
      </w:pPr>
      <w:r>
        <w:t>2.</w:t>
      </w:r>
      <w:r>
        <w:tab/>
        <w:t>zabraniti poslovanje subjekta na državnom području Republike Poljske u okviru odobravanja potrošačkih kredita.</w:t>
      </w:r>
    </w:p>
    <w:p w14:paraId="46C88FCC" w14:textId="77777777" w:rsidR="00051F22" w:rsidRDefault="00051F22" w:rsidP="00AA2991">
      <w:pPr>
        <w:pStyle w:val="ZUSTzmustartykuempunktem"/>
      </w:pPr>
      <w:r>
        <w:t>2. Kazna iz stavka 1. podstavka 2. primjenjuje se upravnom odlukom. Ta je odluka odmah izvršiva. Poljsko tijelo za financijski nadzor objavljuje odluku.</w:t>
      </w:r>
    </w:p>
    <w:p w14:paraId="17416997" w14:textId="77777777" w:rsidR="00051F22" w:rsidRDefault="00051F22" w:rsidP="00051F22">
      <w:pPr>
        <w:pStyle w:val="ZARTzmartartykuempunktem"/>
      </w:pPr>
      <w:r>
        <w:lastRenderedPageBreak/>
        <w:t>Članak 59.dm. 1. Kako bi se osiguralo da su djelatnosti subjekta iz članka 59.d stavka 1. u skladu s odredbama Zakona i da se radnje iz članka 59.dl stavka 1. obavljaju prema tom subjektu, Poljsko tijelo za financijski nadzor može surađivati s nadležnim nadzornim tijelima države iz članka 59.d stavka 1. u mjeri u kojoj su ta tijela određena.</w:t>
      </w:r>
    </w:p>
    <w:p w14:paraId="437C8F96" w14:textId="77777777" w:rsidR="00051F22" w:rsidRDefault="00051F22" w:rsidP="00AA2991">
      <w:pPr>
        <w:pStyle w:val="ZUSTzmustartykuempunktem"/>
      </w:pPr>
      <w:r>
        <w:t>2. Poljsko tijelo za financijski nadzor može surađivati s nadležnim nadzornim tijelima država iz članka 59.d stavka 1. u mjeri u kojoj su ta tijela određena u pogledu djelatnosti kreditnih institucija na njihovu državnom području.</w:t>
      </w:r>
    </w:p>
    <w:p w14:paraId="1C9D3D25" w14:textId="77777777" w:rsidR="00051F22" w:rsidRDefault="00051F22" w:rsidP="00AA2991">
      <w:pPr>
        <w:pStyle w:val="ZUSTzmustartykuempunktem"/>
      </w:pPr>
      <w:r>
        <w:t>3. U okviru suradnje iz stavaka 1. i 2. Poljsko tijelo za financijski nadzor može nadležnim nadzornim tijelima, na zahtjev ili na vlastitu inicijativu, dostaviti informacije dobivene tijekom obavljanja zadaća iz Zakona koje su potrebne za postizanje ciljeva te suradnje.</w:t>
      </w:r>
    </w:p>
    <w:p w14:paraId="573F6B23" w14:textId="77777777" w:rsidR="00051F22" w:rsidRDefault="00051F22" w:rsidP="00051F22">
      <w:pPr>
        <w:pStyle w:val="ZARTzmartartykuempunktem"/>
      </w:pPr>
      <w:r>
        <w:t>Članak 59.dn Poljsko tijelo za financijski nadzor i osobe koje obavljaju aktivnosti nadzora nisu odgovorne za štetu koja proizlazi iz zakonitog djelovanja ili propusta koji je povezan s nadzorom koji provodi Poljsko tijelo za financijski nadzor.</w:t>
      </w:r>
    </w:p>
    <w:p w14:paraId="36FE0E7C" w14:textId="77777777" w:rsidR="00C13165" w:rsidRDefault="00051F22" w:rsidP="00777043">
      <w:pPr>
        <w:pStyle w:val="ZARTzmartartykuempunktem"/>
      </w:pPr>
      <w:r>
        <w:t xml:space="preserve">Članak 59.do 1. Kreditne institucije dužne su doprinijeti troškovima nadzora u iznosu koji ne premašuje 0,5 % zbroja prihoda od poslova kreditiranja ili ne manji od 5 000 EUR. </w:t>
      </w:r>
    </w:p>
    <w:p w14:paraId="4B7E6CAF" w14:textId="6311180D" w:rsidR="00051F22" w:rsidRDefault="00C13165" w:rsidP="00AA2991">
      <w:pPr>
        <w:pStyle w:val="ZUSTzmustartykuempunktem"/>
      </w:pPr>
      <w:r>
        <w:t>2. Kreditne institucije dostavljaju Poljskom tijelu za financijski nadzor izjave o plaćanju radi pokrivanja troškova nadzora. Primjenjuje se članak 59.dg stavak 2.</w:t>
      </w:r>
    </w:p>
    <w:p w14:paraId="75CBDF6B" w14:textId="2BA3AE19" w:rsidR="00051F22" w:rsidRDefault="00C1127D" w:rsidP="00051F22">
      <w:pPr>
        <w:pStyle w:val="ZARTzmartartykuempunktem"/>
      </w:pPr>
      <w:r>
        <w:t>3. Predsjednik vlade uredbom određuje sljedeće:</w:t>
      </w:r>
    </w:p>
    <w:p w14:paraId="2946FA8B" w14:textId="77777777" w:rsidR="00051F22" w:rsidRDefault="00051F22" w:rsidP="000B3A10">
      <w:pPr>
        <w:pStyle w:val="ZPKTzmpktartykuempunktem"/>
      </w:pPr>
      <w:r>
        <w:t>1.</w:t>
      </w:r>
      <w:r>
        <w:tab/>
        <w:t>rokove za plaćanje, iznos i način izračuna plaćanja iz stavka 1.,</w:t>
      </w:r>
    </w:p>
    <w:p w14:paraId="230664EA" w14:textId="77777777" w:rsidR="00051F22" w:rsidRDefault="00051F22" w:rsidP="000B3A10">
      <w:pPr>
        <w:pStyle w:val="ZPKTzmpktartykuempunktem"/>
      </w:pPr>
      <w:r>
        <w:t>2.</w:t>
      </w:r>
      <w:r>
        <w:tab/>
        <w:t>metodu i rokove za podmirenje plaćanja iz stavka 1.,</w:t>
      </w:r>
    </w:p>
    <w:p w14:paraId="475A243F" w14:textId="415ABD17" w:rsidR="00051F22" w:rsidRDefault="00051F22" w:rsidP="000B3A10">
      <w:pPr>
        <w:pStyle w:val="ZPKTzmpktartykuempunktem"/>
      </w:pPr>
      <w:r>
        <w:t>3.</w:t>
      </w:r>
      <w:r>
        <w:tab/>
        <w:t>uzorak izjave za izvršenje plaćanja za pokrivanje troškova nadzora</w:t>
      </w:r>
    </w:p>
    <w:p w14:paraId="5F477B71" w14:textId="77777777" w:rsidR="00231778" w:rsidRDefault="00051F22" w:rsidP="00051F22">
      <w:pPr>
        <w:pStyle w:val="ZARTzmartartykuempunktem"/>
      </w:pPr>
      <w:r>
        <w:t>— kako bi se osiguralo da se iznosom doprinosa za pokrivanje troškova nadzora značajno ne povećaju operativni troškovi subjekata koji su ih obvezni plaćati, potreba za osiguravanjem učinkovitosti nadzora i mogućnost dostavljanja informacija o plaćanju troškova nadzora u obliku elektroničkog dokumenta u smislu članka 3. stavka 2. Zakona od 17. veljače 2005. o informatizaciji aktivnosti tijela koja obavljaju javne poslove.</w:t>
      </w:r>
    </w:p>
    <w:p w14:paraId="31584312" w14:textId="1AA24BED" w:rsidR="00051F22" w:rsidRDefault="00051F22" w:rsidP="00051F22">
      <w:pPr>
        <w:pStyle w:val="ZARTzmartartykuempunktem"/>
      </w:pPr>
      <w:r>
        <w:t>Članak 59.dp. 1. Kreditna institucija koja nije ispunila obvezu iz članka 59.dg stavka 1. točke 4. Poljskom tijelu za financijski nadzor plaća novčanu kaznu u iznosu od 5 000 PLN. Plaćanje novčane kazne ne oslobađa se obveze iz članka 59.dg stavka 1. točke 4.</w:t>
      </w:r>
    </w:p>
    <w:p w14:paraId="2211C5DC" w14:textId="77777777" w:rsidR="00051F22" w:rsidRDefault="00051F22" w:rsidP="00051F22">
      <w:pPr>
        <w:pStyle w:val="ZARTzmartartykuempunktem"/>
      </w:pPr>
      <w:r>
        <w:lastRenderedPageBreak/>
        <w:t>2. Protuvrijednost iznosa iz stavka 1. izražena u PLN-u preračunava se prema prosječnom tečaju eura koji je najavila Poljska narodna banka posljednjeg radnog dana godine koja prethodi kalendarskoj godini u kojoj je obveza nastala.</w:t>
      </w:r>
    </w:p>
    <w:p w14:paraId="1EE044DE" w14:textId="0F2810FF" w:rsidR="00051F22" w:rsidRDefault="00051F22" w:rsidP="00051F22">
      <w:pPr>
        <w:pStyle w:val="ZARTzmartartykuempunktem"/>
      </w:pPr>
      <w:r>
        <w:t xml:space="preserve">3. Ako nadzorno tijelo utvrdi da kreditna institucija nije ispunila obvezu iz članka 59.dg stavka 1. točke 4., Poljsko tijelo za financijski nadzor zahtijeva od institucije da plati novčanu kaznu iz stavka 1. u roku od 30 dana i poziva na hitnu provedbu obveze iz članka 59.dg stavka 1. točke 4., navodeći informacije o sadržaju stavka 1. druge rečenice. </w:t>
      </w:r>
    </w:p>
    <w:p w14:paraId="7E5ED7C2" w14:textId="5EBA8E0A" w:rsidR="00064251" w:rsidRDefault="00051F22" w:rsidP="00AD28B5">
      <w:pPr>
        <w:pStyle w:val="ZCZWSPPKTzmczciwsppktartykuempunktem"/>
      </w:pPr>
      <w:r>
        <w:t>4. Kazna iz stavka 1. ovoga članka podliježe ovrsi prema odredbama Zakona o ovršnom postupku u upravi od 17. lipnja 1966. godine.</w:t>
      </w:r>
    </w:p>
    <w:p w14:paraId="1CBEB81D" w14:textId="0C0A22E0" w:rsidR="00AF0342" w:rsidRDefault="00064251" w:rsidP="00AD28B5">
      <w:pPr>
        <w:pStyle w:val="ZCZWSPPKTzmczciwsppktartykuempunktem"/>
      </w:pPr>
      <w:r>
        <w:t>5. Ako nepoštovanje obveze iz članka 59.dg stavka 1. točke 4. za posljedicu ima izricanje sankcije iz članka 59.di stavka 1. točke 2. kreditnoj instituciji pri određivanju iznosa novčane kazne, uzima se u obzir iznos plaćene novčane kazne kako je navedeno u stavku 1.”;</w:t>
      </w:r>
    </w:p>
    <w:p w14:paraId="5BAA049A" w14:textId="77777777" w:rsidR="00AF0342" w:rsidRDefault="00AF0342" w:rsidP="00AF0342">
      <w:pPr>
        <w:pStyle w:val="ZCZWSPPKTzmczciwsppktartykuempunktem"/>
        <w:ind w:hanging="510"/>
      </w:pPr>
      <w:r>
        <w:t>12. Članak 59.j dodaje se iza članka 59.i i glasi kako slijedi:</w:t>
      </w:r>
    </w:p>
    <w:p w14:paraId="247F8082" w14:textId="77777777" w:rsidR="00AF0342" w:rsidRDefault="00AF0342" w:rsidP="00AF0342">
      <w:pPr>
        <w:pStyle w:val="ZCZWSPPKTzmczciwsppktartykuempunktem"/>
        <w:ind w:firstLine="57"/>
      </w:pPr>
      <w:r>
        <w:t>„Članak 59.j. 1. Svatko tko je odgovoran za pružanje informacija Poljskom tijelu za financijski nadzor u kreditnoj instituciji i dostavlja činjenično netočne informacije ili na drugi način dovodi u zabludu Tijelo, kaznit će se novčanom kaznom u iznosu do 1 000 000 PLN ili kaznom zatvora u trajanju do dvije godine, ili oboje.</w:t>
      </w:r>
    </w:p>
    <w:p w14:paraId="4A71B8AB" w14:textId="63715781" w:rsidR="00A749FE" w:rsidRPr="009A3043" w:rsidRDefault="00AF0342" w:rsidP="00AF0342">
      <w:pPr>
        <w:pStyle w:val="ZCZWSPPKTzmczciwsppktartykuempunktem"/>
        <w:ind w:firstLine="57"/>
      </w:pPr>
      <w:r>
        <w:t>2. Ako počinitelj počini nenamjerno, kaznit će se novčanom kaznom do 500 000 PLN ili kaznom zatvora do jedne godine ili oboje.”.</w:t>
      </w:r>
    </w:p>
    <w:p w14:paraId="07C64FDE" w14:textId="77777777" w:rsidR="00A749FE" w:rsidRPr="00A749FE" w:rsidRDefault="00A749FE" w:rsidP="00A749FE">
      <w:pPr>
        <w:pStyle w:val="ARTartustawynprozporzdzenia"/>
      </w:pPr>
      <w:r>
        <w:rPr>
          <w:rStyle w:val="Ppogrubienie"/>
        </w:rPr>
        <w:t>Članak 8.</w:t>
      </w:r>
      <w:r>
        <w:t> Članak 3. Zakona o obrnutim hipotekarnim kreditima od 23. listopada 2014. (Službeni list iz 2016., stavka 786 i Zakonodavni list iz 2020., stavka 2320) glasi kako slijedi:</w:t>
      </w:r>
    </w:p>
    <w:p w14:paraId="5DF29FA9" w14:textId="77777777" w:rsidR="00A749FE" w:rsidRDefault="00A749FE" w:rsidP="00AD28B5">
      <w:pPr>
        <w:pStyle w:val="ZARTzmartartykuempunktem"/>
      </w:pPr>
      <w:r>
        <w:t xml:space="preserve">Članak 3. U pitanjima povezanima s </w:t>
      </w:r>
      <w:bookmarkStart w:id="9" w:name="highlightHit_21"/>
      <w:bookmarkEnd w:id="9"/>
      <w:r>
        <w:t xml:space="preserve">obratnim </w:t>
      </w:r>
      <w:bookmarkStart w:id="10" w:name="highlightHit_22"/>
      <w:bookmarkStart w:id="11" w:name="highlightHit_23"/>
      <w:bookmarkEnd w:id="10"/>
      <w:bookmarkEnd w:id="11"/>
      <w:r>
        <w:t>hipotekarnim kreditom, članak 69. stavci 1. i 2., članak 70., članci 74. do 75.a, članak 76.a, članak 77., članak 78. i članak 78.a Zakona o bankama od 29. kolovoza 1997. i članak 387.</w:t>
      </w:r>
      <w:r>
        <w:rPr>
          <w:rStyle w:val="IGindeksgrny"/>
        </w:rPr>
        <w:t>1</w:t>
      </w:r>
      <w:r>
        <w:t xml:space="preserve"> Zakona o građanskom postupku od 23. travnja 1964. (Službeni list iz 2020., stavke 1740 i 2320 i Službeni list iz 2021, stavka 1509) ne primjenjuju se.”.</w:t>
      </w:r>
    </w:p>
    <w:p w14:paraId="3FE3F016" w14:textId="77777777" w:rsidR="00A749FE" w:rsidRPr="00F86BE8" w:rsidRDefault="00A749FE" w:rsidP="00AD28B5">
      <w:pPr>
        <w:pStyle w:val="ARTartustawynprozporzdzenia"/>
      </w:pPr>
      <w:r>
        <w:rPr>
          <w:rStyle w:val="Ppogrubienie"/>
        </w:rPr>
        <w:t>Članak 9.</w:t>
      </w:r>
      <w:r>
        <w:t xml:space="preserve"> U Zakonu o hipotekama i nadzoru hipotekarnih posrednika i agenata od 23. ožujka 2017. (Službeni list iz 2020., stavke 1027 i 2320), u članku. 63.:</w:t>
      </w:r>
    </w:p>
    <w:p w14:paraId="267E3FBB" w14:textId="77777777" w:rsidR="00A749FE" w:rsidRPr="00F86BE8" w:rsidRDefault="005968F2" w:rsidP="00AD28B5">
      <w:pPr>
        <w:pStyle w:val="PKTpunkt"/>
      </w:pPr>
      <w:r>
        <w:t>1.</w:t>
      </w:r>
      <w:r>
        <w:tab/>
        <w:t>u stavku 3. točki 2. podtočki (e) točka na kraju rečenice zamjenjuje se točkom zarezom, a podtočka 3. dodaje se i glasi kako slijedi:</w:t>
      </w:r>
    </w:p>
    <w:p w14:paraId="545FA433" w14:textId="77777777" w:rsidR="00A749FE" w:rsidRDefault="00A749FE" w:rsidP="00AD28B5">
      <w:pPr>
        <w:pStyle w:val="ZPKTzmpktartykuempunktem"/>
      </w:pPr>
      <w:r>
        <w:lastRenderedPageBreak/>
        <w:t>„3.</w:t>
      </w:r>
      <w:r>
        <w:tab/>
        <w:t>napomena o brisanju iz registra.”;</w:t>
      </w:r>
    </w:p>
    <w:p w14:paraId="742B2C5D" w14:textId="77777777" w:rsidR="00A749FE" w:rsidRPr="00F86BE8" w:rsidRDefault="005968F2" w:rsidP="00AD28B5">
      <w:pPr>
        <w:pStyle w:val="PKTpunkt"/>
      </w:pPr>
      <w:r>
        <w:t>2.</w:t>
      </w:r>
      <w:r>
        <w:tab/>
        <w:t>točka na kraju stavka 4. točke 3. zamjenjuje se točkom zarezom, a točka 4. dodaje se i glasi kako slijedi:</w:t>
      </w:r>
    </w:p>
    <w:p w14:paraId="3751E4F2" w14:textId="77777777" w:rsidR="00A749FE" w:rsidRPr="00C770BB" w:rsidRDefault="00A749FE" w:rsidP="00AD28B5">
      <w:pPr>
        <w:pStyle w:val="ZPKTzmpktartykuempunktem"/>
      </w:pPr>
      <w:r>
        <w:t>„4.</w:t>
      </w:r>
      <w:r>
        <w:tab/>
        <w:t xml:space="preserve"> napomena o brisanju iz registra.”.</w:t>
      </w:r>
    </w:p>
    <w:p w14:paraId="5BC8E6D0" w14:textId="7F1DB0EA" w:rsidR="00A749FE" w:rsidRDefault="00A749FE" w:rsidP="00A749FE">
      <w:pPr>
        <w:pStyle w:val="ARTartustawynprozporzdzenia"/>
      </w:pPr>
      <w:bookmarkStart w:id="12" w:name="_Hlk83806295"/>
      <w:r>
        <w:rPr>
          <w:rStyle w:val="Ppogrubienie"/>
        </w:rPr>
        <w:t>Članak 10.</w:t>
      </w:r>
      <w:r>
        <w:t> </w:t>
      </w:r>
      <w:bookmarkStart w:id="13" w:name="_Hlk88754472"/>
      <w:r>
        <w:t>Odredbe Zakona izmijenjenih člankom 1., člankom 4., člankom 6. i člankom 7., kako su izmijenjene ovim Zakonom, ne primjenjuju se na potrošačke kredite i ugovore o zajmu sklopljene prije stupanja na snagu ovoga Zakona.</w:t>
      </w:r>
    </w:p>
    <w:bookmarkEnd w:id="13"/>
    <w:p w14:paraId="00EC7660" w14:textId="4F100EAD" w:rsidR="00A749FE" w:rsidRPr="00C770BB" w:rsidRDefault="00A749FE" w:rsidP="008D1B58">
      <w:pPr>
        <w:pStyle w:val="ARTartustawynprozporzdzenia"/>
      </w:pPr>
      <w:r>
        <w:rPr>
          <w:rStyle w:val="Ppogrubienie"/>
        </w:rPr>
        <w:t>Članak 11.</w:t>
      </w:r>
      <w:r>
        <w:t> </w:t>
      </w:r>
      <w:bookmarkEnd w:id="12"/>
      <w:r>
        <w:t xml:space="preserve">Kreditna institucija koja obavlja djelatnost davanja potrošačkog kredita prije stupanja na snagu ovoga Zakona dužna je izvršiti prvu uplatu za 2022. godinu, kako je navedeno u članku 59.do stavku 1. Zakona, izmijenjenog u članku 7., kako je izmijenjen ovim Zakonom, do 1. veljače 2023. </w:t>
      </w:r>
    </w:p>
    <w:p w14:paraId="518B8064" w14:textId="50293DC2" w:rsidR="00E52E6D" w:rsidRPr="00C106D5" w:rsidRDefault="00F179EC" w:rsidP="004A6A1A">
      <w:pPr>
        <w:pStyle w:val="USTustnpkodeksu"/>
      </w:pPr>
      <w:r>
        <w:rPr>
          <w:b/>
        </w:rPr>
        <w:t xml:space="preserve">Članak 12. </w:t>
      </w:r>
      <w:r>
        <w:t>1.</w:t>
      </w:r>
      <w:r>
        <w:rPr>
          <w:b/>
        </w:rPr>
        <w:t xml:space="preserve"> </w:t>
      </w:r>
      <w:r>
        <w:t>Kreditna institucija upisana u registar iz članka 59.aa stavka 1. Zakona, izmijenjenog u članku 7., prije datuma stupanja na snagu članka 7. stavaka 6., 7., 9. i 10. ovoga Zakona, koja na dan stupanja na snagu tih odredbi ne ispunjava u njima propisane uvjete može nastaviti poslovati u području odobravanja potrošačkih kredita do 31. prosinca 2022. godine.</w:t>
      </w:r>
    </w:p>
    <w:p w14:paraId="6FC963D7" w14:textId="77777777" w:rsidR="008554DF" w:rsidRDefault="00E52E6D" w:rsidP="00A749FE">
      <w:pPr>
        <w:pStyle w:val="USTustnpkodeksu"/>
      </w:pPr>
      <w:r>
        <w:t xml:space="preserve">2. Kreditne institucije iz stavka 1. dužne su do 30. studenoga 2022. obavijestiti Poljsko tijelo za financijski nadzor o mjerama poduzetima radi usklađivanja sa zahtjevima </w:t>
      </w:r>
      <w:bookmarkStart w:id="14" w:name="_Hlk85806381"/>
      <w:r>
        <w:t>iz članka 59.a stavaka 1. i 2. Zakona izmijenjenog u članku 7. kako je izmijenjen ovim Zakonom</w:t>
      </w:r>
      <w:bookmarkEnd w:id="14"/>
      <w:r>
        <w:t xml:space="preserve">.  </w:t>
      </w:r>
    </w:p>
    <w:p w14:paraId="1C0819A8" w14:textId="14721374" w:rsidR="009A295A" w:rsidRDefault="00C106D5" w:rsidP="00346832">
      <w:pPr>
        <w:pStyle w:val="USTustnpkodeksu"/>
      </w:pPr>
      <w:r>
        <w:t xml:space="preserve">3. Kreditna institucija koja od 1. siječnja 2023. ne ispunjava zahtjeve iz članka 59.a stavaka 1. i 2. Zakona s izmjenama i dopunama članka 7., kako je izmijenjen ovim Zakonom, briše se iz registra iz članka 59.aa stavka 1. Zakona izmijenjenog člankom 7. ovoga Zakona. </w:t>
      </w:r>
    </w:p>
    <w:p w14:paraId="776111E5" w14:textId="4433124D" w:rsidR="00285FC3" w:rsidRDefault="00285FC3" w:rsidP="00346832">
      <w:pPr>
        <w:pStyle w:val="USTustnpkodeksu"/>
      </w:pPr>
      <w:r>
        <w:t>4. Postupak upisa u upisnik iz članka 59.aa stavka 1. Zakona izmijenjenog u članku 7., pokrenut i nedovršen prije stupanja na snagu članka 7. stavaka 6., 7., 9. i 10. ovoga Zakona, obustavlja se ako podnositelj zahtjeva na dan stupanja na snagu tih odredbi ne ispunjava u njemu propisane uvjete.</w:t>
      </w:r>
    </w:p>
    <w:p w14:paraId="7DCD00E5" w14:textId="59331CCF" w:rsidR="00F179EC" w:rsidRDefault="00A749FE" w:rsidP="00AD28B5">
      <w:pPr>
        <w:pStyle w:val="ARTartustawynprozporzdzenia"/>
      </w:pPr>
      <w:r>
        <w:rPr>
          <w:rStyle w:val="Ppogrubienie"/>
        </w:rPr>
        <w:t>Članak 13.</w:t>
      </w:r>
      <w:r>
        <w:t xml:space="preserve"> Zakon stupa na snagu šest mjeseci nakon objave, osim za:</w:t>
      </w:r>
    </w:p>
    <w:p w14:paraId="3CA83A3E" w14:textId="495E6637" w:rsidR="00F179EC" w:rsidRDefault="00F02735" w:rsidP="00D460F1">
      <w:pPr>
        <w:pStyle w:val="ARTartustawynprozporzdzenia"/>
        <w:numPr>
          <w:ilvl w:val="0"/>
          <w:numId w:val="47"/>
        </w:numPr>
      </w:pPr>
      <w:r>
        <w:t>Članak 7. točke 4.</w:t>
      </w:r>
      <w:bookmarkStart w:id="15" w:name="_Hlk86070982"/>
      <w:r>
        <w:t>-7., 9. i 10.</w:t>
      </w:r>
      <w:bookmarkEnd w:id="15"/>
      <w:r>
        <w:t xml:space="preserve"> koji stupaju na snagu 30 dana nakon datuma objave;</w:t>
      </w:r>
    </w:p>
    <w:p w14:paraId="1CCF297A" w14:textId="3B6742B1" w:rsidR="00A749FE" w:rsidRDefault="00F179EC" w:rsidP="00D460F1">
      <w:pPr>
        <w:pStyle w:val="ARTartustawynprozporzdzenia"/>
        <w:numPr>
          <w:ilvl w:val="0"/>
          <w:numId w:val="47"/>
        </w:numPr>
      </w:pPr>
      <w:r>
        <w:t>članak 7. stavak 11. koji stupa na snagu 1. siječnja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w:t>
      </w:r>
      <w:r>
        <w:tab/>
        <w:t>Zakon mijenja sljedeće zakone: Zakon o građanskom postupku od 23. travnja 1964., Zakon o parničnom postupku od 17. studenoga 1964., Zakon o kaznenom zakoniku od 6. lipnja 1997., Zakon o bankama od 29. kolovoza 1997., Zakon o nadzoru financijskog tržišta od 21. srpnja 2006., Zakon o zadružnoj štednji i kreditnim unijama od 5. studenoga 2009., Zakon o potrošačkim kreditima od 12. svibnja 2011., Zakon o obratnom hipotekarnom kreditu od 23. listopada 2014. i Zakon o hipotekarnim kreditima i nadzoru posrednika i agenata hipotekarnih kredita od 23. ožujka 2017.</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w:t>
      </w:r>
      <w:r>
        <w:tab/>
        <w:t xml:space="preserve">Izmjene pročišćenog teksta Zakona objavljene su u Službenom listu iz 2020., stavkama 2320 i 2419 te u Zakonskom listu iz 2021., stavkama 432, 680, 815, 1177, 1598, 1626, 1666 i 2052.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w:t>
      </w:r>
      <w:r>
        <w:tab/>
        <w:t>Izmjene ove Uredbe objavljene su u SL L 338 od 17.12.2008., str. 10., 17., 21. i 25., SL L 339, 18.12.2008., str. 3., SL L 17 od 22.1.2009., str. 23., SL L 21 od 24.1.2009., str. 10. i 16., SL L 80, 26.3.2009., str. 5., SL L 139, 5.6.2009., str. 6., SL L 149 od 12.6.2009., str. 6. i 22., SL L 191 od 23.7.2009., str. 5., SL L 239 od 10.9.2009., str. 48., SL L 244, 16.9.2009., str. 6., SL L 311, 26.11.2009., str. 6., SL L 312, 27.11.2009., str. 8., SL L 314, 1.12.2009., str. 15., 21. i 43., SL L 347., 24.12.2009., str. 23., SL L 77, 24.3.2010., str. 33. i 42., SL L 157, 24.6.2010., str. 3., SL L 166, 1.7.2010., str. 6., SL L 186 od 20.7.2010., str. 1. i 10., SL L 193, 24.7.2010., str. 1., SL L 46, 19.2.2011., str. 1., SL L 305 od 23.11.2011., str. 16., str. 1., SL L 146, 6.6.2012., str. 1., SL L 360, 29.12.2012., str. 1., 78. i 145., SL L 61, 5.3.2013., str. 6., SL L 90 od 28.3.2013., str. 78., SL L 95, 5.4.2013., str. 9., SL L 312 od 21.11.2013., str. 1. SL L 346, 20.12.2013., str. 38. i 42., SL L 175, 14.6.2014., str. 9., SL L 365, 19.12.2014., str. 120., SL L 5 od 9.1.2015., str. 1. i 11., SL L 306 od 24.11.2015., str. 7., SL L 307 od 25.11.2015., str. 11., SL L 317, 3.12.2015., str. 19., SL L 330 od 16.12.2015., str. 20., SL L 333, 19.12.2015., str. 97., SL L 336, 23.12.2015., str. 49., SL L 257 od 23.9.2016., str. 1., SL L 295 od 29.10.2016., str. 19., SL L 323 od 29.11.2016., str. 1., SL L 291 od 9.11.2017., str. 1., 63., 72., 84. i 89., SL L 34 od 8.2.2018., str. 1., SL L 55 od 27.2.2018., str. 21., SL L 72, 15.3.2018., str. 13., SL L 82, 26.3.208., str. 3., SL L 87, 3.4.2018., str. 3., SL L 265 od 24.10.2018., str. 3., SL L 39, 11.2.2019., str. 1., SL L 72, 14.3.2019., str. 6., SL L 73, 15.3.2019., str. 93., SL L 316, 6.12.2019., str. 10., SL L 318, 10.12.2019., str. 74., SL L 12, 16.1.2020., str. 5., SL L 127, 22.4.2020., str. 13., SL L 331 od 12.10.2020., str. 20., SL L 425 od 16.12.2020., str. 10., SL L 11 od 14.1.2021., str. 7. i SL L 305 od 31.8.2021., str.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017E"/>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hr-HR"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8</TotalTime>
  <Pages>16</Pages>
  <Words>4983</Words>
  <Characters>28409</Characters>
  <Application>Microsoft Office Word</Application>
  <DocSecurity>0</DocSecurity>
  <Lines>236</Lines>
  <Paragraphs>66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