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0281 F-- SL-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FRANCOSKA REPUBLIKA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Ministrstvo za kmetijstvo in prehrano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>Odredba z dne [...]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>o določitvi seznama sort, navedenega v členu 2 Uredbe [xx]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NOR: 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Minister za kmetijstvo in prehrano –</w:t>
      </w:r>
    </w:p>
    <w:p w14:paraId="7F95FBD8" w14:textId="77777777" w:rsidR="00345D15" w:rsidRPr="00F704C1" w:rsidRDefault="00BE051F" w:rsidP="003D1BFB">
      <w:pPr>
        <w:pStyle w:val="SNVisa"/>
      </w:pPr>
      <w:r>
        <w:t>ob upoštevanju Direktive Sveta 2002/53/ES z dne 13. junija 2002 o skupnem katalogu sort poljščin;</w:t>
      </w:r>
    </w:p>
    <w:p w14:paraId="37EB862E" w14:textId="77777777" w:rsidR="00345D15" w:rsidRPr="00F704C1" w:rsidRDefault="00BE051F" w:rsidP="003D1BFB">
      <w:pPr>
        <w:pStyle w:val="SNVisa"/>
      </w:pPr>
      <w:r>
        <w:t>ob upoštevanju Direktive Sveta 2002/57/ES z dne 13. junija 2002 o trženju semena oljnic in predivnic;</w:t>
      </w:r>
    </w:p>
    <w:p w14:paraId="61875E29" w14:textId="77777777" w:rsidR="00BF2B4C" w:rsidRPr="00F704C1" w:rsidRDefault="00BF2B4C" w:rsidP="003D1BFB">
      <w:pPr>
        <w:pStyle w:val="SNVisa"/>
      </w:pPr>
      <w:r>
        <w:t>ob upoštevanju Direktive (EU) 2015/1535 Evropskega parlamenta in Sveta z dne 9. septembra 2015 o določitvi postopka za zbiranje informacij na področju tehničnih predpisov in pravil za storitve informacijske družbe, zlasti uradnega obvestila št. [...];</w:t>
      </w:r>
    </w:p>
    <w:p w14:paraId="213447BA" w14:textId="77777777" w:rsidR="00345D15" w:rsidRPr="00F704C1" w:rsidRDefault="00BE051F" w:rsidP="003D1BFB">
      <w:pPr>
        <w:pStyle w:val="SNVisa"/>
      </w:pPr>
      <w:r>
        <w:t>ob upoštevanju Okoljskega zakonika, zlasti členov L. 531-2 in D. 531-2;</w:t>
      </w:r>
    </w:p>
    <w:p w14:paraId="6DB07592" w14:textId="3DD84A3D" w:rsidR="00345D15" w:rsidRPr="00F704C1" w:rsidRDefault="00BE051F" w:rsidP="003D1BFB">
      <w:pPr>
        <w:pStyle w:val="SNVisa"/>
      </w:pPr>
      <w:r>
        <w:t>ob upoštevanju Uredbe št. [...] z dne [...] o tehnikah genskega spreminjanja, navedenih v členu L. 531-2 Okoljskega zakonika;</w:t>
      </w:r>
    </w:p>
    <w:p w14:paraId="259B5B6D" w14:textId="0C5701B0" w:rsidR="00345D15" w:rsidRPr="00F704C1" w:rsidRDefault="00BE051F" w:rsidP="003D1BFB">
      <w:pPr>
        <w:pStyle w:val="SNVisa"/>
      </w:pPr>
      <w:r>
        <w:t xml:space="preserve">ob upoštevanju Odredbe z dne [...] o spremembi uradnega kataloga vrst in sort rastlin, gojenih v Franciji (semena oljne ogrščice in drugih kapusnic);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>ob upoštevanju pripomb, podanih med javnim posvetovanjem, ki je potekalo od [...] do [...], na podlagi člena L. 123-19-1 Okoljskega zakonika –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t>odreja: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Člen 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Seznam iz člena 2 zgoraj navedene uredbe z dne [...], na katerem so navedene sorte, katerih vpis v katalog je bil preklican, ker so pridobljene s tehniko naključne mutageneze in vitro iz točke 2(a) člena D. 531-2 Okoljskega zakonika, je naveden v Prilogi I k tej odredbi. </w:t>
      </w:r>
    </w:p>
    <w:p w14:paraId="1225A7EC" w14:textId="77777777" w:rsidR="00345D15" w:rsidRPr="00F704C1" w:rsidRDefault="00BE051F" w:rsidP="003D1BFB">
      <w:pPr>
        <w:pStyle w:val="BodyText"/>
      </w:pPr>
      <w:r>
        <w:lastRenderedPageBreak/>
        <w:t xml:space="preserve">Seznam iz člena 2 zgoraj navedene uredbe z dne [...], na katerem so navedene sorte, ki izpolnjujejo pogoje za preklic vpisa v katalog, ker so pridobljene s tehniko naključne mutageneze in vitro iz točke 2(a) člena D. 531-2 Okoljskega zakonika, je naveden v Prilogi II k tej odredbi. </w:t>
      </w:r>
    </w:p>
    <w:p w14:paraId="416DE67D" w14:textId="77777777" w:rsidR="00345D15" w:rsidRPr="00F704C1" w:rsidRDefault="00BE051F" w:rsidP="00B66D75">
      <w:pPr>
        <w:pStyle w:val="SNArticle"/>
        <w:keepNext/>
        <w:keepLines/>
      </w:pPr>
      <w:bookmarkStart w:id="0" w:name="_GoBack"/>
      <w:bookmarkEnd w:id="0"/>
      <w:r>
        <w:t>Člen 2</w:t>
      </w:r>
    </w:p>
    <w:p w14:paraId="30302DD1" w14:textId="77777777" w:rsidR="00345D15" w:rsidRPr="00F704C1" w:rsidRDefault="00BE051F" w:rsidP="003D1BFB">
      <w:pPr>
        <w:pStyle w:val="BodyText"/>
      </w:pPr>
      <w:r>
        <w:t xml:space="preserve">Za izvajanje te odredbe, ki bo objavljena v </w:t>
      </w:r>
      <w:r>
        <w:rPr>
          <w:i/>
        </w:rPr>
        <w:t>Uradnem listu</w:t>
      </w:r>
      <w:r>
        <w:t xml:space="preserve"> Francoske republike, je odgovoren minister za kmetijstvo in prehrano.</w:t>
      </w:r>
    </w:p>
    <w:p w14:paraId="435A6DB0" w14:textId="77777777" w:rsidR="00345D15" w:rsidRPr="00F704C1" w:rsidRDefault="00BE051F" w:rsidP="003D1BFB">
      <w:pPr>
        <w:pStyle w:val="SNDatearrt"/>
      </w:pPr>
      <w:r>
        <w:t>Dne [...].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t>PRILOGA I</w:t>
      </w:r>
    </w:p>
    <w:p w14:paraId="061EB92B" w14:textId="77777777" w:rsidR="00345D15" w:rsidRPr="00F704C1" w:rsidRDefault="00BE051F" w:rsidP="003D1BFB">
      <w:pPr>
        <w:ind w:firstLine="720"/>
      </w:pPr>
      <w:r>
        <w:t>Seznam sort, katerih vpis v katalog je bil preklican, ker so pridobljene s tehniko naključne mutageneze in vitro iz točke 2(a) člena D. 531-2 Okoljskega zakonika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– Oljna ogrščica: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t>PRILOGA II</w:t>
      </w:r>
    </w:p>
    <w:p w14:paraId="15A28AF2" w14:textId="77777777" w:rsidR="00345D15" w:rsidRPr="00F704C1" w:rsidRDefault="00BE051F" w:rsidP="003D1BFB">
      <w:pPr>
        <w:ind w:firstLine="720"/>
      </w:pPr>
      <w:r>
        <w:t>Seznam sort, ki izpolnjujejo pogoje za preklic vpisa v katalog, ker so pridobljene s tehniko naključne mutageneze in vitro iz točke 2(a) člena D. 531-2 Okoljskega zakonika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– Oljna ogrščica: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6D5BEC"/>
    <w:rsid w:val="008E3393"/>
    <w:rsid w:val="00B66D75"/>
    <w:rsid w:val="00BE051F"/>
    <w:rsid w:val="00BF2B4C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sl-SI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sl-SI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sl-SI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Liu, Lei</cp:lastModifiedBy>
  <cp:revision>2</cp:revision>
  <cp:lastPrinted>2011-02-01T14:29:00Z</cp:lastPrinted>
  <dcterms:created xsi:type="dcterms:W3CDTF">2020-05-07T10:46:00Z</dcterms:created>
  <dcterms:modified xsi:type="dcterms:W3CDTF">2020-05-14T02:52:00Z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