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OSNUTEK ZAKONA</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za </w:t>
      </w:r>
      <w:r>
        <w:rPr>
          <w:sz w:val="28"/>
          <w:b/>
          <w:rFonts w:ascii="Times New Roman" w:hAnsi="Times New Roman"/>
        </w:rPr>
        <w:t xml:space="preserve">krepitev</w:t>
      </w:r>
      <w:r>
        <w:rPr>
          <w:sz w:val="28"/>
          <w:i/>
          <w:rFonts w:ascii="Times New Roman" w:hAnsi="Times New Roman"/>
        </w:rPr>
        <w:t xml:space="preserve"> </w:t>
      </w:r>
      <w:r>
        <w:rPr>
          <w:sz w:val="28"/>
          <w:rFonts w:ascii="Times New Roman" w:hAnsi="Times New Roman"/>
        </w:rPr>
        <w:t xml:space="preserve"> </w:t>
      </w:r>
      <w:r>
        <w:rPr>
          <w:sz w:val="28"/>
          <w:b/>
          <w:rFonts w:ascii="Times New Roman" w:hAnsi="Times New Roman"/>
        </w:rPr>
        <w:t xml:space="preserve">starševskega nadzora </w:t>
      </w:r>
      <w:r>
        <w:rPr>
          <w:sz w:val="28"/>
          <w:i/>
          <w:rFonts w:ascii="Times New Roman" w:hAnsi="Times New Roman"/>
        </w:rPr>
        <w:t xml:space="preserve">nad </w:t>
      </w:r>
      <w:r>
        <w:rPr>
          <w:sz w:val="28"/>
          <w:b/>
          <w:rFonts w:ascii="Times New Roman" w:hAnsi="Times New Roman"/>
        </w:rPr>
        <w:t xml:space="preserve">sredstvi </w:t>
      </w:r>
      <w:r>
        <w:rPr>
          <w:sz w:val="28"/>
          <w:i/>
          <w:rFonts w:ascii="Times New Roman" w:hAnsi="Times New Roman"/>
        </w:rPr>
        <w:t xml:space="preserve">za </w:t>
      </w:r>
      <w:r>
        <w:rPr>
          <w:sz w:val="28"/>
          <w:b/>
          <w:rFonts w:ascii="Times New Roman" w:hAnsi="Times New Roman"/>
        </w:rPr>
        <w:t xml:space="preserve">dostop do interneta</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Člen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Oddelek 5 poglavja II naslova I knjige II Zakonika o poštnih in elektronskih komunikacijah se dopolni s členom L. 34-9-3, kot sledi:</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Člen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Terminalska oprema, namenjena uporabi spletnih javnih komunikacijskih storitev, ki zagotavljajo dostop do storitev in vsebin, ki bi lahko ogrozile telesni, duševni ali moralni razvoj mladoletnikov, je opremljena z lahko dostopnim in razumljivim sistemom, ki uporabnikom omogoča, da omejijo ali nadzorujejo dostop teh oseb do teh storitev in vsebin.</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Aktiviranje sistema iz prvega pododstavka te točke I se uporabniku ponudi, ko je oprema prvič dana v uporabo.</w:t>
      </w:r>
      <w:r>
        <w:rPr>
          <w:sz w:val="28"/>
          <w:rFonts w:ascii="Times New Roman" w:hAnsi="Times New Roman"/>
        </w:rPr>
        <w:t xml:space="preserve"> </w:t>
      </w:r>
      <w:r>
        <w:rPr>
          <w:sz w:val="28"/>
          <w:rFonts w:ascii="Times New Roman" w:hAnsi="Times New Roman"/>
        </w:rPr>
        <w:t xml:space="preserve">Osebni podatki mladoletnikov, zbrani ali ustvarjeni med aktiviranjem tega sistema, se ne uporabljajo, tudi potem, ko zainteresirane stranke postanejo polnoletne, v komercialne namene, kot so neposredno trženje, profiliranje in vedenjsko usmerjeno oglaševanje.</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Proizvajalci pri dajanju svoje terminalske opreme na trg zagotovijo, da operacijski sistemi, nameščeni na to opremo, vključujejo sistem iz prvega pododstavka.</w:t>
      </w:r>
      <w:r>
        <w:rPr>
          <w:sz w:val="28"/>
          <w:rFonts w:ascii="Times New Roman" w:hAnsi="Times New Roman"/>
        </w:rPr>
        <w:t xml:space="preserve"> </w:t>
      </w:r>
      <w:r>
        <w:rPr>
          <w:sz w:val="28"/>
          <w:rFonts w:ascii="Times New Roman" w:hAnsi="Times New Roman"/>
        </w:rPr>
        <w:t xml:space="preserve">Aktiviranje, uporaba in po potrebi odstranitev tega sistema so za uporabnika dovoljene brez dodatnih stroškov.</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Kadar je primerno, ponudnik operacijskega sistema proizvajalcu na njegovo zahtevo zagotovi in potrdi, da operacijski sistem, namenjen namestitvi na terminalsko opremo, vključuje sistem iz navedenega prvega pododstavka.</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Proizvajalci uvoznikom, distributerjem in ponudnikom storitev skladiščenja, pakiranja in dostave zagotovijo, da terminalska oprema, dana na trg, vključuje sistem iz prvega pododstavka.</w:t>
      </w:r>
      <w:r>
        <w:rPr>
          <w:sz w:val="28"/>
          <w:rFonts w:ascii="Times New Roman" w:hAnsi="Times New Roman"/>
        </w:rPr>
        <w:t xml:space="preserve"> </w:t>
      </w:r>
      <w:r>
        <w:rPr>
          <w:sz w:val="28"/>
          <w:rFonts w:ascii="Times New Roman" w:hAnsi="Times New Roman"/>
        </w:rPr>
        <w:t xml:space="preserve">V primeru iz četrtega pododstavka te točke I proizvajalec tem osebam posreduje potrdilo dobavitelja operacijskega sistema.</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Uvozniki, distributerji in ponudniki storitev skladiščenja, pakiranja in dostave preverijo, ali so terminalsko opremo certificirali proizvajalci ali po potrebi dobavitelj operacijskega sistema pod pogoji iz petega pododstavka te točke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Sistem iz prvega pododstavka te točke I se ne uporablja za opremo, dano na trg brez operacijskega sistema.</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Obveznosti iz tretjega in petega pododstavka te točke I se po potrebi uporabljajo za pooblaščenega zastopnika proizvajalca.</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Osebe, ki dajejo na trg terminalsko opremo iz prvega pododstavka te točke I, kadar se uporablja oprema, kot je opredeljena v tretjem odstavku člena L. 321-1 trgovinskega zakonika, zagotovijo, da taka oprema vključuje sistem iz prvega pododstavka te točke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Odlok Državnega sveta, izdan po mnenju Nacionalne komisije za informacijsko tehnologijo in svoboščine, določa:</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Metode izvajanja točke I, vključno z minimalnimi funkcijami in tehničnimi značilnostmi sistema iz prvega pododstavka iste točke I, in sredstva, ki jih proizvajalec uporablja za lažjo uporabo navedenega sistema;</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Način, kako proizvajalci in po potrebi ponudnik operacijskega sistema potrdijo, da operacijski sistemi, nameščeni na terminalski opremi, vključujejo sistem iz prvega pododstavka;</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Pogoje, pod katerimi lahko pristojni organ omeji ali prepove dajanje na trg terminalske opreme iz prvega pododstavka, ki predstavlja tveganje ali ni skladna, ter pogoje, pod katerimi jo lahko pristojni organ odpokliče ali umakne;</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Način, kako proizvajalci prispevajo k razširjanju razpoložljivih informacij o tveganjih, povezanih z uporabo spletnih javnih komunikacijskih storitev s strani mladoletnikov, zgodnje izpostavljenosti otrok zaslonom in sredstev za preprečevanje takšnih tveganj.“</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Zadnji odstavek točke I člena L. 34-9-3 Zakonika o poštnih in elektronskih komunikacijah se uporablja za terminalsko opremo, ki je bila prvič dana na trg po objavi odloka Državnega sveta iz člena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Odlok Državnega sveta določi pogoje, pod katerimi osebe iz zadnjega odstavka točke I navedenega člena L. 34-9-3 v zvezi z opremo, ki je bila prvič dana na trg pred objavo odloka Državnega sveta iz člena L. 34-9-3, obvestijo uporabnika o obstoju sistemov, ki mu omogočajo, da omeji ali nadzoruje dostop mladoletnikov do storitev in vsebin, ki lahko škodujejo telesnemu, duševnemu ali moralnemu razvoju mladoletnikov.</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Člen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Ta zakon začne veljati na dan, določen z odlokom, ki ne sme biti daljši od treh mesecev po datumu, ko vlada prejme odgovor Evropske komisije, na podlagi katerega lahko šteje, da so zakonske določbe, o katerih je bila obveščena, v skladu s pravom Evropske unije.</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